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05D27" w:rsidRPr="006877E1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405D27" w:rsidRPr="00367E6A" w:rsidRDefault="00405D27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05D27" w:rsidRPr="00367E6A" w:rsidRDefault="00405D27" w:rsidP="00F01516">
            <w:pPr>
              <w:spacing w:after="80" w:line="300" w:lineRule="exact"/>
              <w:rPr>
                <w:sz w:val="28"/>
              </w:rPr>
            </w:pPr>
            <w:r w:rsidRPr="00367E6A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405D27" w:rsidRPr="006877E1" w:rsidRDefault="00405D27" w:rsidP="002B56D7">
            <w:pPr>
              <w:jc w:val="right"/>
              <w:rPr>
                <w:lang w:val="en-GB"/>
              </w:rPr>
            </w:pPr>
            <w:r w:rsidRPr="006877E1">
              <w:rPr>
                <w:sz w:val="40"/>
                <w:lang w:val="en-GB"/>
              </w:rPr>
              <w:t>ECE</w:t>
            </w:r>
            <w:r w:rsidRPr="006877E1">
              <w:rPr>
                <w:lang w:val="en-GB"/>
              </w:rPr>
              <w:t>/TRANS/WP.15/AC.2/201</w:t>
            </w:r>
            <w:r w:rsidR="00D00CA3" w:rsidRPr="006877E1">
              <w:rPr>
                <w:lang w:val="en-GB"/>
              </w:rPr>
              <w:t>9</w:t>
            </w:r>
            <w:r w:rsidRPr="006877E1">
              <w:rPr>
                <w:lang w:val="en-GB"/>
              </w:rPr>
              <w:t>/</w:t>
            </w:r>
            <w:r w:rsidR="0021376E">
              <w:rPr>
                <w:lang w:val="en-GB"/>
              </w:rPr>
              <w:t>20</w:t>
            </w:r>
          </w:p>
        </w:tc>
      </w:tr>
      <w:tr w:rsidR="00405D27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05D27" w:rsidRPr="00367E6A" w:rsidRDefault="0084717C" w:rsidP="00F01516">
            <w:pPr>
              <w:spacing w:before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57150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05D27" w:rsidRPr="00367E6A" w:rsidRDefault="00405D27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67E6A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05D27" w:rsidRDefault="00405D27" w:rsidP="00C4302B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405D27" w:rsidRPr="005562AD" w:rsidRDefault="0021376E" w:rsidP="00FD1B91">
            <w:pPr>
              <w:spacing w:line="240" w:lineRule="exact"/>
            </w:pPr>
            <w:r>
              <w:t>7</w:t>
            </w:r>
            <w:r w:rsidR="006877E1">
              <w:t xml:space="preserve"> juin </w:t>
            </w:r>
            <w:r w:rsidR="00405D27" w:rsidRPr="005562AD">
              <w:t>201</w:t>
            </w:r>
            <w:r w:rsidR="00FD1B91">
              <w:t>9</w:t>
            </w:r>
          </w:p>
          <w:p w:rsidR="00405D27" w:rsidRDefault="00405D27" w:rsidP="00C4302B">
            <w:pPr>
              <w:spacing w:line="240" w:lineRule="exact"/>
            </w:pPr>
          </w:p>
          <w:p w:rsidR="00405D27" w:rsidRPr="00367E6A" w:rsidRDefault="00405D27" w:rsidP="00B30CFB">
            <w:pPr>
              <w:spacing w:line="240" w:lineRule="exact"/>
            </w:pPr>
            <w:proofErr w:type="gramStart"/>
            <w:r>
              <w:t>Original:</w:t>
            </w:r>
            <w:proofErr w:type="gramEnd"/>
            <w:r>
              <w:t xml:space="preserve"> français </w:t>
            </w:r>
          </w:p>
        </w:tc>
      </w:tr>
    </w:tbl>
    <w:p w:rsidR="00405D27" w:rsidRPr="00367E6A" w:rsidRDefault="00405D27" w:rsidP="000312C0">
      <w:pPr>
        <w:spacing w:before="120"/>
        <w:rPr>
          <w:b/>
          <w:sz w:val="28"/>
          <w:szCs w:val="28"/>
        </w:rPr>
      </w:pPr>
      <w:r w:rsidRPr="00367E6A">
        <w:rPr>
          <w:b/>
          <w:sz w:val="28"/>
          <w:szCs w:val="28"/>
        </w:rPr>
        <w:t>Commission économique pour l’Europe</w:t>
      </w:r>
    </w:p>
    <w:p w:rsidR="00405D27" w:rsidRPr="00367E6A" w:rsidRDefault="00405D27" w:rsidP="00B93E72">
      <w:pPr>
        <w:spacing w:before="120"/>
        <w:rPr>
          <w:sz w:val="28"/>
          <w:szCs w:val="28"/>
        </w:rPr>
      </w:pPr>
      <w:r w:rsidRPr="00367E6A">
        <w:rPr>
          <w:sz w:val="28"/>
          <w:szCs w:val="28"/>
        </w:rPr>
        <w:t>Comité des transports intérieurs</w:t>
      </w:r>
    </w:p>
    <w:p w:rsidR="00405D27" w:rsidRPr="00367E6A" w:rsidRDefault="00405D27" w:rsidP="00B93E72">
      <w:pPr>
        <w:spacing w:before="120"/>
        <w:rPr>
          <w:b/>
          <w:sz w:val="24"/>
          <w:szCs w:val="24"/>
        </w:rPr>
      </w:pPr>
      <w:r w:rsidRPr="00367E6A">
        <w:rPr>
          <w:b/>
          <w:sz w:val="24"/>
          <w:szCs w:val="24"/>
        </w:rPr>
        <w:t>Groupe de travail des transports de marchandises dangereuses</w:t>
      </w:r>
    </w:p>
    <w:p w:rsidR="00405D27" w:rsidRPr="00A17EEC" w:rsidRDefault="00405D27" w:rsidP="0049374F">
      <w:pPr>
        <w:spacing w:before="120"/>
        <w:rPr>
          <w:b/>
        </w:rPr>
      </w:pPr>
      <w:r w:rsidRPr="00A17EEC">
        <w:rPr>
          <w:b/>
        </w:rPr>
        <w:t>Réunion commune d’experts sur le Règlement annexé</w:t>
      </w:r>
      <w:r w:rsidRPr="00A17EEC">
        <w:rPr>
          <w:b/>
        </w:rPr>
        <w:br/>
        <w:t>à l’Accord européen relatif au transport international</w:t>
      </w:r>
      <w:r w:rsidRPr="00A17EEC">
        <w:rPr>
          <w:b/>
        </w:rPr>
        <w:br/>
        <w:t xml:space="preserve">des marchandises </w:t>
      </w:r>
      <w:r w:rsidRPr="00A17EEC">
        <w:rPr>
          <w:b/>
          <w:bCs/>
          <w:iCs/>
        </w:rPr>
        <w:t>dangereuses par voies de navigation</w:t>
      </w:r>
      <w:r w:rsidRPr="00A17EEC">
        <w:rPr>
          <w:b/>
          <w:bCs/>
          <w:iCs/>
        </w:rPr>
        <w:br/>
        <w:t xml:space="preserve">intérieures (ADN) </w:t>
      </w:r>
      <w:r w:rsidRPr="00A17EEC">
        <w:rPr>
          <w:b/>
          <w:bCs/>
        </w:rPr>
        <w:t>(Comité de sécurité de l’ADN)</w:t>
      </w:r>
    </w:p>
    <w:p w:rsidR="00405D27" w:rsidRPr="00234E40" w:rsidRDefault="00405D27" w:rsidP="00FD1B91">
      <w:pPr>
        <w:spacing w:before="120"/>
        <w:rPr>
          <w:b/>
        </w:rPr>
      </w:pPr>
      <w:r>
        <w:rPr>
          <w:b/>
        </w:rPr>
        <w:t>Trente-</w:t>
      </w:r>
      <w:r w:rsidR="00FD1B91">
        <w:rPr>
          <w:b/>
        </w:rPr>
        <w:t>cinquième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405D27" w:rsidRDefault="00405D27" w:rsidP="00FD1B91">
      <w:r>
        <w:t xml:space="preserve">Genève, </w:t>
      </w:r>
      <w:r w:rsidR="00FD1B91">
        <w:t>26</w:t>
      </w:r>
      <w:r>
        <w:t>-3</w:t>
      </w:r>
      <w:r w:rsidR="00FD1B91">
        <w:t>0</w:t>
      </w:r>
      <w:r>
        <w:t xml:space="preserve"> août 201</w:t>
      </w:r>
      <w:r w:rsidR="00FD1B91">
        <w:t>9</w:t>
      </w:r>
    </w:p>
    <w:p w:rsidR="00405D27" w:rsidRDefault="00405D27" w:rsidP="00ED1849">
      <w:r w:rsidRPr="00B93E72">
        <w:t xml:space="preserve">Point </w:t>
      </w:r>
      <w:r>
        <w:t>3 c</w:t>
      </w:r>
      <w:r w:rsidRPr="0013653F">
        <w:t>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405D27" w:rsidRDefault="00405D27" w:rsidP="002B64A7">
      <w:pPr>
        <w:rPr>
          <w:b/>
        </w:rPr>
      </w:pPr>
      <w:r w:rsidRPr="002B64A7">
        <w:rPr>
          <w:b/>
          <w:lang w:val="fr-CH"/>
        </w:rPr>
        <w:t>Mise en œuvre</w:t>
      </w:r>
      <w:r w:rsidRPr="002B64A7">
        <w:rPr>
          <w:b/>
        </w:rPr>
        <w:t xml:space="preserve"> de l’Accord européen relatif au transport international </w:t>
      </w:r>
      <w:r w:rsidR="006877E1">
        <w:rPr>
          <w:b/>
        </w:rPr>
        <w:br/>
      </w:r>
      <w:r w:rsidRPr="002B64A7">
        <w:rPr>
          <w:b/>
        </w:rPr>
        <w:t>des marchandises dangereuses par voies de navigation intérieures (ADN)</w:t>
      </w:r>
      <w:r w:rsidR="00152E90">
        <w:rPr>
          <w:b/>
        </w:rPr>
        <w:t xml:space="preserve"> </w:t>
      </w:r>
      <w:r w:rsidRPr="002B64A7">
        <w:rPr>
          <w:b/>
        </w:rPr>
        <w:t>:</w:t>
      </w:r>
    </w:p>
    <w:p w:rsidR="00405D27" w:rsidRPr="00C63AC1" w:rsidRDefault="0005317A" w:rsidP="00B30CFB">
      <w:proofErr w:type="gramStart"/>
      <w:r>
        <w:rPr>
          <w:b/>
        </w:rPr>
        <w:t>i</w:t>
      </w:r>
      <w:r w:rsidR="00405D27">
        <w:rPr>
          <w:b/>
        </w:rPr>
        <w:t>nterprétation</w:t>
      </w:r>
      <w:proofErr w:type="gramEnd"/>
      <w:r w:rsidR="00405D27">
        <w:rPr>
          <w:b/>
        </w:rPr>
        <w:t xml:space="preserve"> du R</w:t>
      </w:r>
      <w:r w:rsidR="00405D27" w:rsidRPr="00B30CFB">
        <w:rPr>
          <w:b/>
        </w:rPr>
        <w:t>èglement annexé à l</w:t>
      </w:r>
      <w:r w:rsidR="006877E1">
        <w:rPr>
          <w:b/>
        </w:rPr>
        <w:t>’</w:t>
      </w:r>
      <w:r w:rsidR="00405D27" w:rsidRPr="00B30CFB">
        <w:rPr>
          <w:b/>
        </w:rPr>
        <w:t>ADN</w:t>
      </w:r>
    </w:p>
    <w:p w:rsidR="00405D27" w:rsidRPr="00EA0C87" w:rsidRDefault="00405D27" w:rsidP="006236CA">
      <w:pPr>
        <w:pStyle w:val="HChG"/>
      </w:pPr>
      <w:r w:rsidRPr="00C63AC1">
        <w:tab/>
      </w:r>
      <w:r w:rsidRPr="00C63AC1">
        <w:tab/>
      </w:r>
      <w:r>
        <w:t>Installation d’extinction d’incendie à bord d’un convoi (pousseur et barge non motorisée) ou à bord d’une barge seule (non motorisée)</w:t>
      </w:r>
    </w:p>
    <w:p w:rsidR="00405D27" w:rsidRDefault="00405D27" w:rsidP="00BD37B4">
      <w:pPr>
        <w:pStyle w:val="H1G"/>
        <w:keepNext w:val="0"/>
        <w:rPr>
          <w:b w:val="0"/>
          <w:bCs/>
          <w:sz w:val="20"/>
        </w:rPr>
      </w:pPr>
      <w:r w:rsidRPr="00EA0C87">
        <w:tab/>
      </w:r>
      <w:r w:rsidRPr="00EA0C87">
        <w:tab/>
      </w:r>
      <w:r>
        <w:t xml:space="preserve">Communication du Gouvernement de la </w:t>
      </w:r>
      <w:r w:rsidR="006877E1">
        <w:t>France</w:t>
      </w:r>
      <w:r w:rsidR="00892B9A" w:rsidRPr="00D83E8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892B9A">
        <w:rPr>
          <w:sz w:val="20"/>
        </w:rPr>
        <w:t xml:space="preserve">, </w:t>
      </w:r>
      <w:r w:rsidR="00892B9A" w:rsidRPr="00D83E80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:rsidR="006877E1" w:rsidRPr="006877E1" w:rsidRDefault="006877E1" w:rsidP="006877E1">
      <w:pPr>
        <w:rPr>
          <w:lang w:val="fr-CH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405D27" w:rsidRPr="00A87087" w:rsidTr="00D00CA3">
        <w:trPr>
          <w:jc w:val="center"/>
        </w:trPr>
        <w:tc>
          <w:tcPr>
            <w:tcW w:w="2330" w:type="dxa"/>
            <w:tcBorders>
              <w:bottom w:val="nil"/>
            </w:tcBorders>
          </w:tcPr>
          <w:p w:rsidR="00405D27" w:rsidRPr="00A87087" w:rsidRDefault="00405D27" w:rsidP="00607E5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i/>
                <w:lang w:eastAsia="fr-FR"/>
              </w:rPr>
            </w:pPr>
            <w:bookmarkStart w:id="0" w:name="_Hlk515009299"/>
            <w:r w:rsidRPr="002B64A7">
              <w:rPr>
                <w:i/>
                <w:sz w:val="24"/>
                <w:szCs w:val="24"/>
                <w:lang w:eastAsia="fr-FR"/>
              </w:rPr>
              <w:t>Résumé</w:t>
            </w:r>
          </w:p>
        </w:tc>
        <w:tc>
          <w:tcPr>
            <w:tcW w:w="7309" w:type="dxa"/>
            <w:tcBorders>
              <w:bottom w:val="nil"/>
            </w:tcBorders>
          </w:tcPr>
          <w:p w:rsidR="00405D27" w:rsidRPr="00A87087" w:rsidRDefault="00405D27" w:rsidP="00607E5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405D27" w:rsidRPr="00A87087" w:rsidTr="00D00CA3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405D27" w:rsidRPr="00A87087" w:rsidRDefault="00E04318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Résumé analytique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:rsidR="00405D27" w:rsidRPr="00D00CA3" w:rsidRDefault="00405D27" w:rsidP="002B64A7">
            <w:pPr>
              <w:suppressAutoHyphens w:val="0"/>
              <w:autoSpaceDE w:val="0"/>
              <w:autoSpaceDN w:val="0"/>
              <w:adjustRightInd w:val="0"/>
              <w:spacing w:before="40" w:after="120" w:line="240" w:lineRule="auto"/>
              <w:rPr>
                <w:rFonts w:cs="Arial"/>
                <w:lang w:eastAsia="fr-FR"/>
              </w:rPr>
            </w:pPr>
            <w:r w:rsidRPr="00D00CA3">
              <w:t xml:space="preserve">Ce document expose les </w:t>
            </w:r>
            <w:r w:rsidR="00D00CA3" w:rsidRPr="00D00CA3">
              <w:t xml:space="preserve">suites à donner au document </w:t>
            </w:r>
            <w:r w:rsidR="00D00CA3" w:rsidRPr="00D00CA3">
              <w:rPr>
                <w:lang w:eastAsia="de-DE"/>
              </w:rPr>
              <w:t>ECE/TRANS/WP.15/AC.2/2018/33 soumis lors de la trente-troisième session</w:t>
            </w:r>
          </w:p>
        </w:tc>
      </w:tr>
      <w:tr w:rsidR="00405D27" w:rsidRPr="00A87087" w:rsidTr="00D00CA3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405D27" w:rsidRPr="00A87087" w:rsidRDefault="00405D27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Mesure à prendre :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:rsidR="00405D27" w:rsidRPr="00D00CA3" w:rsidRDefault="00405D27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eastAsia="fr-FR"/>
              </w:rPr>
            </w:pPr>
            <w:r w:rsidRPr="00D00CA3">
              <w:t>Voir paragraphe</w:t>
            </w:r>
            <w:r w:rsidR="00D00CA3" w:rsidRPr="00D00CA3">
              <w:t xml:space="preserve"> 6</w:t>
            </w:r>
          </w:p>
        </w:tc>
      </w:tr>
      <w:tr w:rsidR="00405D27" w:rsidRPr="00A87087" w:rsidTr="00C8584D">
        <w:trPr>
          <w:jc w:val="center"/>
        </w:trPr>
        <w:tc>
          <w:tcPr>
            <w:tcW w:w="2330" w:type="dxa"/>
            <w:tcBorders>
              <w:top w:val="nil"/>
            </w:tcBorders>
          </w:tcPr>
          <w:p w:rsidR="00405D27" w:rsidRPr="00A87087" w:rsidRDefault="00405D27" w:rsidP="002B64A7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A87087">
              <w:rPr>
                <w:b/>
                <w:lang w:eastAsia="fr-FR"/>
              </w:rPr>
              <w:t>Documents connexes :</w:t>
            </w:r>
          </w:p>
        </w:tc>
        <w:tc>
          <w:tcPr>
            <w:tcW w:w="7309" w:type="dxa"/>
            <w:tcBorders>
              <w:top w:val="nil"/>
            </w:tcBorders>
          </w:tcPr>
          <w:p w:rsidR="00405D27" w:rsidRDefault="00FD1B91" w:rsidP="00FD1B9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line="240" w:lineRule="auto"/>
              <w:ind w:left="11"/>
              <w:jc w:val="both"/>
              <w:textAlignment w:val="baseline"/>
              <w:rPr>
                <w:lang w:eastAsia="de-DE"/>
              </w:rPr>
            </w:pPr>
            <w:r w:rsidRPr="00FD1B91">
              <w:rPr>
                <w:lang w:eastAsia="de-DE"/>
              </w:rPr>
              <w:t>ECE</w:t>
            </w:r>
            <w:r>
              <w:rPr>
                <w:lang w:eastAsia="de-DE"/>
              </w:rPr>
              <w:t>/</w:t>
            </w:r>
            <w:r w:rsidRPr="00FD1B91">
              <w:rPr>
                <w:lang w:eastAsia="de-DE"/>
              </w:rPr>
              <w:t>TRANS</w:t>
            </w:r>
            <w:r>
              <w:rPr>
                <w:lang w:eastAsia="de-DE"/>
              </w:rPr>
              <w:t>/</w:t>
            </w:r>
            <w:r w:rsidRPr="00FD1B91">
              <w:rPr>
                <w:lang w:eastAsia="de-DE"/>
              </w:rPr>
              <w:t>WP</w:t>
            </w:r>
            <w:r>
              <w:rPr>
                <w:lang w:eastAsia="de-DE"/>
              </w:rPr>
              <w:t>.</w:t>
            </w:r>
            <w:r w:rsidRPr="00FD1B91">
              <w:rPr>
                <w:lang w:eastAsia="de-DE"/>
              </w:rPr>
              <w:t>15</w:t>
            </w:r>
            <w:r>
              <w:rPr>
                <w:lang w:eastAsia="de-DE"/>
              </w:rPr>
              <w:t>/</w:t>
            </w:r>
            <w:r w:rsidRPr="00FD1B91">
              <w:rPr>
                <w:lang w:eastAsia="de-DE"/>
              </w:rPr>
              <w:t>AC</w:t>
            </w:r>
            <w:r>
              <w:rPr>
                <w:lang w:eastAsia="de-DE"/>
              </w:rPr>
              <w:t>.</w:t>
            </w:r>
            <w:r w:rsidRPr="00FD1B91">
              <w:rPr>
                <w:lang w:eastAsia="de-DE"/>
              </w:rPr>
              <w:t>2</w:t>
            </w:r>
            <w:r>
              <w:rPr>
                <w:lang w:eastAsia="de-DE"/>
              </w:rPr>
              <w:t>/</w:t>
            </w:r>
            <w:r w:rsidRPr="00FD1B91">
              <w:rPr>
                <w:lang w:eastAsia="de-DE"/>
              </w:rPr>
              <w:t>201</w:t>
            </w:r>
            <w:r>
              <w:rPr>
                <w:lang w:eastAsia="de-DE"/>
              </w:rPr>
              <w:t>8/33</w:t>
            </w:r>
          </w:p>
          <w:p w:rsidR="00FD1B91" w:rsidRDefault="0005317A" w:rsidP="00BD37B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line="240" w:lineRule="auto"/>
              <w:ind w:left="11"/>
              <w:jc w:val="both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 xml:space="preserve">Document informel INF.7 de la trente-troisième session </w:t>
            </w:r>
            <w:r w:rsidR="00BD37B4">
              <w:rPr>
                <w:lang w:eastAsia="de-DE"/>
              </w:rPr>
              <w:t>(paragraphe 4 b))</w:t>
            </w:r>
          </w:p>
          <w:p w:rsidR="00BD37B4" w:rsidRPr="00BD37B4" w:rsidRDefault="00BD37B4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eastAsia="de-DE"/>
              </w:rPr>
            </w:pPr>
            <w:r w:rsidRPr="00FD1B91">
              <w:rPr>
                <w:lang w:eastAsia="de-DE"/>
              </w:rPr>
              <w:t>ECE</w:t>
            </w:r>
            <w:r>
              <w:rPr>
                <w:lang w:eastAsia="de-DE"/>
              </w:rPr>
              <w:t>/</w:t>
            </w:r>
            <w:r w:rsidRPr="00FD1B91">
              <w:rPr>
                <w:lang w:eastAsia="de-DE"/>
              </w:rPr>
              <w:t>TRANS</w:t>
            </w:r>
            <w:r>
              <w:rPr>
                <w:lang w:eastAsia="de-DE"/>
              </w:rPr>
              <w:t>/</w:t>
            </w:r>
            <w:r w:rsidRPr="00FD1B91">
              <w:rPr>
                <w:lang w:eastAsia="de-DE"/>
              </w:rPr>
              <w:t>WP</w:t>
            </w:r>
            <w:r>
              <w:rPr>
                <w:lang w:eastAsia="de-DE"/>
              </w:rPr>
              <w:t>.</w:t>
            </w:r>
            <w:r w:rsidRPr="00FD1B91">
              <w:rPr>
                <w:lang w:eastAsia="de-DE"/>
              </w:rPr>
              <w:t>15</w:t>
            </w:r>
            <w:r>
              <w:rPr>
                <w:lang w:eastAsia="de-DE"/>
              </w:rPr>
              <w:t>/</w:t>
            </w:r>
            <w:r w:rsidRPr="00FD1B91">
              <w:rPr>
                <w:lang w:eastAsia="de-DE"/>
              </w:rPr>
              <w:t>AC</w:t>
            </w:r>
            <w:r>
              <w:rPr>
                <w:lang w:eastAsia="de-DE"/>
              </w:rPr>
              <w:t>.</w:t>
            </w:r>
            <w:r w:rsidRPr="00FD1B91">
              <w:rPr>
                <w:lang w:eastAsia="de-DE"/>
              </w:rPr>
              <w:t>2</w:t>
            </w:r>
            <w:r>
              <w:rPr>
                <w:lang w:eastAsia="de-DE"/>
              </w:rPr>
              <w:t>/68 (paragraphes 16 et 17)</w:t>
            </w:r>
          </w:p>
        </w:tc>
      </w:tr>
    </w:tbl>
    <w:bookmarkEnd w:id="0"/>
    <w:p w:rsidR="00405D27" w:rsidRPr="00FF1E43" w:rsidRDefault="00405D27" w:rsidP="00E30A6C">
      <w:pPr>
        <w:pStyle w:val="HChG"/>
      </w:pPr>
      <w:r>
        <w:lastRenderedPageBreak/>
        <w:tab/>
      </w:r>
      <w:r>
        <w:tab/>
      </w:r>
      <w:r w:rsidRPr="00FF1E43">
        <w:t>Introduction</w:t>
      </w:r>
    </w:p>
    <w:p w:rsidR="002F12E1" w:rsidRDefault="00405D27" w:rsidP="00056C03">
      <w:pPr>
        <w:pStyle w:val="SingleTxtG"/>
        <w:rPr>
          <w:lang w:eastAsia="de-DE"/>
        </w:rPr>
      </w:pPr>
      <w:r w:rsidRPr="00DD38E9">
        <w:t>1.</w:t>
      </w:r>
      <w:r w:rsidRPr="00DD38E9">
        <w:tab/>
      </w:r>
      <w:r w:rsidR="002F12E1">
        <w:t xml:space="preserve">Le document </w:t>
      </w:r>
      <w:r w:rsidR="002F12E1" w:rsidRPr="00FD1B91">
        <w:rPr>
          <w:lang w:eastAsia="de-DE"/>
        </w:rPr>
        <w:t>ECE</w:t>
      </w:r>
      <w:r w:rsidR="002F12E1">
        <w:rPr>
          <w:lang w:eastAsia="de-DE"/>
        </w:rPr>
        <w:t>/</w:t>
      </w:r>
      <w:r w:rsidR="002F12E1" w:rsidRPr="00FD1B91">
        <w:rPr>
          <w:lang w:eastAsia="de-DE"/>
        </w:rPr>
        <w:t>TRANS</w:t>
      </w:r>
      <w:r w:rsidR="002F12E1">
        <w:rPr>
          <w:lang w:eastAsia="de-DE"/>
        </w:rPr>
        <w:t>/</w:t>
      </w:r>
      <w:r w:rsidR="002F12E1" w:rsidRPr="00FD1B91">
        <w:rPr>
          <w:lang w:eastAsia="de-DE"/>
        </w:rPr>
        <w:t>WP</w:t>
      </w:r>
      <w:r w:rsidR="002F12E1">
        <w:rPr>
          <w:lang w:eastAsia="de-DE"/>
        </w:rPr>
        <w:t>.</w:t>
      </w:r>
      <w:r w:rsidR="002F12E1" w:rsidRPr="00FD1B91">
        <w:rPr>
          <w:lang w:eastAsia="de-DE"/>
        </w:rPr>
        <w:t>15</w:t>
      </w:r>
      <w:r w:rsidR="002F12E1">
        <w:rPr>
          <w:lang w:eastAsia="de-DE"/>
        </w:rPr>
        <w:t>/</w:t>
      </w:r>
      <w:r w:rsidR="002F12E1" w:rsidRPr="00FD1B91">
        <w:rPr>
          <w:lang w:eastAsia="de-DE"/>
        </w:rPr>
        <w:t>AC</w:t>
      </w:r>
      <w:r w:rsidR="002F12E1">
        <w:rPr>
          <w:lang w:eastAsia="de-DE"/>
        </w:rPr>
        <w:t>.</w:t>
      </w:r>
      <w:r w:rsidR="002F12E1" w:rsidRPr="00FD1B91">
        <w:rPr>
          <w:lang w:eastAsia="de-DE"/>
        </w:rPr>
        <w:t>2</w:t>
      </w:r>
      <w:r w:rsidR="002F12E1">
        <w:rPr>
          <w:lang w:eastAsia="de-DE"/>
        </w:rPr>
        <w:t>/</w:t>
      </w:r>
      <w:r w:rsidR="002F12E1" w:rsidRPr="00FD1B91">
        <w:rPr>
          <w:lang w:eastAsia="de-DE"/>
        </w:rPr>
        <w:t>201</w:t>
      </w:r>
      <w:r w:rsidR="002F12E1">
        <w:rPr>
          <w:lang w:eastAsia="de-DE"/>
        </w:rPr>
        <w:t xml:space="preserve">8/33, soumis </w:t>
      </w:r>
      <w:r w:rsidR="00056C03">
        <w:rPr>
          <w:lang w:eastAsia="de-DE"/>
        </w:rPr>
        <w:t>en août 2018 lors de</w:t>
      </w:r>
      <w:r w:rsidR="002F12E1">
        <w:rPr>
          <w:lang w:eastAsia="de-DE"/>
        </w:rPr>
        <w:t xml:space="preserve"> la trente-troisième session, avait soulevé la question de l’applicabilité aux barges-citernes non motorisées des dispositions du 9.3.X.40.1 relatives aux dispositifs d’extinction de l’incendie.</w:t>
      </w:r>
    </w:p>
    <w:p w:rsidR="002F12E1" w:rsidRDefault="002F12E1" w:rsidP="00056C03">
      <w:pPr>
        <w:pStyle w:val="SingleTxtG"/>
        <w:rPr>
          <w:lang w:eastAsia="de-DE"/>
        </w:rPr>
      </w:pPr>
      <w:r>
        <w:rPr>
          <w:lang w:eastAsia="de-DE"/>
        </w:rPr>
        <w:t>2.</w:t>
      </w:r>
      <w:r>
        <w:rPr>
          <w:lang w:eastAsia="de-DE"/>
        </w:rPr>
        <w:tab/>
      </w:r>
      <w:r w:rsidR="00056C03">
        <w:rPr>
          <w:lang w:eastAsia="de-DE"/>
        </w:rPr>
        <w:t>L</w:t>
      </w:r>
      <w:r>
        <w:rPr>
          <w:lang w:eastAsia="de-DE"/>
        </w:rPr>
        <w:t xml:space="preserve">a question portait </w:t>
      </w:r>
      <w:r w:rsidR="00056C03">
        <w:rPr>
          <w:lang w:eastAsia="de-DE"/>
        </w:rPr>
        <w:t xml:space="preserve">en particulier </w:t>
      </w:r>
      <w:r>
        <w:rPr>
          <w:lang w:eastAsia="de-DE"/>
        </w:rPr>
        <w:t>sur la possibilité de dispenser de telles barges de l’obligation d’avoir à bord deux pompes, compte tenu des dispositions du 7.2.2.19.2 du Règlement annexé.</w:t>
      </w:r>
    </w:p>
    <w:p w:rsidR="002F12E1" w:rsidRDefault="002F12E1" w:rsidP="00756B2C">
      <w:pPr>
        <w:pStyle w:val="SingleTxtG"/>
        <w:rPr>
          <w:lang w:eastAsia="de-DE"/>
        </w:rPr>
      </w:pPr>
      <w:r>
        <w:rPr>
          <w:lang w:eastAsia="de-DE"/>
        </w:rPr>
        <w:t>3.</w:t>
      </w:r>
      <w:r>
        <w:rPr>
          <w:lang w:eastAsia="de-DE"/>
        </w:rPr>
        <w:tab/>
      </w:r>
      <w:r w:rsidR="00D5209E">
        <w:rPr>
          <w:lang w:eastAsia="de-DE"/>
        </w:rPr>
        <w:t>Dans le</w:t>
      </w:r>
      <w:r>
        <w:rPr>
          <w:lang w:eastAsia="de-DE"/>
        </w:rPr>
        <w:t xml:space="preserve"> rapport de la trente-troisième</w:t>
      </w:r>
      <w:r w:rsidR="00D5209E">
        <w:rPr>
          <w:lang w:val="fr-FR" w:eastAsia="de-DE"/>
        </w:rPr>
        <w:t xml:space="preserve"> session</w:t>
      </w:r>
      <w:r w:rsidR="00D5209E">
        <w:rPr>
          <w:lang w:eastAsia="de-DE"/>
        </w:rPr>
        <w:t xml:space="preserve">, il était estimé que </w:t>
      </w:r>
      <w:r>
        <w:rPr>
          <w:lang w:eastAsia="de-DE"/>
        </w:rPr>
        <w:t xml:space="preserve">le Comité de Sécurité avait besoin d’informations plus détaillées, et </w:t>
      </w:r>
      <w:r w:rsidR="00056C03">
        <w:rPr>
          <w:lang w:eastAsia="de-DE"/>
        </w:rPr>
        <w:t xml:space="preserve">il </w:t>
      </w:r>
      <w:r w:rsidR="00D5209E">
        <w:rPr>
          <w:lang w:eastAsia="de-DE"/>
        </w:rPr>
        <w:t>était demandé</w:t>
      </w:r>
      <w:r>
        <w:rPr>
          <w:lang w:eastAsia="de-DE"/>
        </w:rPr>
        <w:t>, notamment aux Parties contractantes</w:t>
      </w:r>
      <w:r w:rsidR="00756B2C">
        <w:rPr>
          <w:lang w:eastAsia="de-DE"/>
        </w:rPr>
        <w:t xml:space="preserve"> </w:t>
      </w:r>
      <w:r>
        <w:rPr>
          <w:lang w:eastAsia="de-DE"/>
        </w:rPr>
        <w:t>et aux sociétés de classification recommandées</w:t>
      </w:r>
      <w:r w:rsidR="00056C03">
        <w:rPr>
          <w:lang w:eastAsia="de-DE"/>
        </w:rPr>
        <w:t>,</w:t>
      </w:r>
      <w:r>
        <w:rPr>
          <w:lang w:eastAsia="de-DE"/>
        </w:rPr>
        <w:t xml:space="preserve"> </w:t>
      </w:r>
      <w:r w:rsidR="00D5209E">
        <w:rPr>
          <w:lang w:eastAsia="de-DE"/>
        </w:rPr>
        <w:t>de</w:t>
      </w:r>
      <w:r>
        <w:rPr>
          <w:lang w:eastAsia="de-DE"/>
        </w:rPr>
        <w:t xml:space="preserve"> faire part à la délégation française des pratiques en vigueur à ce sujet.</w:t>
      </w:r>
    </w:p>
    <w:p w:rsidR="00056C03" w:rsidRDefault="002F12E1" w:rsidP="00056C03">
      <w:pPr>
        <w:pStyle w:val="SingleTxtG"/>
        <w:rPr>
          <w:lang w:eastAsia="de-DE"/>
        </w:rPr>
      </w:pPr>
      <w:r>
        <w:rPr>
          <w:lang w:eastAsia="de-DE"/>
        </w:rPr>
        <w:t>4.</w:t>
      </w:r>
      <w:r>
        <w:rPr>
          <w:lang w:eastAsia="de-DE"/>
        </w:rPr>
        <w:tab/>
        <w:t xml:space="preserve">Depuis la trente-troisième session, </w:t>
      </w:r>
      <w:r w:rsidR="00056C03">
        <w:rPr>
          <w:lang w:eastAsia="de-DE"/>
        </w:rPr>
        <w:t xml:space="preserve">aucune information n’a été communiquée, à l’exception de la position des sociétés de classification recommandées, consignée au paragraphe 4 b) du document </w:t>
      </w:r>
      <w:r w:rsidR="0005317A">
        <w:rPr>
          <w:lang w:eastAsia="de-DE"/>
        </w:rPr>
        <w:t>informel INF.7 de la trente-troisième session</w:t>
      </w:r>
      <w:r w:rsidR="00056C03">
        <w:rPr>
          <w:lang w:eastAsia="de-DE"/>
        </w:rPr>
        <w:t>, présenté également lors de la trente-troisième session, d’où il ressort que :</w:t>
      </w:r>
    </w:p>
    <w:p w:rsidR="002F12E1" w:rsidRDefault="00056C03" w:rsidP="006877E1">
      <w:pPr>
        <w:pStyle w:val="Bullet1G"/>
        <w:rPr>
          <w:lang w:eastAsia="de-DE"/>
        </w:rPr>
      </w:pPr>
      <w:r>
        <w:rPr>
          <w:lang w:eastAsia="de-DE"/>
        </w:rPr>
        <w:t>Le fait de considérer l’ensemble d’un convoi poussé ou d’une formation à couple comme un bateau unique ne s’applique qu’au Chapitre 7.2 (libellé du 7.2.2.19.2) ;</w:t>
      </w:r>
    </w:p>
    <w:p w:rsidR="00056C03" w:rsidRDefault="00056C03" w:rsidP="006877E1">
      <w:pPr>
        <w:pStyle w:val="Bullet1G"/>
        <w:rPr>
          <w:lang w:eastAsia="de-DE"/>
        </w:rPr>
      </w:pPr>
      <w:r>
        <w:rPr>
          <w:lang w:eastAsia="de-DE"/>
        </w:rPr>
        <w:t>La possibilité, au 7.2.2.19.3, de ne disposer que d’une seule pompe à</w:t>
      </w:r>
      <w:r w:rsidR="00D756EC">
        <w:rPr>
          <w:lang w:eastAsia="de-DE"/>
        </w:rPr>
        <w:t xml:space="preserve"> incendie ou de ballastage au ti</w:t>
      </w:r>
      <w:r>
        <w:rPr>
          <w:lang w:eastAsia="de-DE"/>
        </w:rPr>
        <w:t>tre du 9.3.3.40.1</w:t>
      </w:r>
      <w:r w:rsidR="00D756EC">
        <w:rPr>
          <w:lang w:eastAsia="de-DE"/>
        </w:rPr>
        <w:t xml:space="preserve"> ne s’applique qu’aux bateaux utilisés pour la propulsion ;</w:t>
      </w:r>
    </w:p>
    <w:p w:rsidR="00D756EC" w:rsidRDefault="00D756EC" w:rsidP="006877E1">
      <w:pPr>
        <w:pStyle w:val="Bullet1G"/>
        <w:rPr>
          <w:lang w:eastAsia="de-DE"/>
        </w:rPr>
      </w:pPr>
      <w:r>
        <w:rPr>
          <w:lang w:eastAsia="de-DE"/>
        </w:rPr>
        <w:t>Il n’y a aucune raison de ne pas appliquer aux barges-citernes non motorisées l’intégralité des prescriptions de la Partie 9, et en particulier celles du 9.</w:t>
      </w:r>
      <w:proofErr w:type="gramStart"/>
      <w:r>
        <w:rPr>
          <w:lang w:eastAsia="de-DE"/>
        </w:rPr>
        <w:t>3.X.</w:t>
      </w:r>
      <w:proofErr w:type="gramEnd"/>
      <w:r>
        <w:rPr>
          <w:lang w:eastAsia="de-DE"/>
        </w:rPr>
        <w:t>40.1.</w:t>
      </w:r>
    </w:p>
    <w:p w:rsidR="00405D27" w:rsidRPr="00FF1E43" w:rsidRDefault="00405D27" w:rsidP="00FB31A1">
      <w:pPr>
        <w:pStyle w:val="HChG"/>
        <w:keepNext w:val="0"/>
      </w:pPr>
      <w:r>
        <w:tab/>
      </w:r>
      <w:r>
        <w:tab/>
        <w:t>Analyse</w:t>
      </w:r>
    </w:p>
    <w:p w:rsidR="00D756EC" w:rsidRDefault="00D756EC" w:rsidP="009F7CB9">
      <w:pPr>
        <w:pStyle w:val="SingleTxtG"/>
      </w:pPr>
      <w:r>
        <w:t>5</w:t>
      </w:r>
      <w:r w:rsidR="00405D27" w:rsidRPr="00DD38E9">
        <w:t>.</w:t>
      </w:r>
      <w:r w:rsidR="00405D27" w:rsidRPr="00DD38E9">
        <w:tab/>
      </w:r>
      <w:r>
        <w:t xml:space="preserve">Compte tenu des éléments ci-dessus, il ne semble pas opportun de poursuivre les investigations, entrouvertes par le document </w:t>
      </w:r>
      <w:r w:rsidRPr="00FD1B91">
        <w:rPr>
          <w:lang w:eastAsia="de-DE"/>
        </w:rPr>
        <w:t>ECE</w:t>
      </w:r>
      <w:r>
        <w:rPr>
          <w:lang w:eastAsia="de-DE"/>
        </w:rPr>
        <w:t>/</w:t>
      </w:r>
      <w:r w:rsidRPr="00FD1B91">
        <w:rPr>
          <w:lang w:eastAsia="de-DE"/>
        </w:rPr>
        <w:t>TRANS</w:t>
      </w:r>
      <w:r>
        <w:rPr>
          <w:lang w:eastAsia="de-DE"/>
        </w:rPr>
        <w:t>/</w:t>
      </w:r>
      <w:r w:rsidRPr="00FD1B91">
        <w:rPr>
          <w:lang w:eastAsia="de-DE"/>
        </w:rPr>
        <w:t>WP</w:t>
      </w:r>
      <w:r>
        <w:rPr>
          <w:lang w:eastAsia="de-DE"/>
        </w:rPr>
        <w:t>.</w:t>
      </w:r>
      <w:r w:rsidRPr="00FD1B91">
        <w:rPr>
          <w:lang w:eastAsia="de-DE"/>
        </w:rPr>
        <w:t>15</w:t>
      </w:r>
      <w:r>
        <w:rPr>
          <w:lang w:eastAsia="de-DE"/>
        </w:rPr>
        <w:t>/</w:t>
      </w:r>
      <w:r w:rsidRPr="00FD1B91">
        <w:rPr>
          <w:lang w:eastAsia="de-DE"/>
        </w:rPr>
        <w:t>AC</w:t>
      </w:r>
      <w:r>
        <w:rPr>
          <w:lang w:eastAsia="de-DE"/>
        </w:rPr>
        <w:t>.</w:t>
      </w:r>
      <w:r w:rsidRPr="00FD1B91">
        <w:rPr>
          <w:lang w:eastAsia="de-DE"/>
        </w:rPr>
        <w:t>2</w:t>
      </w:r>
      <w:r>
        <w:rPr>
          <w:lang w:eastAsia="de-DE"/>
        </w:rPr>
        <w:t>/</w:t>
      </w:r>
      <w:r w:rsidRPr="00FD1B91">
        <w:rPr>
          <w:lang w:eastAsia="de-DE"/>
        </w:rPr>
        <w:t>201</w:t>
      </w:r>
      <w:r>
        <w:rPr>
          <w:lang w:eastAsia="de-DE"/>
        </w:rPr>
        <w:t xml:space="preserve">8/33, </w:t>
      </w:r>
      <w:r>
        <w:t xml:space="preserve">en vue d’élaborer des amendements au Règlement annexé à l’ADN, et la France propose en conséquence de ne </w:t>
      </w:r>
      <w:r w:rsidR="009F7CB9">
        <w:t>réserver aucune</w:t>
      </w:r>
      <w:r>
        <w:t xml:space="preserve"> suite à ce document.</w:t>
      </w:r>
    </w:p>
    <w:p w:rsidR="00405D27" w:rsidRPr="00AE1716" w:rsidRDefault="00405D27" w:rsidP="00AE1716">
      <w:pPr>
        <w:pStyle w:val="HChG"/>
      </w:pPr>
      <w:r>
        <w:tab/>
      </w:r>
      <w:r>
        <w:tab/>
      </w:r>
      <w:r w:rsidRPr="00AE1716">
        <w:t>Suites à donner</w:t>
      </w:r>
    </w:p>
    <w:p w:rsidR="00D756EC" w:rsidRDefault="00D756EC" w:rsidP="00D756EC">
      <w:pPr>
        <w:pStyle w:val="SingleTxtG"/>
        <w:rPr>
          <w:lang w:val="fr-FR"/>
        </w:rPr>
      </w:pPr>
      <w:r>
        <w:t>6</w:t>
      </w:r>
      <w:r w:rsidR="00405D27" w:rsidRPr="00AE1716">
        <w:t>.</w:t>
      </w:r>
      <w:r w:rsidR="00405D27" w:rsidRPr="00AE1716">
        <w:tab/>
      </w:r>
      <w:r w:rsidRPr="00CD792C">
        <w:rPr>
          <w:lang w:val="fr-FR"/>
        </w:rPr>
        <w:t>Le Comité est invité à examiner l</w:t>
      </w:r>
      <w:r>
        <w:rPr>
          <w:lang w:val="fr-FR"/>
        </w:rPr>
        <w:t>a</w:t>
      </w:r>
      <w:r w:rsidRPr="00CD792C">
        <w:rPr>
          <w:lang w:val="fr-FR"/>
        </w:rPr>
        <w:t xml:space="preserve"> proposition figurant au paragraphe</w:t>
      </w:r>
      <w:r>
        <w:rPr>
          <w:lang w:val="fr-FR"/>
        </w:rPr>
        <w:t xml:space="preserve"> 5 et </w:t>
      </w:r>
      <w:r w:rsidRPr="00CD792C">
        <w:rPr>
          <w:lang w:val="fr-FR"/>
        </w:rPr>
        <w:t>à l</w:t>
      </w:r>
      <w:r>
        <w:rPr>
          <w:lang w:val="fr-FR"/>
        </w:rPr>
        <w:t>ui</w:t>
      </w:r>
      <w:r w:rsidRPr="00CD792C">
        <w:rPr>
          <w:lang w:val="fr-FR"/>
        </w:rPr>
        <w:t xml:space="preserve"> donner les suites qu’il jugera appropriées.</w:t>
      </w:r>
    </w:p>
    <w:p w:rsidR="00405D27" w:rsidRPr="00A70B02" w:rsidRDefault="00A70B02" w:rsidP="00A70B02">
      <w:pPr>
        <w:spacing w:before="240"/>
        <w:jc w:val="center"/>
        <w:rPr>
          <w:u w:val="single"/>
        </w:rPr>
      </w:pPr>
      <w:bookmarkStart w:id="1" w:name="_GoBack"/>
      <w:bookmarkEnd w:id="1"/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sectPr w:rsidR="00405D27" w:rsidRPr="00A70B02" w:rsidSect="006236C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55" w:rsidRDefault="00A00355"/>
  </w:endnote>
  <w:endnote w:type="continuationSeparator" w:id="0">
    <w:p w:rsidR="00A00355" w:rsidRDefault="00A00355"/>
  </w:endnote>
  <w:endnote w:type="continuationNotice" w:id="1">
    <w:p w:rsidR="00A00355" w:rsidRDefault="00A00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69" w:rsidRPr="0029776B" w:rsidRDefault="005C4A69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69" w:rsidRPr="0029776B" w:rsidRDefault="005C4A69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55" w:rsidRPr="00D27D5E" w:rsidRDefault="00A0035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00355" w:rsidRPr="00A80554" w:rsidRDefault="00A00355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A00355" w:rsidRDefault="00A00355"/>
  </w:footnote>
  <w:footnote w:id="2">
    <w:p w:rsidR="00892B9A" w:rsidRPr="00152E90" w:rsidRDefault="00892B9A">
      <w:pPr>
        <w:pStyle w:val="FootnoteText"/>
      </w:pPr>
      <w:r>
        <w:rPr>
          <w:rStyle w:val="FootnoteReference"/>
        </w:rPr>
        <w:tab/>
      </w:r>
      <w:r w:rsidRPr="00892B9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52E90">
        <w:t xml:space="preserve">Diffusé en langue allemande par la Commission centrale pour la navigation du Rhin sous la </w:t>
      </w:r>
      <w:proofErr w:type="gramStart"/>
      <w:r w:rsidRPr="00152E90">
        <w:t>cote  CCNR</w:t>
      </w:r>
      <w:proofErr w:type="gramEnd"/>
      <w:r w:rsidRPr="00152E90">
        <w:t>/ZKR/ADN/WP.15/AC.2/2019/2</w:t>
      </w:r>
      <w:r w:rsidR="0021376E">
        <w:t>0</w:t>
      </w:r>
      <w:r w:rsidRPr="00152E90">
        <w:t>.</w:t>
      </w:r>
    </w:p>
  </w:footnote>
  <w:footnote w:id="3">
    <w:p w:rsidR="00892B9A" w:rsidRPr="00892B9A" w:rsidRDefault="00892B9A">
      <w:pPr>
        <w:pStyle w:val="FootnoteText"/>
      </w:pPr>
      <w:r>
        <w:rPr>
          <w:rStyle w:val="FootnoteReference"/>
        </w:rPr>
        <w:tab/>
      </w:r>
      <w:r w:rsidRPr="00892B9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52E90"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69" w:rsidRPr="006877E1" w:rsidRDefault="005C4A69" w:rsidP="00D00CA3">
    <w:pPr>
      <w:pStyle w:val="Header"/>
      <w:rPr>
        <w:lang w:val="en-GB"/>
      </w:rPr>
    </w:pPr>
    <w:r w:rsidRPr="006877E1">
      <w:rPr>
        <w:lang w:val="en-GB"/>
      </w:rPr>
      <w:t>ECE/TRANS/WP.15/AC.2/2019/</w:t>
    </w:r>
    <w:r w:rsidR="006877E1">
      <w:rPr>
        <w:lang w:val="en-GB"/>
      </w:rPr>
      <w:t>2</w:t>
    </w:r>
    <w:r w:rsidR="0021376E">
      <w:rPr>
        <w:lang w:val="en-GB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69" w:rsidRPr="006236CA" w:rsidRDefault="005C4A69" w:rsidP="0029776B">
    <w:pPr>
      <w:pStyle w:val="Header"/>
      <w:jc w:val="right"/>
      <w:rPr>
        <w:lang w:val="en-GB"/>
      </w:rPr>
    </w:pPr>
    <w:r>
      <w:rPr>
        <w:lang w:val="en-GB"/>
      </w:rPr>
      <w:t>ECE/TRANS/WP.15/AC.2/2018/33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F3A9C"/>
    <w:multiLevelType w:val="hybridMultilevel"/>
    <w:tmpl w:val="638EA14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3BB30E1B"/>
    <w:multiLevelType w:val="hybridMultilevel"/>
    <w:tmpl w:val="BC0A6D6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1A"/>
    <w:rsid w:val="0000195C"/>
    <w:rsid w:val="00003FFB"/>
    <w:rsid w:val="0000754C"/>
    <w:rsid w:val="000121D3"/>
    <w:rsid w:val="000131A5"/>
    <w:rsid w:val="0001457A"/>
    <w:rsid w:val="00016AC5"/>
    <w:rsid w:val="00022BD7"/>
    <w:rsid w:val="00030ADE"/>
    <w:rsid w:val="000312C0"/>
    <w:rsid w:val="00033A63"/>
    <w:rsid w:val="0004058B"/>
    <w:rsid w:val="000472A1"/>
    <w:rsid w:val="000507A8"/>
    <w:rsid w:val="0005317A"/>
    <w:rsid w:val="00056C03"/>
    <w:rsid w:val="0006085A"/>
    <w:rsid w:val="0006415C"/>
    <w:rsid w:val="000643B7"/>
    <w:rsid w:val="00066716"/>
    <w:rsid w:val="00071432"/>
    <w:rsid w:val="00072E86"/>
    <w:rsid w:val="000758B9"/>
    <w:rsid w:val="00081790"/>
    <w:rsid w:val="000828C8"/>
    <w:rsid w:val="00094EF2"/>
    <w:rsid w:val="000963EA"/>
    <w:rsid w:val="000964C7"/>
    <w:rsid w:val="000A49E0"/>
    <w:rsid w:val="000A7EC2"/>
    <w:rsid w:val="000B09A4"/>
    <w:rsid w:val="000B34CA"/>
    <w:rsid w:val="000C0699"/>
    <w:rsid w:val="000C6E67"/>
    <w:rsid w:val="000D7E12"/>
    <w:rsid w:val="000E68FB"/>
    <w:rsid w:val="000F41F2"/>
    <w:rsid w:val="00104ADE"/>
    <w:rsid w:val="00114764"/>
    <w:rsid w:val="00114946"/>
    <w:rsid w:val="00114DAF"/>
    <w:rsid w:val="00115943"/>
    <w:rsid w:val="00127A72"/>
    <w:rsid w:val="0013180D"/>
    <w:rsid w:val="00135C0D"/>
    <w:rsid w:val="0013653F"/>
    <w:rsid w:val="00143574"/>
    <w:rsid w:val="00147C56"/>
    <w:rsid w:val="00152E90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50B8"/>
    <w:rsid w:val="00186EE9"/>
    <w:rsid w:val="00190399"/>
    <w:rsid w:val="00192EEB"/>
    <w:rsid w:val="00197152"/>
    <w:rsid w:val="001A20FB"/>
    <w:rsid w:val="001A37C7"/>
    <w:rsid w:val="001A73B7"/>
    <w:rsid w:val="001B6AF6"/>
    <w:rsid w:val="001B6F40"/>
    <w:rsid w:val="001C08A0"/>
    <w:rsid w:val="001C4BBB"/>
    <w:rsid w:val="001C64DD"/>
    <w:rsid w:val="001D7DF9"/>
    <w:rsid w:val="001D7F8A"/>
    <w:rsid w:val="001E3FEB"/>
    <w:rsid w:val="001E4A02"/>
    <w:rsid w:val="001F3CC1"/>
    <w:rsid w:val="001F412D"/>
    <w:rsid w:val="001F5816"/>
    <w:rsid w:val="002023CD"/>
    <w:rsid w:val="00203B6A"/>
    <w:rsid w:val="002041A8"/>
    <w:rsid w:val="0020607F"/>
    <w:rsid w:val="002069D5"/>
    <w:rsid w:val="00212D4F"/>
    <w:rsid w:val="0021376E"/>
    <w:rsid w:val="00216861"/>
    <w:rsid w:val="0022098E"/>
    <w:rsid w:val="00223B89"/>
    <w:rsid w:val="00225A8C"/>
    <w:rsid w:val="0022734F"/>
    <w:rsid w:val="00232C61"/>
    <w:rsid w:val="00234E40"/>
    <w:rsid w:val="002403AA"/>
    <w:rsid w:val="00241AAF"/>
    <w:rsid w:val="00260A9C"/>
    <w:rsid w:val="00261C6B"/>
    <w:rsid w:val="00263C23"/>
    <w:rsid w:val="002659F1"/>
    <w:rsid w:val="00265FE8"/>
    <w:rsid w:val="0027037E"/>
    <w:rsid w:val="00271C7C"/>
    <w:rsid w:val="0028205B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B4702"/>
    <w:rsid w:val="002B56D7"/>
    <w:rsid w:val="002B64A7"/>
    <w:rsid w:val="002C555D"/>
    <w:rsid w:val="002D0474"/>
    <w:rsid w:val="002D7928"/>
    <w:rsid w:val="002F12E1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91403"/>
    <w:rsid w:val="00394D72"/>
    <w:rsid w:val="00397250"/>
    <w:rsid w:val="003974E1"/>
    <w:rsid w:val="003976D5"/>
    <w:rsid w:val="003A1FEF"/>
    <w:rsid w:val="003A462C"/>
    <w:rsid w:val="003A6005"/>
    <w:rsid w:val="003A656C"/>
    <w:rsid w:val="003B5981"/>
    <w:rsid w:val="003B6B20"/>
    <w:rsid w:val="003C322F"/>
    <w:rsid w:val="003C532D"/>
    <w:rsid w:val="003C5A95"/>
    <w:rsid w:val="003C5C5B"/>
    <w:rsid w:val="003D0BCD"/>
    <w:rsid w:val="003D1DF3"/>
    <w:rsid w:val="003D46A7"/>
    <w:rsid w:val="003D6C68"/>
    <w:rsid w:val="003D76E4"/>
    <w:rsid w:val="003F118A"/>
    <w:rsid w:val="003F6E0A"/>
    <w:rsid w:val="004005D0"/>
    <w:rsid w:val="00405D27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277B"/>
    <w:rsid w:val="00434168"/>
    <w:rsid w:val="0044289E"/>
    <w:rsid w:val="00445274"/>
    <w:rsid w:val="00454017"/>
    <w:rsid w:val="00461870"/>
    <w:rsid w:val="00471DA9"/>
    <w:rsid w:val="00475DD2"/>
    <w:rsid w:val="00486E96"/>
    <w:rsid w:val="00491EC7"/>
    <w:rsid w:val="0049374F"/>
    <w:rsid w:val="00497A70"/>
    <w:rsid w:val="00497E7A"/>
    <w:rsid w:val="004A29A3"/>
    <w:rsid w:val="004A324B"/>
    <w:rsid w:val="004A331B"/>
    <w:rsid w:val="004A3778"/>
    <w:rsid w:val="004A5C90"/>
    <w:rsid w:val="004B154F"/>
    <w:rsid w:val="004B4325"/>
    <w:rsid w:val="004C3B4F"/>
    <w:rsid w:val="004D0EB7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562AD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3132"/>
    <w:rsid w:val="0059410B"/>
    <w:rsid w:val="00595BE4"/>
    <w:rsid w:val="00595C56"/>
    <w:rsid w:val="005A041A"/>
    <w:rsid w:val="005B738F"/>
    <w:rsid w:val="005B76A3"/>
    <w:rsid w:val="005C4A69"/>
    <w:rsid w:val="005C6014"/>
    <w:rsid w:val="005E5D1F"/>
    <w:rsid w:val="005E5E79"/>
    <w:rsid w:val="005F25D1"/>
    <w:rsid w:val="005F302D"/>
    <w:rsid w:val="005F59DB"/>
    <w:rsid w:val="00603391"/>
    <w:rsid w:val="006049FD"/>
    <w:rsid w:val="00605683"/>
    <w:rsid w:val="006071E2"/>
    <w:rsid w:val="00607E56"/>
    <w:rsid w:val="00611D43"/>
    <w:rsid w:val="00612D48"/>
    <w:rsid w:val="00616B45"/>
    <w:rsid w:val="0061708F"/>
    <w:rsid w:val="006210B6"/>
    <w:rsid w:val="006236CA"/>
    <w:rsid w:val="00625F01"/>
    <w:rsid w:val="00630D9B"/>
    <w:rsid w:val="00631953"/>
    <w:rsid w:val="0063675E"/>
    <w:rsid w:val="006439EC"/>
    <w:rsid w:val="00654B07"/>
    <w:rsid w:val="00665D5C"/>
    <w:rsid w:val="00667177"/>
    <w:rsid w:val="00670F36"/>
    <w:rsid w:val="00671CD2"/>
    <w:rsid w:val="006728CD"/>
    <w:rsid w:val="00673231"/>
    <w:rsid w:val="006877E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E0743"/>
    <w:rsid w:val="006E19BA"/>
    <w:rsid w:val="006E3296"/>
    <w:rsid w:val="006E32C5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866"/>
    <w:rsid w:val="00745CA1"/>
    <w:rsid w:val="007514EF"/>
    <w:rsid w:val="007527B6"/>
    <w:rsid w:val="00753BDA"/>
    <w:rsid w:val="00756B2C"/>
    <w:rsid w:val="00766A94"/>
    <w:rsid w:val="007673E8"/>
    <w:rsid w:val="00780EAE"/>
    <w:rsid w:val="007811F7"/>
    <w:rsid w:val="007817A1"/>
    <w:rsid w:val="007820F2"/>
    <w:rsid w:val="00783F37"/>
    <w:rsid w:val="00786EF4"/>
    <w:rsid w:val="007904AF"/>
    <w:rsid w:val="00790F2F"/>
    <w:rsid w:val="00795138"/>
    <w:rsid w:val="007A6076"/>
    <w:rsid w:val="007C1A44"/>
    <w:rsid w:val="007D78D5"/>
    <w:rsid w:val="007E29D3"/>
    <w:rsid w:val="007E2F66"/>
    <w:rsid w:val="007F0F13"/>
    <w:rsid w:val="007F55CB"/>
    <w:rsid w:val="00807F24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4717C"/>
    <w:rsid w:val="00851438"/>
    <w:rsid w:val="00860C9D"/>
    <w:rsid w:val="00871051"/>
    <w:rsid w:val="00883D70"/>
    <w:rsid w:val="00884E9C"/>
    <w:rsid w:val="00892B9A"/>
    <w:rsid w:val="008A7152"/>
    <w:rsid w:val="008B44C4"/>
    <w:rsid w:val="008B7879"/>
    <w:rsid w:val="008C1BBA"/>
    <w:rsid w:val="008C2211"/>
    <w:rsid w:val="008C7684"/>
    <w:rsid w:val="008D0723"/>
    <w:rsid w:val="008D0C3F"/>
    <w:rsid w:val="008D1AC7"/>
    <w:rsid w:val="008D2167"/>
    <w:rsid w:val="008D3919"/>
    <w:rsid w:val="008E0B16"/>
    <w:rsid w:val="008E3F2C"/>
    <w:rsid w:val="008E5107"/>
    <w:rsid w:val="008E7FAE"/>
    <w:rsid w:val="008F1725"/>
    <w:rsid w:val="008F60FF"/>
    <w:rsid w:val="008F7D34"/>
    <w:rsid w:val="00905A77"/>
    <w:rsid w:val="009066AE"/>
    <w:rsid w:val="00911BF7"/>
    <w:rsid w:val="00922301"/>
    <w:rsid w:val="00922FBA"/>
    <w:rsid w:val="00926E87"/>
    <w:rsid w:val="00932D7A"/>
    <w:rsid w:val="009416C9"/>
    <w:rsid w:val="00952247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1149"/>
    <w:rsid w:val="009D3A8C"/>
    <w:rsid w:val="009E01B8"/>
    <w:rsid w:val="009E698E"/>
    <w:rsid w:val="009E7956"/>
    <w:rsid w:val="009F7CB9"/>
    <w:rsid w:val="00A00355"/>
    <w:rsid w:val="00A11C63"/>
    <w:rsid w:val="00A134EB"/>
    <w:rsid w:val="00A1547F"/>
    <w:rsid w:val="00A17EEC"/>
    <w:rsid w:val="00A2492E"/>
    <w:rsid w:val="00A31F07"/>
    <w:rsid w:val="00A41235"/>
    <w:rsid w:val="00A44CBA"/>
    <w:rsid w:val="00A45EBB"/>
    <w:rsid w:val="00A60EBA"/>
    <w:rsid w:val="00A6502C"/>
    <w:rsid w:val="00A70163"/>
    <w:rsid w:val="00A70B02"/>
    <w:rsid w:val="00A71439"/>
    <w:rsid w:val="00A73DB7"/>
    <w:rsid w:val="00A74D73"/>
    <w:rsid w:val="00A778A5"/>
    <w:rsid w:val="00A80554"/>
    <w:rsid w:val="00A86837"/>
    <w:rsid w:val="00A87087"/>
    <w:rsid w:val="00A92C6B"/>
    <w:rsid w:val="00A963DD"/>
    <w:rsid w:val="00AA0176"/>
    <w:rsid w:val="00AA3C96"/>
    <w:rsid w:val="00AA5B1E"/>
    <w:rsid w:val="00AA72C3"/>
    <w:rsid w:val="00AA77E5"/>
    <w:rsid w:val="00AB6447"/>
    <w:rsid w:val="00AC67A1"/>
    <w:rsid w:val="00AC7977"/>
    <w:rsid w:val="00AD1E14"/>
    <w:rsid w:val="00AD3F23"/>
    <w:rsid w:val="00AE1716"/>
    <w:rsid w:val="00AE352C"/>
    <w:rsid w:val="00AE4F08"/>
    <w:rsid w:val="00AE5E87"/>
    <w:rsid w:val="00AE69A8"/>
    <w:rsid w:val="00AE7BCA"/>
    <w:rsid w:val="00AF1446"/>
    <w:rsid w:val="00AF2F6F"/>
    <w:rsid w:val="00AF52DB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A3C5A"/>
    <w:rsid w:val="00BA6916"/>
    <w:rsid w:val="00BC5D40"/>
    <w:rsid w:val="00BD0B53"/>
    <w:rsid w:val="00BD37B4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27A69"/>
    <w:rsid w:val="00C33100"/>
    <w:rsid w:val="00C34C11"/>
    <w:rsid w:val="00C358CC"/>
    <w:rsid w:val="00C4302B"/>
    <w:rsid w:val="00C45121"/>
    <w:rsid w:val="00C51BB4"/>
    <w:rsid w:val="00C63AC1"/>
    <w:rsid w:val="00C732D1"/>
    <w:rsid w:val="00C836BC"/>
    <w:rsid w:val="00C8584D"/>
    <w:rsid w:val="00C940E9"/>
    <w:rsid w:val="00CA047F"/>
    <w:rsid w:val="00CA3500"/>
    <w:rsid w:val="00CA5CBD"/>
    <w:rsid w:val="00CB2BEA"/>
    <w:rsid w:val="00CB6267"/>
    <w:rsid w:val="00CB7A05"/>
    <w:rsid w:val="00CD1A71"/>
    <w:rsid w:val="00CD1FBB"/>
    <w:rsid w:val="00CD4C90"/>
    <w:rsid w:val="00CF4311"/>
    <w:rsid w:val="00CF6435"/>
    <w:rsid w:val="00D00CA3"/>
    <w:rsid w:val="00D016B5"/>
    <w:rsid w:val="00D034F1"/>
    <w:rsid w:val="00D10BD3"/>
    <w:rsid w:val="00D11B17"/>
    <w:rsid w:val="00D218FC"/>
    <w:rsid w:val="00D27297"/>
    <w:rsid w:val="00D27D5E"/>
    <w:rsid w:val="00D31640"/>
    <w:rsid w:val="00D34270"/>
    <w:rsid w:val="00D40906"/>
    <w:rsid w:val="00D41B47"/>
    <w:rsid w:val="00D428F9"/>
    <w:rsid w:val="00D440EE"/>
    <w:rsid w:val="00D47F24"/>
    <w:rsid w:val="00D5209E"/>
    <w:rsid w:val="00D52A86"/>
    <w:rsid w:val="00D60301"/>
    <w:rsid w:val="00D64213"/>
    <w:rsid w:val="00D70305"/>
    <w:rsid w:val="00D71CA8"/>
    <w:rsid w:val="00D72874"/>
    <w:rsid w:val="00D756EC"/>
    <w:rsid w:val="00D75A23"/>
    <w:rsid w:val="00D83E80"/>
    <w:rsid w:val="00D84247"/>
    <w:rsid w:val="00D8534F"/>
    <w:rsid w:val="00D866A8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1928"/>
    <w:rsid w:val="00DD38E9"/>
    <w:rsid w:val="00DD5D73"/>
    <w:rsid w:val="00DE01E3"/>
    <w:rsid w:val="00DE0AF7"/>
    <w:rsid w:val="00DE24A4"/>
    <w:rsid w:val="00DE6D90"/>
    <w:rsid w:val="00DE6FC3"/>
    <w:rsid w:val="00DF002F"/>
    <w:rsid w:val="00DF1BEA"/>
    <w:rsid w:val="00DF1F03"/>
    <w:rsid w:val="00DF3492"/>
    <w:rsid w:val="00DF4DCE"/>
    <w:rsid w:val="00DF6551"/>
    <w:rsid w:val="00E0244D"/>
    <w:rsid w:val="00E02CE0"/>
    <w:rsid w:val="00E04318"/>
    <w:rsid w:val="00E11BBC"/>
    <w:rsid w:val="00E1236D"/>
    <w:rsid w:val="00E15EC6"/>
    <w:rsid w:val="00E22F40"/>
    <w:rsid w:val="00E30A6C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0008"/>
    <w:rsid w:val="00ED1849"/>
    <w:rsid w:val="00ED265E"/>
    <w:rsid w:val="00ED5F4B"/>
    <w:rsid w:val="00ED7BEB"/>
    <w:rsid w:val="00EE2EA3"/>
    <w:rsid w:val="00EE43A7"/>
    <w:rsid w:val="00EF041A"/>
    <w:rsid w:val="00EF5998"/>
    <w:rsid w:val="00F01516"/>
    <w:rsid w:val="00F0189E"/>
    <w:rsid w:val="00F12577"/>
    <w:rsid w:val="00F14D09"/>
    <w:rsid w:val="00F2271B"/>
    <w:rsid w:val="00F227C9"/>
    <w:rsid w:val="00F337B3"/>
    <w:rsid w:val="00F35A1F"/>
    <w:rsid w:val="00F37523"/>
    <w:rsid w:val="00F524AA"/>
    <w:rsid w:val="00F560CD"/>
    <w:rsid w:val="00F57129"/>
    <w:rsid w:val="00F647E2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31A1"/>
    <w:rsid w:val="00FB4C51"/>
    <w:rsid w:val="00FB6AC1"/>
    <w:rsid w:val="00FB72A4"/>
    <w:rsid w:val="00FC0CDC"/>
    <w:rsid w:val="00FD1B91"/>
    <w:rsid w:val="00FD64E0"/>
    <w:rsid w:val="00FE1D5F"/>
    <w:rsid w:val="00FE2AF4"/>
    <w:rsid w:val="00FE307F"/>
    <w:rsid w:val="00FE69B3"/>
    <w:rsid w:val="00FF031F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1EEAF4"/>
  <w15:chartTrackingRefBased/>
  <w15:docId w15:val="{0D22558B-8C93-48F9-A008-46ADECD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FR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CH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  <w:rPr>
      <w:lang w:val="fr-CH"/>
    </w:r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rsid w:val="000964C7"/>
    <w:rPr>
      <w:rFonts w:ascii="Times New Roman" w:hAnsi="Times New Roman" w:cs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basedOn w:val="DefaultParagraphFont"/>
    <w:rsid w:val="000964C7"/>
    <w:rPr>
      <w:rFonts w:ascii="Times New Roman" w:hAnsi="Times New Roman" w:cs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  <w:lang w:val="fr-CH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basedOn w:val="DefaultParagraphFont"/>
    <w:rsid w:val="000964C7"/>
    <w:rPr>
      <w:rFonts w:ascii="Times New Roman" w:hAnsi="Times New Roman" w:cs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0964C7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semiHidden/>
    <w:rsid w:val="000964C7"/>
    <w:rPr>
      <w:rFonts w:cs="Times New Roman"/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basedOn w:val="DefaultParagraphFont"/>
    <w:rsid w:val="000963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963EA"/>
    <w:rPr>
      <w:lang w:val="fr-CH"/>
    </w:rPr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lang w:val="fr-CH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1</TotalTime>
  <Pages>2</Pages>
  <Words>479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ECE-TRANS-WP15-AC2-2019-XYf.doc</vt:lpstr>
      <vt:lpstr>ECE-TRANS-WP15-AC2-2019-XYf.doc</vt:lpstr>
    </vt:vector>
  </TitlesOfParts>
  <Company>CSD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ECE-TRANS-WP15-AC2-2019-XYf.doc</dc:title>
  <dc:subject/>
  <dc:creator>UNECE</dc:creator>
  <cp:keywords/>
  <dc:description/>
  <cp:lastModifiedBy>Marie-Claude Collet</cp:lastModifiedBy>
  <cp:revision>2</cp:revision>
  <cp:lastPrinted>2019-06-06T11:47:00Z</cp:lastPrinted>
  <dcterms:created xsi:type="dcterms:W3CDTF">2019-06-06T12:30:00Z</dcterms:created>
  <dcterms:modified xsi:type="dcterms:W3CDTF">2019-06-06T12:30:00Z</dcterms:modified>
</cp:coreProperties>
</file>