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447BF" w:rsidRPr="006236CA" w:rsidTr="00F01516">
        <w:trPr>
          <w:trHeight w:hRule="exact" w:val="851"/>
        </w:trPr>
        <w:tc>
          <w:tcPr>
            <w:tcW w:w="1277" w:type="dxa"/>
            <w:tcBorders>
              <w:bottom w:val="single" w:sz="4" w:space="0" w:color="auto"/>
            </w:tcBorders>
          </w:tcPr>
          <w:p w:rsidR="003447BF" w:rsidRPr="00367E6A" w:rsidRDefault="003447BF" w:rsidP="00F01516"/>
        </w:tc>
        <w:tc>
          <w:tcPr>
            <w:tcW w:w="2268" w:type="dxa"/>
            <w:tcBorders>
              <w:bottom w:val="single" w:sz="4" w:space="0" w:color="auto"/>
            </w:tcBorders>
            <w:vAlign w:val="bottom"/>
          </w:tcPr>
          <w:p w:rsidR="003447BF" w:rsidRPr="00367E6A" w:rsidRDefault="003447BF" w:rsidP="00F01516">
            <w:pPr>
              <w:spacing w:after="80" w:line="300" w:lineRule="exact"/>
              <w:rPr>
                <w:sz w:val="28"/>
              </w:rPr>
            </w:pPr>
            <w:r w:rsidRPr="00367E6A">
              <w:rPr>
                <w:sz w:val="28"/>
              </w:rPr>
              <w:t>Nations Unies</w:t>
            </w:r>
          </w:p>
        </w:tc>
        <w:tc>
          <w:tcPr>
            <w:tcW w:w="6094" w:type="dxa"/>
            <w:gridSpan w:val="2"/>
            <w:tcBorders>
              <w:bottom w:val="single" w:sz="4" w:space="0" w:color="auto"/>
            </w:tcBorders>
            <w:vAlign w:val="bottom"/>
          </w:tcPr>
          <w:p w:rsidR="003447BF" w:rsidRPr="006236CA" w:rsidRDefault="003447BF" w:rsidP="002B56D7">
            <w:pPr>
              <w:jc w:val="right"/>
              <w:rPr>
                <w:lang w:val="en-GB"/>
              </w:rPr>
            </w:pPr>
            <w:r w:rsidRPr="006236CA">
              <w:rPr>
                <w:sz w:val="40"/>
                <w:lang w:val="en-GB"/>
              </w:rPr>
              <w:t>ECE</w:t>
            </w:r>
            <w:r w:rsidRPr="006236CA">
              <w:rPr>
                <w:lang w:val="en-GB"/>
              </w:rPr>
              <w:t>/TRANS/WP.15/AC.2/201</w:t>
            </w:r>
            <w:r w:rsidR="00F0529D">
              <w:rPr>
                <w:lang w:val="en-GB"/>
              </w:rPr>
              <w:t>9</w:t>
            </w:r>
            <w:r w:rsidRPr="006236CA">
              <w:rPr>
                <w:lang w:val="en-GB"/>
              </w:rPr>
              <w:t>/</w:t>
            </w:r>
            <w:r w:rsidR="002E67F0">
              <w:rPr>
                <w:lang w:val="en-GB"/>
              </w:rPr>
              <w:t>6</w:t>
            </w:r>
          </w:p>
        </w:tc>
      </w:tr>
      <w:tr w:rsidR="003447BF" w:rsidRPr="00367E6A" w:rsidTr="00F01516">
        <w:trPr>
          <w:trHeight w:hRule="exact" w:val="2835"/>
        </w:trPr>
        <w:tc>
          <w:tcPr>
            <w:tcW w:w="1276" w:type="dxa"/>
            <w:tcBorders>
              <w:top w:val="single" w:sz="4" w:space="0" w:color="auto"/>
              <w:bottom w:val="single" w:sz="12" w:space="0" w:color="auto"/>
            </w:tcBorders>
          </w:tcPr>
          <w:p w:rsidR="003447BF" w:rsidRPr="00367E6A" w:rsidRDefault="00563254" w:rsidP="00F01516">
            <w:pPr>
              <w:spacing w:before="120"/>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pt;height:46.5pt;visibility:visible">
                  <v:imagedata r:id="rId7" o:title=""/>
                </v:shape>
              </w:pict>
            </w:r>
          </w:p>
        </w:tc>
        <w:tc>
          <w:tcPr>
            <w:tcW w:w="5528" w:type="dxa"/>
            <w:gridSpan w:val="2"/>
            <w:tcBorders>
              <w:top w:val="single" w:sz="4" w:space="0" w:color="auto"/>
              <w:bottom w:val="single" w:sz="12" w:space="0" w:color="auto"/>
            </w:tcBorders>
          </w:tcPr>
          <w:p w:rsidR="003447BF" w:rsidRPr="00367E6A" w:rsidRDefault="003447BF" w:rsidP="00F01516">
            <w:pPr>
              <w:spacing w:before="120" w:line="420" w:lineRule="exact"/>
              <w:rPr>
                <w:b/>
                <w:sz w:val="40"/>
                <w:szCs w:val="40"/>
              </w:rPr>
            </w:pPr>
            <w:r w:rsidRPr="00367E6A">
              <w:rPr>
                <w:b/>
                <w:sz w:val="40"/>
                <w:szCs w:val="40"/>
              </w:rPr>
              <w:t>Conseil économique et social</w:t>
            </w:r>
          </w:p>
        </w:tc>
        <w:tc>
          <w:tcPr>
            <w:tcW w:w="2835" w:type="dxa"/>
            <w:tcBorders>
              <w:top w:val="single" w:sz="4" w:space="0" w:color="auto"/>
              <w:bottom w:val="single" w:sz="12" w:space="0" w:color="auto"/>
            </w:tcBorders>
          </w:tcPr>
          <w:p w:rsidR="003447BF" w:rsidRDefault="003447BF" w:rsidP="00C4302B">
            <w:pPr>
              <w:spacing w:before="240" w:line="240" w:lineRule="exact"/>
            </w:pPr>
            <w:proofErr w:type="spellStart"/>
            <w:r>
              <w:t>Distr</w:t>
            </w:r>
            <w:proofErr w:type="spellEnd"/>
            <w:r>
              <w:t xml:space="preserve">. </w:t>
            </w:r>
            <w:proofErr w:type="gramStart"/>
            <w:r>
              <w:t>générale</w:t>
            </w:r>
            <w:proofErr w:type="gramEnd"/>
          </w:p>
          <w:p w:rsidR="003447BF" w:rsidRPr="005562AD" w:rsidRDefault="00144D45" w:rsidP="005562AD">
            <w:pPr>
              <w:spacing w:line="240" w:lineRule="exact"/>
            </w:pPr>
            <w:r>
              <w:t>29</w:t>
            </w:r>
            <w:r w:rsidR="00A60EBA">
              <w:t xml:space="preserve"> </w:t>
            </w:r>
            <w:r w:rsidR="00F0529D">
              <w:t>octobre</w:t>
            </w:r>
            <w:r w:rsidR="007E29D3" w:rsidRPr="005562AD">
              <w:t xml:space="preserve"> 2018</w:t>
            </w:r>
          </w:p>
          <w:p w:rsidR="003447BF" w:rsidRDefault="003447BF" w:rsidP="00C4302B">
            <w:pPr>
              <w:spacing w:line="240" w:lineRule="exact"/>
            </w:pPr>
          </w:p>
          <w:p w:rsidR="003447BF" w:rsidRPr="00367E6A" w:rsidRDefault="003447BF" w:rsidP="00B30CFB">
            <w:pPr>
              <w:spacing w:line="240" w:lineRule="exact"/>
            </w:pPr>
            <w:r>
              <w:t xml:space="preserve">Original: </w:t>
            </w:r>
            <w:r w:rsidR="008D2167">
              <w:t>f</w:t>
            </w:r>
            <w:r>
              <w:t xml:space="preserve">rançais </w:t>
            </w:r>
          </w:p>
        </w:tc>
      </w:tr>
    </w:tbl>
    <w:p w:rsidR="003447BF" w:rsidRPr="00367E6A" w:rsidRDefault="003447BF" w:rsidP="000312C0">
      <w:pPr>
        <w:spacing w:before="120"/>
        <w:rPr>
          <w:b/>
          <w:sz w:val="28"/>
          <w:szCs w:val="28"/>
        </w:rPr>
      </w:pPr>
      <w:r w:rsidRPr="00367E6A">
        <w:rPr>
          <w:b/>
          <w:sz w:val="28"/>
          <w:szCs w:val="28"/>
        </w:rPr>
        <w:t>Commission économique pour l’Europe</w:t>
      </w:r>
    </w:p>
    <w:p w:rsidR="003447BF" w:rsidRPr="00367E6A" w:rsidRDefault="003447BF" w:rsidP="00B93E72">
      <w:pPr>
        <w:spacing w:before="120"/>
        <w:rPr>
          <w:sz w:val="28"/>
          <w:szCs w:val="28"/>
        </w:rPr>
      </w:pPr>
      <w:r w:rsidRPr="00367E6A">
        <w:rPr>
          <w:sz w:val="28"/>
          <w:szCs w:val="28"/>
        </w:rPr>
        <w:t>Comité des transports intérieurs</w:t>
      </w:r>
    </w:p>
    <w:p w:rsidR="003447BF" w:rsidRPr="00367E6A" w:rsidRDefault="003447BF" w:rsidP="00B93E72">
      <w:pPr>
        <w:spacing w:before="120"/>
        <w:rPr>
          <w:b/>
          <w:sz w:val="24"/>
          <w:szCs w:val="24"/>
        </w:rPr>
      </w:pPr>
      <w:r w:rsidRPr="00367E6A">
        <w:rPr>
          <w:b/>
          <w:sz w:val="24"/>
          <w:szCs w:val="24"/>
        </w:rPr>
        <w:t>Groupe de travail des transports de marchandises dangereuses</w:t>
      </w:r>
    </w:p>
    <w:p w:rsidR="003447BF" w:rsidRPr="00A17EEC" w:rsidRDefault="003447BF" w:rsidP="0049374F">
      <w:pPr>
        <w:spacing w:before="120"/>
        <w:rPr>
          <w:b/>
        </w:rPr>
      </w:pPr>
      <w:r w:rsidRPr="00A17EEC">
        <w:rPr>
          <w:b/>
        </w:rPr>
        <w:t>Réunion commune d’experts sur le Règlement annexé</w:t>
      </w:r>
      <w:r w:rsidRPr="00A17EEC">
        <w:rPr>
          <w:b/>
        </w:rPr>
        <w:br/>
        <w:t>à l’Accord européen relatif au transport international</w:t>
      </w:r>
      <w:r w:rsidRPr="00A17EEC">
        <w:rPr>
          <w:b/>
        </w:rPr>
        <w:br/>
        <w:t xml:space="preserve">des marchandises </w:t>
      </w:r>
      <w:r w:rsidRPr="00A17EEC">
        <w:rPr>
          <w:b/>
          <w:bCs/>
          <w:iCs/>
        </w:rPr>
        <w:t>dangereuses par voies de navigation</w:t>
      </w:r>
      <w:r w:rsidRPr="00A17EEC">
        <w:rPr>
          <w:b/>
          <w:bCs/>
          <w:iCs/>
        </w:rPr>
        <w:br/>
        <w:t xml:space="preserve">intérieures (ADN) </w:t>
      </w:r>
      <w:r w:rsidRPr="00A17EEC">
        <w:rPr>
          <w:b/>
          <w:bCs/>
        </w:rPr>
        <w:t>(Comité de sécurité de l’ADN)</w:t>
      </w:r>
    </w:p>
    <w:p w:rsidR="003447BF" w:rsidRPr="00234E40" w:rsidRDefault="00D70305" w:rsidP="007E29D3">
      <w:pPr>
        <w:spacing w:before="120"/>
        <w:rPr>
          <w:b/>
        </w:rPr>
      </w:pPr>
      <w:r>
        <w:rPr>
          <w:b/>
        </w:rPr>
        <w:t>Trente-</w:t>
      </w:r>
      <w:r w:rsidR="00F0529D">
        <w:rPr>
          <w:b/>
        </w:rPr>
        <w:t>quatrième</w:t>
      </w:r>
      <w:r w:rsidR="003447BF">
        <w:rPr>
          <w:b/>
        </w:rPr>
        <w:t xml:space="preserve"> </w:t>
      </w:r>
      <w:r w:rsidR="003447BF" w:rsidRPr="00234E40">
        <w:rPr>
          <w:b/>
        </w:rPr>
        <w:t>session</w:t>
      </w:r>
    </w:p>
    <w:p w:rsidR="003447BF" w:rsidRDefault="003447BF" w:rsidP="007E29D3">
      <w:r>
        <w:t xml:space="preserve">Genève, </w:t>
      </w:r>
      <w:r w:rsidR="00F0529D">
        <w:t>2</w:t>
      </w:r>
      <w:r w:rsidR="004E3872">
        <w:t>1</w:t>
      </w:r>
      <w:r w:rsidR="007E29D3">
        <w:t>-</w:t>
      </w:r>
      <w:r w:rsidR="00F0529D">
        <w:t>25</w:t>
      </w:r>
      <w:r w:rsidR="007E29D3">
        <w:t xml:space="preserve"> </w:t>
      </w:r>
      <w:r w:rsidR="00F0529D">
        <w:t>janvier</w:t>
      </w:r>
      <w:r>
        <w:t xml:space="preserve"> 201</w:t>
      </w:r>
      <w:r w:rsidR="00F0529D">
        <w:t>9</w:t>
      </w:r>
    </w:p>
    <w:p w:rsidR="003447BF" w:rsidRDefault="003447BF" w:rsidP="00ED1849">
      <w:r w:rsidRPr="00B93E72">
        <w:t xml:space="preserve">Point </w:t>
      </w:r>
      <w:r w:rsidR="002E67F0">
        <w:t>5 b)</w:t>
      </w:r>
      <w:r w:rsidRPr="00B93E72">
        <w:t xml:space="preserve"> de l</w:t>
      </w:r>
      <w:r>
        <w:t>’</w:t>
      </w:r>
      <w:r w:rsidRPr="00B93E72">
        <w:t>ordre du jour provisoire</w:t>
      </w:r>
    </w:p>
    <w:p w:rsidR="003447BF" w:rsidRPr="002E67F0" w:rsidRDefault="002E67F0" w:rsidP="002E67F0">
      <w:pPr>
        <w:rPr>
          <w:b/>
          <w:bCs/>
        </w:rPr>
      </w:pPr>
      <w:r w:rsidRPr="002E67F0">
        <w:rPr>
          <w:b/>
        </w:rPr>
        <w:t>Propositions d’amendements au Règlement annexé à l’ADN:</w:t>
      </w:r>
      <w:r>
        <w:rPr>
          <w:b/>
        </w:rPr>
        <w:br/>
      </w:r>
      <w:r>
        <w:rPr>
          <w:b/>
          <w:bCs/>
        </w:rPr>
        <w:t>a</w:t>
      </w:r>
      <w:r w:rsidRPr="002E67F0">
        <w:rPr>
          <w:b/>
          <w:bCs/>
        </w:rPr>
        <w:t>utres propositions</w:t>
      </w:r>
    </w:p>
    <w:p w:rsidR="003447BF" w:rsidRPr="00EA0C87" w:rsidRDefault="003447BF" w:rsidP="007267F4">
      <w:pPr>
        <w:pStyle w:val="HChG"/>
      </w:pPr>
      <w:r w:rsidRPr="00C63AC1">
        <w:tab/>
      </w:r>
      <w:r w:rsidRPr="00C63AC1">
        <w:tab/>
      </w:r>
      <w:r w:rsidR="007267F4" w:rsidRPr="007267F4">
        <w:rPr>
          <w:bCs/>
          <w:iCs/>
        </w:rPr>
        <w:t>Section 7.1.7 ADN –</w:t>
      </w:r>
      <w:r w:rsidR="007267F4">
        <w:rPr>
          <w:bCs/>
          <w:iCs/>
        </w:rPr>
        <w:t xml:space="preserve"> </w:t>
      </w:r>
      <w:r w:rsidR="007267F4" w:rsidRPr="007267F4">
        <w:rPr>
          <w:bCs/>
          <w:iCs/>
        </w:rPr>
        <w:t xml:space="preserve">Dispositions particulières applicables au transport des matières </w:t>
      </w:r>
      <w:proofErr w:type="spellStart"/>
      <w:r w:rsidR="007267F4" w:rsidRPr="007267F4">
        <w:rPr>
          <w:bCs/>
          <w:iCs/>
        </w:rPr>
        <w:t>autoréactives</w:t>
      </w:r>
      <w:proofErr w:type="spellEnd"/>
      <w:r w:rsidR="007267F4" w:rsidRPr="007267F4">
        <w:rPr>
          <w:bCs/>
          <w:iCs/>
        </w:rPr>
        <w:t xml:space="preserve"> de la classe 4.1, des peroxydes organiques de la classe 5.2 et des matières stabilisées par régulation de température (autres que les matières </w:t>
      </w:r>
      <w:proofErr w:type="spellStart"/>
      <w:r w:rsidR="007267F4" w:rsidRPr="007267F4">
        <w:rPr>
          <w:bCs/>
          <w:iCs/>
        </w:rPr>
        <w:t>autoréactives</w:t>
      </w:r>
      <w:proofErr w:type="spellEnd"/>
      <w:r w:rsidR="007267F4" w:rsidRPr="007267F4">
        <w:rPr>
          <w:bCs/>
          <w:iCs/>
        </w:rPr>
        <w:t xml:space="preserve"> ou les peroxydes organiques)</w:t>
      </w:r>
    </w:p>
    <w:p w:rsidR="003447BF" w:rsidRDefault="003447BF" w:rsidP="00A91058">
      <w:pPr>
        <w:pStyle w:val="H1G"/>
        <w:keepNext w:val="0"/>
      </w:pPr>
      <w:r w:rsidRPr="00EA0C87">
        <w:tab/>
      </w:r>
      <w:r w:rsidRPr="00EA0C87">
        <w:tab/>
      </w:r>
      <w:r w:rsidR="000B09A4">
        <w:t>Communication d</w:t>
      </w:r>
      <w:r w:rsidR="007267F4">
        <w:t>u</w:t>
      </w:r>
      <w:r w:rsidR="00147C56">
        <w:t xml:space="preserve"> </w:t>
      </w:r>
      <w:r w:rsidR="007267F4">
        <w:t>G</w:t>
      </w:r>
      <w:r w:rsidR="00147C56">
        <w:t xml:space="preserve">ouvernement de </w:t>
      </w:r>
      <w:r w:rsidR="00692B8B" w:rsidRPr="00692B8B">
        <w:rPr>
          <w:lang w:eastAsia="fr-FR"/>
        </w:rPr>
        <w:t xml:space="preserve">l’Allemagne </w:t>
      </w:r>
      <w:r w:rsidR="002C0963" w:rsidRPr="002C0963">
        <w:rPr>
          <w:rStyle w:val="FootnoteReference"/>
          <w:b w:val="0"/>
          <w:bCs/>
          <w:sz w:val="22"/>
          <w:szCs w:val="22"/>
          <w:vertAlign w:val="baseline"/>
        </w:rPr>
        <w:footnoteReference w:customMarkFollows="1" w:id="2"/>
        <w:t>*</w:t>
      </w:r>
      <w:r w:rsidR="002B64A7" w:rsidRPr="002C0963">
        <w:rPr>
          <w:b w:val="0"/>
          <w:bCs/>
          <w:sz w:val="22"/>
          <w:szCs w:val="28"/>
        </w:rPr>
        <w:t>,</w:t>
      </w:r>
      <w:r w:rsidR="002C0963" w:rsidRPr="002C0963">
        <w:rPr>
          <w:rStyle w:val="FootnoteReference"/>
          <w:b w:val="0"/>
          <w:bCs/>
          <w:sz w:val="22"/>
          <w:szCs w:val="28"/>
          <w:vertAlign w:val="baseline"/>
        </w:rPr>
        <w:footnoteReference w:customMarkFollows="1" w:id="3"/>
        <w:t>**</w:t>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30"/>
        <w:gridCol w:w="7309"/>
      </w:tblGrid>
      <w:tr w:rsidR="00692B8B" w:rsidRPr="00692B8B" w:rsidTr="00FC1EF5">
        <w:trPr>
          <w:jc w:val="center"/>
        </w:trPr>
        <w:tc>
          <w:tcPr>
            <w:tcW w:w="2330" w:type="dxa"/>
          </w:tcPr>
          <w:p w:rsidR="00692B8B" w:rsidRPr="00692B8B" w:rsidRDefault="00692B8B" w:rsidP="00692B8B">
            <w:pPr>
              <w:tabs>
                <w:tab w:val="left" w:pos="284"/>
              </w:tabs>
              <w:spacing w:before="120" w:after="120"/>
              <w:rPr>
                <w:i/>
                <w:snapToGrid w:val="0"/>
                <w:lang w:eastAsia="fr-FR"/>
              </w:rPr>
            </w:pPr>
            <w:r w:rsidRPr="00692B8B">
              <w:rPr>
                <w:rFonts w:eastAsia="Arial"/>
                <w:i/>
                <w:snapToGrid w:val="0"/>
                <w:lang w:eastAsia="fr-FR"/>
              </w:rPr>
              <w:t>Résumé</w:t>
            </w:r>
          </w:p>
        </w:tc>
        <w:tc>
          <w:tcPr>
            <w:tcW w:w="7309" w:type="dxa"/>
          </w:tcPr>
          <w:p w:rsidR="00692B8B" w:rsidRPr="00692B8B" w:rsidRDefault="00692B8B" w:rsidP="00692B8B">
            <w:pPr>
              <w:spacing w:before="120" w:after="120"/>
              <w:jc w:val="both"/>
              <w:rPr>
                <w:snapToGrid w:val="0"/>
                <w:lang w:eastAsia="fr-FR"/>
              </w:rPr>
            </w:pPr>
          </w:p>
        </w:tc>
      </w:tr>
      <w:tr w:rsidR="00692B8B" w:rsidRPr="00692B8B" w:rsidTr="00FC1EF5">
        <w:trPr>
          <w:jc w:val="center"/>
        </w:trPr>
        <w:tc>
          <w:tcPr>
            <w:tcW w:w="2330" w:type="dxa"/>
          </w:tcPr>
          <w:p w:rsidR="00692B8B" w:rsidRPr="00692B8B" w:rsidRDefault="00692B8B" w:rsidP="00692B8B">
            <w:pPr>
              <w:tabs>
                <w:tab w:val="left" w:pos="284"/>
              </w:tabs>
              <w:spacing w:before="120" w:after="120"/>
              <w:rPr>
                <w:b/>
                <w:snapToGrid w:val="0"/>
                <w:lang w:eastAsia="fr-FR"/>
              </w:rPr>
            </w:pPr>
            <w:r w:rsidRPr="00692B8B">
              <w:rPr>
                <w:b/>
                <w:snapToGrid w:val="0"/>
                <w:lang w:eastAsia="fr-FR"/>
              </w:rPr>
              <w:t>Résumé analytique :</w:t>
            </w:r>
          </w:p>
        </w:tc>
        <w:tc>
          <w:tcPr>
            <w:tcW w:w="7309" w:type="dxa"/>
          </w:tcPr>
          <w:p w:rsidR="007640B5" w:rsidRPr="007640B5" w:rsidRDefault="007640B5" w:rsidP="007640B5">
            <w:pPr>
              <w:spacing w:before="120"/>
              <w:jc w:val="both"/>
              <w:rPr>
                <w:bCs/>
                <w:snapToGrid w:val="0"/>
                <w:lang w:eastAsia="fr-FR"/>
              </w:rPr>
            </w:pPr>
            <w:r w:rsidRPr="007640B5">
              <w:rPr>
                <w:bCs/>
                <w:snapToGrid w:val="0"/>
                <w:lang w:eastAsia="fr-FR"/>
              </w:rPr>
              <w:t xml:space="preserve">Au cours de sa </w:t>
            </w:r>
            <w:r w:rsidR="000322D4">
              <w:rPr>
                <w:bCs/>
                <w:snapToGrid w:val="0"/>
                <w:lang w:eastAsia="fr-FR"/>
              </w:rPr>
              <w:t>trente-troisième</w:t>
            </w:r>
            <w:r w:rsidRPr="007640B5">
              <w:rPr>
                <w:bCs/>
                <w:snapToGrid w:val="0"/>
                <w:lang w:eastAsia="fr-FR"/>
              </w:rPr>
              <w:t xml:space="preserve"> session, le Comité de sécurité a adopté pour l'ADN 2019 une nouvelle section 7.1.7 dans le cadre de l'harmonisation par rapport aux prescriptions de l'ADR.</w:t>
            </w:r>
          </w:p>
          <w:p w:rsidR="00692B8B" w:rsidRPr="00692B8B" w:rsidRDefault="007640B5" w:rsidP="007640B5">
            <w:pPr>
              <w:spacing w:before="120"/>
              <w:jc w:val="both"/>
              <w:rPr>
                <w:bCs/>
                <w:snapToGrid w:val="0"/>
                <w:lang w:eastAsia="fr-FR"/>
              </w:rPr>
            </w:pPr>
            <w:r w:rsidRPr="007640B5">
              <w:rPr>
                <w:bCs/>
                <w:snapToGrid w:val="0"/>
                <w:lang w:eastAsia="fr-FR"/>
              </w:rPr>
              <w:t xml:space="preserve">Lors de cette session, l'Allemagne avait déjà soulevé un certain nombre de questions concernant l'affectation correcte des obligations visées au 7.1.7 et avait été invitée à présenter </w:t>
            </w:r>
            <w:r w:rsidR="000322D4">
              <w:rPr>
                <w:bCs/>
                <w:snapToGrid w:val="0"/>
                <w:lang w:eastAsia="fr-FR"/>
              </w:rPr>
              <w:t>une proposition officielle</w:t>
            </w:r>
            <w:r w:rsidRPr="007640B5">
              <w:rPr>
                <w:bCs/>
                <w:snapToGrid w:val="0"/>
                <w:lang w:eastAsia="fr-FR"/>
              </w:rPr>
              <w:t xml:space="preserve"> pour la </w:t>
            </w:r>
            <w:r w:rsidR="000322D4">
              <w:rPr>
                <w:bCs/>
                <w:snapToGrid w:val="0"/>
                <w:lang w:eastAsia="fr-FR"/>
              </w:rPr>
              <w:t>trente-quatrième</w:t>
            </w:r>
            <w:r w:rsidRPr="007640B5">
              <w:rPr>
                <w:bCs/>
                <w:snapToGrid w:val="0"/>
                <w:lang w:eastAsia="fr-FR"/>
              </w:rPr>
              <w:t xml:space="preserve"> session.</w:t>
            </w:r>
          </w:p>
        </w:tc>
      </w:tr>
      <w:tr w:rsidR="00692B8B" w:rsidRPr="00692B8B" w:rsidTr="00FC1EF5">
        <w:trPr>
          <w:jc w:val="center"/>
        </w:trPr>
        <w:tc>
          <w:tcPr>
            <w:tcW w:w="2330" w:type="dxa"/>
          </w:tcPr>
          <w:p w:rsidR="00692B8B" w:rsidRPr="00692B8B" w:rsidRDefault="00692B8B" w:rsidP="00692B8B">
            <w:pPr>
              <w:tabs>
                <w:tab w:val="left" w:pos="284"/>
              </w:tabs>
              <w:spacing w:before="120" w:after="120"/>
              <w:rPr>
                <w:b/>
                <w:snapToGrid w:val="0"/>
                <w:lang w:eastAsia="fr-FR"/>
              </w:rPr>
            </w:pPr>
            <w:r w:rsidRPr="00692B8B">
              <w:rPr>
                <w:b/>
                <w:snapToGrid w:val="0"/>
                <w:lang w:eastAsia="fr-FR"/>
              </w:rPr>
              <w:lastRenderedPageBreak/>
              <w:t>Mesure à prendre :</w:t>
            </w:r>
          </w:p>
        </w:tc>
        <w:tc>
          <w:tcPr>
            <w:tcW w:w="7309" w:type="dxa"/>
          </w:tcPr>
          <w:p w:rsidR="007640B5" w:rsidRPr="007640B5" w:rsidRDefault="007640B5" w:rsidP="007640B5">
            <w:pPr>
              <w:spacing w:before="120"/>
              <w:jc w:val="both"/>
              <w:rPr>
                <w:snapToGrid w:val="0"/>
                <w:lang w:eastAsia="fr-FR"/>
              </w:rPr>
            </w:pPr>
            <w:r w:rsidRPr="007640B5">
              <w:rPr>
                <w:snapToGrid w:val="0"/>
                <w:lang w:eastAsia="fr-FR"/>
              </w:rPr>
              <w:t>Concertation sur une interprétation commune des obligations découlant du 7.1.7</w:t>
            </w:r>
          </w:p>
          <w:p w:rsidR="007640B5" w:rsidRPr="007640B5" w:rsidRDefault="007640B5" w:rsidP="00AF4927">
            <w:pPr>
              <w:jc w:val="both"/>
              <w:rPr>
                <w:snapToGrid w:val="0"/>
                <w:lang w:eastAsia="fr-FR"/>
              </w:rPr>
            </w:pPr>
            <w:r w:rsidRPr="007640B5">
              <w:rPr>
                <w:snapToGrid w:val="0"/>
                <w:lang w:eastAsia="fr-FR"/>
              </w:rPr>
              <w:t xml:space="preserve">Complément aux obligations de l'expéditeur au 1.4.2.2.1 </w:t>
            </w:r>
          </w:p>
          <w:p w:rsidR="007640B5" w:rsidRPr="007640B5" w:rsidRDefault="007640B5" w:rsidP="00AF4927">
            <w:pPr>
              <w:jc w:val="both"/>
              <w:rPr>
                <w:snapToGrid w:val="0"/>
                <w:lang w:eastAsia="fr-FR"/>
              </w:rPr>
            </w:pPr>
            <w:r w:rsidRPr="007640B5">
              <w:rPr>
                <w:snapToGrid w:val="0"/>
                <w:lang w:eastAsia="fr-FR"/>
              </w:rPr>
              <w:t xml:space="preserve">Ajout d'une obligation de documentation au 7.1.7.4.2 </w:t>
            </w:r>
          </w:p>
          <w:p w:rsidR="00692B8B" w:rsidRPr="00692B8B" w:rsidRDefault="007640B5" w:rsidP="00AF4927">
            <w:pPr>
              <w:jc w:val="both"/>
              <w:rPr>
                <w:snapToGrid w:val="0"/>
                <w:lang w:eastAsia="fr-FR"/>
              </w:rPr>
            </w:pPr>
            <w:r w:rsidRPr="007640B5">
              <w:rPr>
                <w:snapToGrid w:val="0"/>
                <w:lang w:eastAsia="fr-FR"/>
              </w:rPr>
              <w:t>Nouvelle prescrip</w:t>
            </w:r>
            <w:r w:rsidR="00563254">
              <w:rPr>
                <w:snapToGrid w:val="0"/>
                <w:lang w:eastAsia="fr-FR"/>
              </w:rPr>
              <w:t>tion relative à l'arrimage</w:t>
            </w:r>
            <w:proofErr w:type="gramStart"/>
            <w:r w:rsidR="00563254">
              <w:rPr>
                <w:snapToGrid w:val="0"/>
                <w:lang w:eastAsia="fr-FR"/>
              </w:rPr>
              <w:t xml:space="preserve"> «</w:t>
            </w:r>
            <w:r w:rsidR="00144D45">
              <w:rPr>
                <w:snapToGrid w:val="0"/>
                <w:lang w:eastAsia="fr-FR"/>
              </w:rPr>
              <w:t>HA</w:t>
            </w:r>
            <w:proofErr w:type="gramEnd"/>
            <w:r w:rsidR="00563254">
              <w:rPr>
                <w:snapToGrid w:val="0"/>
                <w:lang w:eastAsia="fr-FR"/>
              </w:rPr>
              <w:t>11</w:t>
            </w:r>
            <w:r w:rsidRPr="007640B5">
              <w:rPr>
                <w:snapToGrid w:val="0"/>
                <w:lang w:eastAsia="fr-FR"/>
              </w:rPr>
              <w:t xml:space="preserve">» au 7.1.6.14 </w:t>
            </w:r>
          </w:p>
        </w:tc>
      </w:tr>
      <w:tr w:rsidR="00692B8B" w:rsidRPr="00692B8B" w:rsidTr="00FC1EF5">
        <w:trPr>
          <w:jc w:val="center"/>
        </w:trPr>
        <w:tc>
          <w:tcPr>
            <w:tcW w:w="2330" w:type="dxa"/>
          </w:tcPr>
          <w:p w:rsidR="00692B8B" w:rsidRPr="00692B8B" w:rsidRDefault="00692B8B" w:rsidP="00692B8B">
            <w:pPr>
              <w:tabs>
                <w:tab w:val="left" w:pos="284"/>
              </w:tabs>
              <w:spacing w:before="120" w:after="120"/>
              <w:rPr>
                <w:b/>
                <w:snapToGrid w:val="0"/>
                <w:lang w:eastAsia="fr-FR"/>
              </w:rPr>
            </w:pPr>
            <w:r w:rsidRPr="00692B8B">
              <w:rPr>
                <w:b/>
                <w:snapToGrid w:val="0"/>
                <w:lang w:eastAsia="fr-FR"/>
              </w:rPr>
              <w:t>Documents connexes :</w:t>
            </w:r>
          </w:p>
        </w:tc>
        <w:tc>
          <w:tcPr>
            <w:tcW w:w="7309" w:type="dxa"/>
          </w:tcPr>
          <w:p w:rsidR="007640B5" w:rsidRPr="007640B5" w:rsidRDefault="000322D4" w:rsidP="007640B5">
            <w:pPr>
              <w:spacing w:before="120" w:after="120"/>
              <w:jc w:val="both"/>
              <w:rPr>
                <w:snapToGrid w:val="0"/>
                <w:lang w:eastAsia="fr-FR"/>
              </w:rPr>
            </w:pPr>
            <w:r>
              <w:rPr>
                <w:snapToGrid w:val="0"/>
                <w:lang w:eastAsia="fr-FR"/>
              </w:rPr>
              <w:t xml:space="preserve">Document informel </w:t>
            </w:r>
            <w:r w:rsidR="007640B5" w:rsidRPr="007640B5">
              <w:rPr>
                <w:snapToGrid w:val="0"/>
                <w:lang w:eastAsia="fr-FR"/>
              </w:rPr>
              <w:t xml:space="preserve">INF.12 (Allemagne) de la </w:t>
            </w:r>
            <w:r>
              <w:rPr>
                <w:snapToGrid w:val="0"/>
                <w:lang w:eastAsia="fr-FR"/>
              </w:rPr>
              <w:t>trente-troisième</w:t>
            </w:r>
            <w:r w:rsidR="007640B5" w:rsidRPr="007640B5">
              <w:rPr>
                <w:snapToGrid w:val="0"/>
                <w:lang w:eastAsia="fr-FR"/>
              </w:rPr>
              <w:t xml:space="preserve"> session ;</w:t>
            </w:r>
          </w:p>
          <w:p w:rsidR="00692B8B" w:rsidRPr="00692B8B" w:rsidRDefault="007640B5" w:rsidP="007640B5">
            <w:pPr>
              <w:spacing w:before="120" w:after="120"/>
              <w:jc w:val="both"/>
              <w:rPr>
                <w:snapToGrid w:val="0"/>
                <w:lang w:eastAsia="fr-FR"/>
              </w:rPr>
            </w:pPr>
            <w:r w:rsidRPr="007640B5">
              <w:rPr>
                <w:snapToGrid w:val="0"/>
                <w:lang w:eastAsia="fr-FR"/>
              </w:rPr>
              <w:t xml:space="preserve">ECE/TRANS/WP.15/AC.2/68 </w:t>
            </w:r>
            <w:r w:rsidR="00AF4927">
              <w:rPr>
                <w:snapToGrid w:val="0"/>
                <w:lang w:eastAsia="fr-FR"/>
              </w:rPr>
              <w:t>(</w:t>
            </w:r>
            <w:r w:rsidRPr="007640B5">
              <w:rPr>
                <w:snapToGrid w:val="0"/>
                <w:lang w:eastAsia="fr-FR"/>
              </w:rPr>
              <w:t xml:space="preserve">Rapport de la </w:t>
            </w:r>
            <w:r w:rsidR="00AF4927">
              <w:t>trente-troisième</w:t>
            </w:r>
            <w:r w:rsidRPr="007640B5">
              <w:rPr>
                <w:snapToGrid w:val="0"/>
                <w:lang w:eastAsia="fr-FR"/>
              </w:rPr>
              <w:t xml:space="preserve"> session du Comité de Sécurité ADN, paras. 38 et. 39</w:t>
            </w:r>
            <w:r w:rsidR="00AF4927">
              <w:rPr>
                <w:snapToGrid w:val="0"/>
                <w:lang w:eastAsia="fr-FR"/>
              </w:rPr>
              <w:t>)</w:t>
            </w:r>
          </w:p>
        </w:tc>
      </w:tr>
    </w:tbl>
    <w:p w:rsidR="008C56C0" w:rsidRPr="008C56C0" w:rsidRDefault="008C56C0" w:rsidP="008C56C0">
      <w:pPr>
        <w:pStyle w:val="HChG"/>
      </w:pPr>
      <w:r>
        <w:tab/>
      </w:r>
      <w:r>
        <w:tab/>
      </w:r>
      <w:r w:rsidRPr="008C56C0">
        <w:t>Introduction</w:t>
      </w:r>
    </w:p>
    <w:p w:rsidR="00AF4927" w:rsidRDefault="00AF4927" w:rsidP="00AF4927">
      <w:pPr>
        <w:pStyle w:val="SingleTxtG"/>
      </w:pPr>
      <w:r w:rsidRPr="00AF4927">
        <w:t>1.</w:t>
      </w:r>
      <w:r w:rsidRPr="00AF4927">
        <w:tab/>
        <w:t xml:space="preserve">La sous-section 7.1.7.4 contient des obligations particulières faites aux entreprises intervenant dans le transport d'engins de transport avec régulation de température. La délégation allemande estime qu'il n'est pas suffisamment clair à quelle entreprise impliquée dans le transport incombent ces obligations. Au cours de la </w:t>
      </w:r>
      <w:r w:rsidR="000322D4">
        <w:rPr>
          <w:snapToGrid w:val="0"/>
          <w:lang w:eastAsia="fr-FR"/>
        </w:rPr>
        <w:t>trente-troisième</w:t>
      </w:r>
      <w:r w:rsidRPr="00AF4927">
        <w:t xml:space="preserve"> session du Comité de sécurité, certaines délégations ont préconisé une approche selon laquelle l'affectation des obligations pourrait être documentée sous la forme d'une interprétation par le Comité de sécurité de l'ADN.</w:t>
      </w:r>
    </w:p>
    <w:p w:rsidR="00AF4927" w:rsidRPr="00AF4927" w:rsidRDefault="00AF4927" w:rsidP="00AF4927">
      <w:pPr>
        <w:pStyle w:val="SingleTxtG"/>
      </w:pPr>
      <w:r w:rsidRPr="00AF4927">
        <w:t>2.</w:t>
      </w:r>
      <w:r w:rsidRPr="00AF4927">
        <w:tab/>
        <w:t xml:space="preserve">Donnant suite à la demande susmentionnée après la </w:t>
      </w:r>
      <w:r>
        <w:t>trente-troisième</w:t>
      </w:r>
      <w:r w:rsidRPr="00AF4927">
        <w:t xml:space="preserve"> session, la délégation allemande s'est concertée avec la délégation néerlandaise sur une interprétation commune de l'affectation des obligations découlant </w:t>
      </w:r>
      <w:r w:rsidR="000322D4">
        <w:t>du</w:t>
      </w:r>
      <w:r w:rsidRPr="00AF4927">
        <w:t xml:space="preserve"> 7.1.7.</w:t>
      </w:r>
    </w:p>
    <w:p w:rsidR="00AF4927" w:rsidRPr="00AF4927" w:rsidRDefault="00AF4927" w:rsidP="00AF4927">
      <w:pPr>
        <w:pStyle w:val="SingleTxtG"/>
      </w:pPr>
      <w:r w:rsidRPr="00AF4927">
        <w:t>3.</w:t>
      </w:r>
      <w:r w:rsidRPr="00AF4927">
        <w:tab/>
        <w:t xml:space="preserve">Il a été constaté que la plupart des obligations énoncées </w:t>
      </w:r>
      <w:r w:rsidR="000322D4">
        <w:t>au</w:t>
      </w:r>
      <w:r w:rsidRPr="00AF4927">
        <w:t xml:space="preserve"> 7.1.7.4 peuvent déjà être affectées dès à présent à certaines entreprises sans mention expresse au chapitre 1.4. Certaines obligations devraient toutefois être mentionnées expressément dans la liste du chapitre 1.4. Cette affectation des obligations et les modifications proposées sont présentées dans le tableau ci-après.</w:t>
      </w:r>
    </w:p>
    <w:p w:rsidR="00AF4927" w:rsidRPr="00AF4927" w:rsidRDefault="00AF4927" w:rsidP="00AF4927">
      <w:pPr>
        <w:pStyle w:val="SingleTxtG"/>
      </w:pPr>
      <w:r w:rsidRPr="00AF4927">
        <w:t>4.</w:t>
      </w:r>
      <w:r w:rsidRPr="00AF4927">
        <w:tab/>
        <w:t>Étant donné que les conteneurs de marchandises avec régulation de température, notamment, doivent être accessibles en permanence à bord afin de pouvoir effectuer des relevés de température et, le cas échéant, des réparations sur les installations de réfrigération, il est proposé d'ajouter dans l'ADN une prescription supplémentaire relative à l'arrimage et de la rendre applicable à certains numéros ONU.</w:t>
      </w:r>
    </w:p>
    <w:p w:rsidR="00AF4927" w:rsidRPr="00AF4927" w:rsidRDefault="00AF4927" w:rsidP="00AF4927">
      <w:pPr>
        <w:pStyle w:val="SingleTxtG"/>
      </w:pPr>
      <w:r w:rsidRPr="00AF4927">
        <w:t>5.</w:t>
      </w:r>
      <w:r w:rsidRPr="00AF4927">
        <w:tab/>
        <w:t>Les prescriptions du 7.1.4.4.4 concernant le raccordement de câbles électriques sont jugées suffisantes aussi pour les installations de réfrigération décrites au 7.1.7.4.5.</w:t>
      </w:r>
    </w:p>
    <w:p w:rsidR="00AF4927" w:rsidRPr="00AF4927" w:rsidRDefault="00AF4927" w:rsidP="00AF4927">
      <w:pPr>
        <w:pStyle w:val="HChG"/>
      </w:pPr>
      <w:r>
        <w:tab/>
      </w:r>
      <w:r>
        <w:tab/>
      </w:r>
      <w:r w:rsidRPr="00AF4927">
        <w:t>Affectation des obligations</w:t>
      </w:r>
    </w:p>
    <w:p w:rsidR="009673C7" w:rsidRDefault="00AF4927" w:rsidP="00144D45">
      <w:pPr>
        <w:pStyle w:val="SingleTxtG"/>
        <w:rPr>
          <w:iCs/>
        </w:rPr>
      </w:pPr>
      <w:r w:rsidRPr="00AF4927">
        <w:t>6.</w:t>
      </w:r>
      <w:r w:rsidRPr="00AF4927">
        <w:tab/>
        <w:t xml:space="preserve">L'Allemagne invite le Comité de sécurité de l'ADN à examiner la proposition pour l'affectation des obligations résultant </w:t>
      </w:r>
      <w:r w:rsidR="000322D4">
        <w:t>du</w:t>
      </w:r>
      <w:r w:rsidRPr="00AF4927">
        <w:t xml:space="preserve"> 7.1.7 et à la valider puis à apporter les modifications proposées au chapitre 1.4.</w:t>
      </w:r>
    </w:p>
    <w:tbl>
      <w:tblPr>
        <w:tblStyle w:val="TableGrid4"/>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2554"/>
        <w:gridCol w:w="1389"/>
        <w:gridCol w:w="2556"/>
        <w:gridCol w:w="20"/>
      </w:tblGrid>
      <w:tr w:rsidR="009673C7" w:rsidRPr="009673C7" w:rsidTr="00144D45">
        <w:trPr>
          <w:tblHeader/>
        </w:trPr>
        <w:tc>
          <w:tcPr>
            <w:tcW w:w="851" w:type="dxa"/>
            <w:tcBorders>
              <w:top w:val="single" w:sz="4" w:space="0" w:color="auto"/>
              <w:bottom w:val="single" w:sz="12" w:space="0" w:color="auto"/>
            </w:tcBorders>
            <w:shd w:val="clear" w:color="auto" w:fill="auto"/>
            <w:vAlign w:val="bottom"/>
          </w:tcPr>
          <w:p w:rsidR="009673C7" w:rsidRPr="000322D4" w:rsidRDefault="009673C7" w:rsidP="00144D45">
            <w:pPr>
              <w:keepNext/>
              <w:keepLines/>
              <w:suppressAutoHyphens w:val="0"/>
              <w:overflowPunct w:val="0"/>
              <w:autoSpaceDE w:val="0"/>
              <w:autoSpaceDN w:val="0"/>
              <w:adjustRightInd w:val="0"/>
              <w:spacing w:before="80" w:after="80" w:line="200" w:lineRule="exact"/>
              <w:ind w:right="113"/>
              <w:textAlignment w:val="baseline"/>
              <w:rPr>
                <w:i/>
                <w:spacing w:val="-4"/>
                <w:sz w:val="16"/>
                <w:lang w:eastAsia="fr-FR"/>
              </w:rPr>
            </w:pPr>
            <w:r w:rsidRPr="000322D4">
              <w:rPr>
                <w:i/>
                <w:spacing w:val="-4"/>
                <w:sz w:val="16"/>
                <w:lang w:eastAsia="fr-FR"/>
              </w:rPr>
              <w:lastRenderedPageBreak/>
              <w:t>Paragraphe</w:t>
            </w:r>
          </w:p>
        </w:tc>
        <w:tc>
          <w:tcPr>
            <w:tcW w:w="2554" w:type="dxa"/>
            <w:tcBorders>
              <w:top w:val="single" w:sz="4" w:space="0" w:color="auto"/>
              <w:bottom w:val="single" w:sz="12" w:space="0" w:color="auto"/>
            </w:tcBorders>
            <w:shd w:val="clear" w:color="auto" w:fill="auto"/>
            <w:vAlign w:val="bottom"/>
          </w:tcPr>
          <w:p w:rsidR="009673C7" w:rsidRPr="009673C7" w:rsidRDefault="009673C7" w:rsidP="00144D45">
            <w:pPr>
              <w:keepNext/>
              <w:keepLines/>
              <w:suppressAutoHyphens w:val="0"/>
              <w:overflowPunct w:val="0"/>
              <w:autoSpaceDE w:val="0"/>
              <w:autoSpaceDN w:val="0"/>
              <w:adjustRightInd w:val="0"/>
              <w:spacing w:before="80" w:after="80" w:line="200" w:lineRule="exact"/>
              <w:ind w:right="113"/>
              <w:textAlignment w:val="baseline"/>
              <w:rPr>
                <w:i/>
                <w:sz w:val="16"/>
                <w:lang w:eastAsia="fr-FR"/>
              </w:rPr>
            </w:pPr>
            <w:r w:rsidRPr="009673C7">
              <w:rPr>
                <w:i/>
                <w:sz w:val="16"/>
                <w:lang w:eastAsia="fr-FR"/>
              </w:rPr>
              <w:t>Obligation</w:t>
            </w:r>
          </w:p>
        </w:tc>
        <w:tc>
          <w:tcPr>
            <w:tcW w:w="1389" w:type="dxa"/>
            <w:tcBorders>
              <w:top w:val="single" w:sz="4" w:space="0" w:color="auto"/>
              <w:bottom w:val="single" w:sz="12" w:space="0" w:color="auto"/>
            </w:tcBorders>
            <w:shd w:val="clear" w:color="auto" w:fill="auto"/>
            <w:vAlign w:val="bottom"/>
          </w:tcPr>
          <w:p w:rsidR="009673C7" w:rsidRPr="009673C7" w:rsidRDefault="009673C7" w:rsidP="00144D45">
            <w:pPr>
              <w:keepNext/>
              <w:keepLines/>
              <w:suppressAutoHyphens w:val="0"/>
              <w:overflowPunct w:val="0"/>
              <w:autoSpaceDE w:val="0"/>
              <w:autoSpaceDN w:val="0"/>
              <w:adjustRightInd w:val="0"/>
              <w:spacing w:before="80" w:after="80" w:line="200" w:lineRule="exact"/>
              <w:ind w:right="113"/>
              <w:textAlignment w:val="baseline"/>
              <w:rPr>
                <w:i/>
                <w:sz w:val="16"/>
                <w:lang w:eastAsia="fr-FR"/>
              </w:rPr>
            </w:pPr>
            <w:r w:rsidRPr="009673C7">
              <w:rPr>
                <w:i/>
                <w:sz w:val="16"/>
                <w:lang w:eastAsia="fr-FR"/>
              </w:rPr>
              <w:t>Entreprise responsable</w:t>
            </w:r>
          </w:p>
        </w:tc>
        <w:tc>
          <w:tcPr>
            <w:tcW w:w="2576" w:type="dxa"/>
            <w:gridSpan w:val="2"/>
            <w:tcBorders>
              <w:top w:val="single" w:sz="4" w:space="0" w:color="auto"/>
              <w:bottom w:val="single" w:sz="12" w:space="0" w:color="auto"/>
            </w:tcBorders>
            <w:shd w:val="clear" w:color="auto" w:fill="auto"/>
            <w:vAlign w:val="bottom"/>
          </w:tcPr>
          <w:p w:rsidR="009673C7" w:rsidRPr="009673C7" w:rsidRDefault="009673C7" w:rsidP="00144D45">
            <w:pPr>
              <w:keepNext/>
              <w:keepLines/>
              <w:suppressAutoHyphens w:val="0"/>
              <w:overflowPunct w:val="0"/>
              <w:autoSpaceDE w:val="0"/>
              <w:autoSpaceDN w:val="0"/>
              <w:adjustRightInd w:val="0"/>
              <w:spacing w:before="80" w:after="80" w:line="200" w:lineRule="exact"/>
              <w:ind w:right="113"/>
              <w:textAlignment w:val="baseline"/>
              <w:rPr>
                <w:i/>
                <w:sz w:val="16"/>
                <w:lang w:eastAsia="fr-FR"/>
              </w:rPr>
            </w:pPr>
            <w:r w:rsidRPr="009673C7">
              <w:rPr>
                <w:i/>
                <w:sz w:val="16"/>
                <w:lang w:eastAsia="fr-FR"/>
              </w:rPr>
              <w:t>Affectation des obligations</w:t>
            </w:r>
          </w:p>
        </w:tc>
      </w:tr>
      <w:tr w:rsidR="009673C7" w:rsidRPr="009673C7" w:rsidTr="00144D45">
        <w:trPr>
          <w:trHeight w:val="1040"/>
        </w:trPr>
        <w:tc>
          <w:tcPr>
            <w:tcW w:w="851" w:type="dxa"/>
            <w:vMerge w:val="restart"/>
            <w:tcBorders>
              <w:top w:val="single" w:sz="12" w:space="0" w:color="auto"/>
              <w:bottom w:val="single" w:sz="4" w:space="0" w:color="auto"/>
            </w:tcBorders>
            <w:shd w:val="clear" w:color="auto" w:fill="auto"/>
          </w:tcPr>
          <w:p w:rsidR="009673C7" w:rsidRPr="009673C7" w:rsidRDefault="009673C7" w:rsidP="00144D45">
            <w:pPr>
              <w:keepNext/>
              <w:keepLines/>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7.1.7.4.1</w:t>
            </w:r>
          </w:p>
          <w:p w:rsidR="009673C7" w:rsidRPr="009673C7" w:rsidRDefault="009673C7" w:rsidP="00144D45">
            <w:pPr>
              <w:keepNext/>
              <w:keepLines/>
              <w:suppressAutoHyphens w:val="0"/>
              <w:overflowPunct w:val="0"/>
              <w:autoSpaceDE w:val="0"/>
              <w:autoSpaceDN w:val="0"/>
              <w:adjustRightInd w:val="0"/>
              <w:spacing w:before="40" w:after="120" w:line="220" w:lineRule="exact"/>
              <w:ind w:right="113"/>
              <w:textAlignment w:val="baseline"/>
              <w:rPr>
                <w:i/>
                <w:lang w:eastAsia="fr-FR"/>
              </w:rPr>
            </w:pPr>
          </w:p>
        </w:tc>
        <w:tc>
          <w:tcPr>
            <w:tcW w:w="2554" w:type="dxa"/>
            <w:tcBorders>
              <w:top w:val="single" w:sz="12" w:space="0" w:color="auto"/>
              <w:bottom w:val="single" w:sz="4" w:space="0" w:color="auto"/>
            </w:tcBorders>
            <w:shd w:val="clear" w:color="auto" w:fill="auto"/>
          </w:tcPr>
          <w:p w:rsidR="009673C7" w:rsidRPr="009673C7" w:rsidRDefault="009673C7" w:rsidP="00144D45">
            <w:pPr>
              <w:keepNext/>
              <w:keepLines/>
              <w:suppressAutoHyphens w:val="0"/>
              <w:overflowPunct w:val="0"/>
              <w:autoSpaceDE w:val="0"/>
              <w:autoSpaceDN w:val="0"/>
              <w:adjustRightInd w:val="0"/>
              <w:spacing w:before="40" w:after="120" w:line="220" w:lineRule="exact"/>
              <w:ind w:right="113"/>
              <w:textAlignment w:val="baseline"/>
              <w:rPr>
                <w:iCs/>
                <w:lang w:eastAsia="fr-FR"/>
              </w:rPr>
            </w:pPr>
            <w:r w:rsidRPr="009673C7">
              <w:rPr>
                <w:iCs/>
                <w:lang w:eastAsia="fr-FR"/>
              </w:rPr>
              <w:t>a)</w:t>
            </w:r>
            <w:r w:rsidRPr="009673C7">
              <w:rPr>
                <w:iCs/>
                <w:lang w:eastAsia="fr-FR"/>
              </w:rPr>
              <w:tab/>
              <w:t>Une inspection minutieuse de l’engin de transport avant le chargement ;</w:t>
            </w:r>
          </w:p>
        </w:tc>
        <w:tc>
          <w:tcPr>
            <w:tcW w:w="1389" w:type="dxa"/>
            <w:tcBorders>
              <w:top w:val="single" w:sz="12" w:space="0" w:color="auto"/>
              <w:bottom w:val="single" w:sz="4" w:space="0" w:color="auto"/>
            </w:tcBorders>
            <w:shd w:val="clear" w:color="auto" w:fill="auto"/>
          </w:tcPr>
          <w:p w:rsidR="009673C7" w:rsidRPr="009673C7" w:rsidRDefault="009673C7" w:rsidP="00144D45">
            <w:pPr>
              <w:keepNext/>
              <w:keepLines/>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Chargeur</w:t>
            </w:r>
          </w:p>
        </w:tc>
        <w:tc>
          <w:tcPr>
            <w:tcW w:w="2576" w:type="dxa"/>
            <w:gridSpan w:val="2"/>
            <w:tcBorders>
              <w:top w:val="single" w:sz="12" w:space="0" w:color="auto"/>
              <w:bottom w:val="single" w:sz="4" w:space="0" w:color="auto"/>
            </w:tcBorders>
            <w:shd w:val="clear" w:color="auto" w:fill="auto"/>
          </w:tcPr>
          <w:p w:rsidR="009673C7" w:rsidRPr="009673C7" w:rsidRDefault="009673C7" w:rsidP="00144D45">
            <w:pPr>
              <w:keepNext/>
              <w:keepLines/>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1.4.3.1.1 c)</w:t>
            </w:r>
          </w:p>
        </w:tc>
      </w:tr>
      <w:tr w:rsidR="009673C7" w:rsidRPr="009673C7" w:rsidTr="00144D45">
        <w:tc>
          <w:tcPr>
            <w:tcW w:w="851" w:type="dxa"/>
            <w:vMerge/>
            <w:tcBorders>
              <w:top w:val="single" w:sz="4" w:space="0" w:color="auto"/>
              <w:bottom w:val="single" w:sz="4" w:space="0" w:color="auto"/>
            </w:tcBorders>
            <w:shd w:val="clear" w:color="auto" w:fill="auto"/>
          </w:tcPr>
          <w:p w:rsidR="009673C7" w:rsidRPr="009673C7" w:rsidRDefault="009673C7" w:rsidP="00144D45">
            <w:pPr>
              <w:keepNext/>
              <w:keepLines/>
              <w:suppressAutoHyphens w:val="0"/>
              <w:overflowPunct w:val="0"/>
              <w:autoSpaceDE w:val="0"/>
              <w:autoSpaceDN w:val="0"/>
              <w:adjustRightInd w:val="0"/>
              <w:spacing w:before="40" w:after="120" w:line="220" w:lineRule="exact"/>
              <w:ind w:right="113"/>
              <w:textAlignment w:val="baseline"/>
              <w:rPr>
                <w:lang w:eastAsia="fr-FR"/>
              </w:rPr>
            </w:pPr>
          </w:p>
        </w:tc>
        <w:tc>
          <w:tcPr>
            <w:tcW w:w="2554" w:type="dxa"/>
            <w:vMerge w:val="restart"/>
            <w:tcBorders>
              <w:top w:val="single" w:sz="4" w:space="0" w:color="auto"/>
              <w:bottom w:val="single" w:sz="4" w:space="0" w:color="auto"/>
            </w:tcBorders>
            <w:shd w:val="clear" w:color="auto" w:fill="auto"/>
          </w:tcPr>
          <w:p w:rsidR="009673C7" w:rsidRPr="009673C7" w:rsidRDefault="009673C7" w:rsidP="00144D45">
            <w:pPr>
              <w:keepNext/>
              <w:keepLines/>
              <w:suppressAutoHyphens w:val="0"/>
              <w:overflowPunct w:val="0"/>
              <w:autoSpaceDE w:val="0"/>
              <w:autoSpaceDN w:val="0"/>
              <w:adjustRightInd w:val="0"/>
              <w:spacing w:before="40" w:after="120" w:line="220" w:lineRule="exact"/>
              <w:ind w:right="113"/>
              <w:textAlignment w:val="baseline"/>
              <w:rPr>
                <w:iCs/>
                <w:lang w:eastAsia="fr-FR"/>
              </w:rPr>
            </w:pPr>
            <w:r w:rsidRPr="009673C7">
              <w:rPr>
                <w:iCs/>
                <w:lang w:eastAsia="fr-FR"/>
              </w:rPr>
              <w:t>b)</w:t>
            </w:r>
            <w:r w:rsidRPr="009673C7">
              <w:rPr>
                <w:iCs/>
                <w:lang w:eastAsia="fr-FR"/>
              </w:rPr>
              <w:tab/>
            </w:r>
            <w:r w:rsidRPr="009673C7">
              <w:rPr>
                <w:lang w:eastAsia="fr-FR"/>
              </w:rPr>
              <w:t xml:space="preserve">Des consignes pour le transporteur sur le fonctionnement du système de réfrigération y compris, le cas échéant, d'une liste des fournisseurs des matières réfrigérantes disponibles en cours de </w:t>
            </w:r>
            <w:proofErr w:type="gramStart"/>
            <w:r w:rsidRPr="009673C7">
              <w:rPr>
                <w:lang w:eastAsia="fr-FR"/>
              </w:rPr>
              <w:t>route;</w:t>
            </w:r>
            <w:proofErr w:type="gramEnd"/>
          </w:p>
        </w:tc>
        <w:tc>
          <w:tcPr>
            <w:tcW w:w="1389" w:type="dxa"/>
            <w:vMerge w:val="restart"/>
            <w:tcBorders>
              <w:top w:val="single" w:sz="4" w:space="0" w:color="auto"/>
              <w:bottom w:val="single" w:sz="4" w:space="0" w:color="auto"/>
            </w:tcBorders>
            <w:shd w:val="clear" w:color="auto" w:fill="auto"/>
          </w:tcPr>
          <w:p w:rsidR="009673C7" w:rsidRPr="009673C7" w:rsidRDefault="009673C7" w:rsidP="00144D45">
            <w:pPr>
              <w:keepNext/>
              <w:keepLines/>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Expéditeur</w:t>
            </w:r>
          </w:p>
          <w:p w:rsidR="009673C7" w:rsidRPr="009673C7" w:rsidRDefault="009673C7" w:rsidP="00144D45">
            <w:pPr>
              <w:keepNext/>
              <w:keepLines/>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Transporteur</w:t>
            </w:r>
          </w:p>
        </w:tc>
        <w:tc>
          <w:tcPr>
            <w:tcW w:w="2576" w:type="dxa"/>
            <w:gridSpan w:val="2"/>
            <w:tcBorders>
              <w:top w:val="single" w:sz="4" w:space="0" w:color="auto"/>
              <w:bottom w:val="single" w:sz="4" w:space="0" w:color="auto"/>
            </w:tcBorders>
            <w:shd w:val="clear" w:color="auto" w:fill="auto"/>
          </w:tcPr>
          <w:p w:rsidR="009673C7" w:rsidRPr="009673C7" w:rsidRDefault="009673C7" w:rsidP="00144D45">
            <w:pPr>
              <w:keepNext/>
              <w:keepLines/>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1.4.2.1.1 b) avec modification</w:t>
            </w:r>
          </w:p>
          <w:p w:rsidR="009673C7" w:rsidRPr="009673C7" w:rsidRDefault="009673C7" w:rsidP="00144D45">
            <w:pPr>
              <w:keepNext/>
              <w:keepLines/>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1.4.2.2.1 b)</w:t>
            </w:r>
          </w:p>
        </w:tc>
      </w:tr>
      <w:tr w:rsidR="009673C7" w:rsidRPr="009673C7" w:rsidTr="00144D45">
        <w:tc>
          <w:tcPr>
            <w:tcW w:w="851" w:type="dxa"/>
            <w:vMerge/>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p>
        </w:tc>
        <w:tc>
          <w:tcPr>
            <w:tcW w:w="2554" w:type="dxa"/>
            <w:vMerge/>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iCs/>
                <w:lang w:eastAsia="fr-FR"/>
              </w:rPr>
            </w:pPr>
          </w:p>
        </w:tc>
        <w:tc>
          <w:tcPr>
            <w:tcW w:w="1389" w:type="dxa"/>
            <w:vMerge/>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p>
        </w:tc>
        <w:tc>
          <w:tcPr>
            <w:tcW w:w="2576" w:type="dxa"/>
            <w:gridSpan w:val="2"/>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Modifier 1.4.2.1.1 b) pour lire comme suit :</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b)</w:t>
            </w:r>
            <w:r w:rsidRPr="009673C7">
              <w:rPr>
                <w:lang w:eastAsia="fr-FR"/>
              </w:rPr>
              <w:tab/>
              <w:t xml:space="preserve">fournir au transporteur les renseignements et informations de manière traçable et, le cas échéant, les documents de transport et les documents d'accompagnement (autorisations, agréments, notifications, certificats, etc.) exigés, tenant notamment compte des dispositions du 5.4, </w:t>
            </w:r>
            <w:r w:rsidR="000322D4">
              <w:rPr>
                <w:u w:val="single"/>
                <w:lang w:eastAsia="fr-FR"/>
              </w:rPr>
              <w:t>du</w:t>
            </w:r>
            <w:r w:rsidRPr="009673C7">
              <w:rPr>
                <w:u w:val="single"/>
                <w:lang w:eastAsia="fr-FR"/>
              </w:rPr>
              <w:t xml:space="preserve"> 7.1.7</w:t>
            </w:r>
            <w:r w:rsidRPr="009673C7">
              <w:rPr>
                <w:lang w:eastAsia="fr-FR"/>
              </w:rPr>
              <w:t xml:space="preserve"> et des tableaux de la Partie </w:t>
            </w:r>
            <w:proofErr w:type="gramStart"/>
            <w:r w:rsidRPr="009673C7">
              <w:rPr>
                <w:lang w:eastAsia="fr-FR"/>
              </w:rPr>
              <w:t>3;</w:t>
            </w:r>
            <w:proofErr w:type="gramEnd"/>
          </w:p>
        </w:tc>
      </w:tr>
      <w:tr w:rsidR="009673C7" w:rsidRPr="009673C7" w:rsidTr="00144D45">
        <w:trPr>
          <w:trHeight w:val="820"/>
        </w:trPr>
        <w:tc>
          <w:tcPr>
            <w:tcW w:w="851" w:type="dxa"/>
            <w:vMerge w:val="restart"/>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7.1.7.4.1</w:t>
            </w:r>
          </w:p>
        </w:tc>
        <w:tc>
          <w:tcPr>
            <w:tcW w:w="2554" w:type="dxa"/>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iCs/>
                <w:lang w:eastAsia="fr-FR"/>
              </w:rPr>
            </w:pPr>
            <w:r w:rsidRPr="009673C7">
              <w:rPr>
                <w:iCs/>
                <w:lang w:eastAsia="fr-FR"/>
              </w:rPr>
              <w:t>c)</w:t>
            </w:r>
            <w:r w:rsidRPr="009673C7">
              <w:rPr>
                <w:iCs/>
                <w:lang w:eastAsia="fr-FR"/>
              </w:rPr>
              <w:tab/>
              <w:t xml:space="preserve">Des procédures à suivre en cas de défaillance de la </w:t>
            </w:r>
            <w:proofErr w:type="gramStart"/>
            <w:r w:rsidRPr="009673C7">
              <w:rPr>
                <w:iCs/>
                <w:lang w:eastAsia="fr-FR"/>
              </w:rPr>
              <w:t>régulation;</w:t>
            </w:r>
            <w:proofErr w:type="gramEnd"/>
          </w:p>
        </w:tc>
        <w:tc>
          <w:tcPr>
            <w:tcW w:w="1389" w:type="dxa"/>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Expéditeur</w:t>
            </w:r>
          </w:p>
        </w:tc>
        <w:tc>
          <w:tcPr>
            <w:tcW w:w="2576" w:type="dxa"/>
            <w:gridSpan w:val="2"/>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1.4.2.1.1 b) tel que modifié ci-dessus</w:t>
            </w:r>
          </w:p>
        </w:tc>
      </w:tr>
      <w:tr w:rsidR="009673C7" w:rsidRPr="009673C7" w:rsidTr="00144D45">
        <w:tc>
          <w:tcPr>
            <w:tcW w:w="851" w:type="dxa"/>
            <w:vMerge/>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p>
        </w:tc>
        <w:tc>
          <w:tcPr>
            <w:tcW w:w="2554" w:type="dxa"/>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iCs/>
                <w:lang w:eastAsia="fr-FR"/>
              </w:rPr>
            </w:pPr>
            <w:r w:rsidRPr="009673C7">
              <w:rPr>
                <w:iCs/>
                <w:lang w:eastAsia="fr-FR"/>
              </w:rPr>
              <w:t>d)</w:t>
            </w:r>
            <w:r w:rsidRPr="009673C7">
              <w:rPr>
                <w:iCs/>
                <w:lang w:eastAsia="fr-FR"/>
              </w:rPr>
              <w:tab/>
            </w:r>
            <w:r w:rsidRPr="009673C7">
              <w:rPr>
                <w:lang w:eastAsia="fr-FR"/>
              </w:rPr>
              <w:t xml:space="preserve">Une surveillance régulière des températures de </w:t>
            </w:r>
            <w:proofErr w:type="gramStart"/>
            <w:r w:rsidRPr="009673C7">
              <w:rPr>
                <w:lang w:eastAsia="fr-FR"/>
              </w:rPr>
              <w:t>service;</w:t>
            </w:r>
            <w:proofErr w:type="gramEnd"/>
            <w:r w:rsidRPr="009673C7">
              <w:rPr>
                <w:lang w:eastAsia="fr-FR"/>
              </w:rPr>
              <w:t xml:space="preserve"> et</w:t>
            </w:r>
            <w:r w:rsidRPr="009673C7">
              <w:rPr>
                <w:iCs/>
                <w:lang w:eastAsia="fr-FR"/>
              </w:rPr>
              <w:t xml:space="preserve"> </w:t>
            </w:r>
          </w:p>
        </w:tc>
        <w:tc>
          <w:tcPr>
            <w:tcW w:w="1389" w:type="dxa"/>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Transporteur</w:t>
            </w:r>
          </w:p>
        </w:tc>
        <w:tc>
          <w:tcPr>
            <w:tcW w:w="2576" w:type="dxa"/>
            <w:gridSpan w:val="2"/>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1.4.2.2.1 i)</w:t>
            </w:r>
          </w:p>
        </w:tc>
      </w:tr>
      <w:tr w:rsidR="009673C7" w:rsidRPr="009673C7" w:rsidTr="00144D45">
        <w:trPr>
          <w:trHeight w:val="2113"/>
        </w:trPr>
        <w:tc>
          <w:tcPr>
            <w:tcW w:w="851" w:type="dxa"/>
            <w:vMerge/>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p>
        </w:tc>
        <w:tc>
          <w:tcPr>
            <w:tcW w:w="2554" w:type="dxa"/>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iCs/>
                <w:lang w:eastAsia="fr-FR"/>
              </w:rPr>
            </w:pPr>
            <w:r w:rsidRPr="009673C7">
              <w:rPr>
                <w:iCs/>
                <w:lang w:eastAsia="fr-FR"/>
              </w:rPr>
              <w:t>e)</w:t>
            </w:r>
            <w:r w:rsidRPr="009673C7">
              <w:rPr>
                <w:iCs/>
                <w:lang w:eastAsia="fr-FR"/>
              </w:rPr>
              <w:tab/>
            </w:r>
            <w:r w:rsidRPr="009673C7">
              <w:rPr>
                <w:lang w:eastAsia="fr-FR"/>
              </w:rPr>
              <w:t>La fourniture d'un système de réfrigération de secours ou de pièces de rechange.</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iCs/>
                <w:lang w:eastAsia="fr-FR"/>
              </w:rPr>
            </w:pPr>
            <w:r w:rsidRPr="009673C7">
              <w:rPr>
                <w:iCs/>
                <w:lang w:eastAsia="fr-FR"/>
              </w:rPr>
              <w:t>Anglais :</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i/>
                <w:lang w:eastAsia="fr-FR"/>
              </w:rPr>
              <w:t xml:space="preserve">(e) </w:t>
            </w:r>
            <w:r w:rsidRPr="009673C7">
              <w:rPr>
                <w:strike/>
                <w:lang w:eastAsia="fr-FR"/>
              </w:rPr>
              <w:t xml:space="preserve">Provision </w:t>
            </w:r>
            <w:proofErr w:type="spellStart"/>
            <w:r w:rsidRPr="009673C7">
              <w:rPr>
                <w:u w:val="single"/>
                <w:lang w:eastAsia="fr-FR"/>
              </w:rPr>
              <w:t>Availability</w:t>
            </w:r>
            <w:proofErr w:type="spellEnd"/>
            <w:r w:rsidRPr="009673C7">
              <w:rPr>
                <w:u w:val="single"/>
                <w:lang w:eastAsia="fr-FR"/>
              </w:rPr>
              <w:t xml:space="preserve"> </w:t>
            </w:r>
            <w:r w:rsidRPr="009673C7">
              <w:rPr>
                <w:lang w:eastAsia="fr-FR"/>
              </w:rPr>
              <w:t xml:space="preserve">of a back-up </w:t>
            </w:r>
            <w:proofErr w:type="spellStart"/>
            <w:r w:rsidRPr="009673C7">
              <w:rPr>
                <w:lang w:eastAsia="fr-FR"/>
              </w:rPr>
              <w:t>refrigeration</w:t>
            </w:r>
            <w:proofErr w:type="spellEnd"/>
            <w:r w:rsidRPr="009673C7">
              <w:rPr>
                <w:lang w:eastAsia="fr-FR"/>
              </w:rPr>
              <w:t xml:space="preserve"> system or </w:t>
            </w:r>
            <w:proofErr w:type="spellStart"/>
            <w:r w:rsidRPr="009673C7">
              <w:rPr>
                <w:lang w:eastAsia="fr-FR"/>
              </w:rPr>
              <w:t>spare</w:t>
            </w:r>
            <w:proofErr w:type="spellEnd"/>
            <w:r w:rsidRPr="009673C7">
              <w:rPr>
                <w:lang w:eastAsia="fr-FR"/>
              </w:rPr>
              <w:t xml:space="preserve"> </w:t>
            </w:r>
            <w:proofErr w:type="gramStart"/>
            <w:r w:rsidRPr="009673C7">
              <w:rPr>
                <w:lang w:eastAsia="fr-FR"/>
              </w:rPr>
              <w:t>parts;</w:t>
            </w:r>
            <w:proofErr w:type="gramEnd"/>
          </w:p>
        </w:tc>
        <w:tc>
          <w:tcPr>
            <w:tcW w:w="1389" w:type="dxa"/>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Expéditeur</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Chargeur</w:t>
            </w:r>
          </w:p>
        </w:tc>
        <w:tc>
          <w:tcPr>
            <w:tcW w:w="2576" w:type="dxa"/>
            <w:gridSpan w:val="2"/>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u w:val="single"/>
                <w:lang w:eastAsia="fr-FR"/>
              </w:rPr>
            </w:pPr>
            <w:r w:rsidRPr="009673C7">
              <w:rPr>
                <w:lang w:eastAsia="fr-FR"/>
              </w:rPr>
              <w:t xml:space="preserve">1.4.2.1.1 b) + </w:t>
            </w:r>
            <w:r w:rsidRPr="009673C7">
              <w:rPr>
                <w:u w:val="single"/>
                <w:lang w:eastAsia="fr-FR"/>
              </w:rPr>
              <w:t>nouvel alinéa f)</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1.4.3.1.1 c)</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Ajouter le nouvel alinéa suivant 1.4.2.1.1 f) :</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u w:val="single"/>
                <w:lang w:eastAsia="fr-FR"/>
              </w:rPr>
            </w:pPr>
            <w:r w:rsidRPr="009673C7">
              <w:rPr>
                <w:u w:val="single"/>
                <w:lang w:eastAsia="fr-FR"/>
              </w:rPr>
              <w:t>f)</w:t>
            </w:r>
            <w:r w:rsidR="00563254">
              <w:rPr>
                <w:u w:val="single"/>
                <w:lang w:eastAsia="fr-FR"/>
              </w:rPr>
              <w:tab/>
            </w:r>
            <w:bookmarkStart w:id="0" w:name="_GoBack"/>
            <w:bookmarkEnd w:id="0"/>
            <w:r w:rsidRPr="009673C7">
              <w:rPr>
                <w:u w:val="single"/>
                <w:lang w:eastAsia="fr-FR"/>
              </w:rPr>
              <w:t xml:space="preserve"> rendre disponibles pour le transporteur les systèmes de réfrigération de secours ou de pièces de rechange exigés </w:t>
            </w:r>
            <w:r w:rsidR="000322D4">
              <w:rPr>
                <w:u w:val="single"/>
                <w:lang w:eastAsia="fr-FR"/>
              </w:rPr>
              <w:t>au</w:t>
            </w:r>
            <w:r w:rsidRPr="009673C7">
              <w:rPr>
                <w:u w:val="single"/>
                <w:lang w:eastAsia="fr-FR"/>
              </w:rPr>
              <w:t xml:space="preserve"> 7.1.7.4</w:t>
            </w:r>
          </w:p>
        </w:tc>
      </w:tr>
      <w:tr w:rsidR="009673C7" w:rsidRPr="009673C7" w:rsidTr="00144D45">
        <w:trPr>
          <w:gridAfter w:val="1"/>
          <w:wAfter w:w="20" w:type="dxa"/>
        </w:trPr>
        <w:tc>
          <w:tcPr>
            <w:tcW w:w="851" w:type="dxa"/>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7.1.7.4.2</w:t>
            </w:r>
          </w:p>
        </w:tc>
        <w:tc>
          <w:tcPr>
            <w:tcW w:w="2554" w:type="dxa"/>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iCs/>
                <w:lang w:eastAsia="fr-FR"/>
              </w:rPr>
            </w:pPr>
            <w:r w:rsidRPr="009673C7">
              <w:rPr>
                <w:iCs/>
                <w:lang w:eastAsia="fr-FR"/>
              </w:rPr>
              <w:t xml:space="preserve">Tous les dispositifs de commande et capteurs de température dans le système de réfrigération doivent être facilement accessibles, et toutes les connexions électriques doivent être protégées contre les intempéries. </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iCs/>
                <w:lang w:eastAsia="fr-FR"/>
              </w:rPr>
            </w:pPr>
            <w:r w:rsidRPr="009673C7">
              <w:rPr>
                <w:iCs/>
                <w:lang w:eastAsia="fr-FR"/>
              </w:rPr>
              <w:t xml:space="preserve">La température de l’espace d’air à l’intérieur de l’engin de transport doit être mesurée </w:t>
            </w:r>
            <w:r w:rsidRPr="009673C7">
              <w:rPr>
                <w:iCs/>
                <w:lang w:eastAsia="fr-FR"/>
              </w:rPr>
              <w:lastRenderedPageBreak/>
              <w:t xml:space="preserve">par deux capteurs indépendants et les données doivent être enregistrées </w:t>
            </w:r>
            <w:proofErr w:type="gramStart"/>
            <w:r w:rsidRPr="009673C7">
              <w:rPr>
                <w:iCs/>
                <w:lang w:eastAsia="fr-FR"/>
              </w:rPr>
              <w:t>de manière à ce</w:t>
            </w:r>
            <w:proofErr w:type="gramEnd"/>
            <w:r w:rsidRPr="009673C7">
              <w:rPr>
                <w:iCs/>
                <w:lang w:eastAsia="fr-FR"/>
              </w:rPr>
              <w:t xml:space="preserve"> que tout changement de température soit facilement discernable.</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iCs/>
                <w:lang w:eastAsia="fr-FR"/>
              </w:rPr>
            </w:pPr>
            <w:r w:rsidRPr="009673C7">
              <w:rPr>
                <w:iCs/>
                <w:lang w:eastAsia="fr-FR"/>
              </w:rPr>
              <w:t xml:space="preserve">La température doit être contrôlée à intervalles de quatre à six heures et consignée. </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iCs/>
                <w:lang w:eastAsia="fr-FR"/>
              </w:rPr>
            </w:pPr>
            <w:r w:rsidRPr="009673C7">
              <w:rPr>
                <w:iCs/>
                <w:lang w:eastAsia="fr-FR"/>
              </w:rPr>
              <w:t>Lors du transport de matières ayant une température de régulation inférieure à + 25 °C, l’engin de transport doit être équipé de dispositifs d'alarme optique et sonore, alimentés indépendamment du système de réfrigération, réglés pour fonctionner à une température égale ou inférieure à la température de régulation.</w:t>
            </w:r>
          </w:p>
        </w:tc>
        <w:tc>
          <w:tcPr>
            <w:tcW w:w="1389" w:type="dxa"/>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lastRenderedPageBreak/>
              <w:t>Expéditeur : 1</w:t>
            </w:r>
            <w:r w:rsidRPr="009673C7">
              <w:rPr>
                <w:vertAlign w:val="superscript"/>
                <w:lang w:eastAsia="fr-FR"/>
              </w:rPr>
              <w:t>ère</w:t>
            </w:r>
            <w:r w:rsidRPr="009673C7">
              <w:rPr>
                <w:lang w:eastAsia="fr-FR"/>
              </w:rPr>
              <w:t>, 2</w:t>
            </w:r>
            <w:r w:rsidRPr="009673C7">
              <w:rPr>
                <w:vertAlign w:val="superscript"/>
                <w:lang w:eastAsia="fr-FR"/>
              </w:rPr>
              <w:t>ème</w:t>
            </w:r>
            <w:r w:rsidRPr="009673C7">
              <w:rPr>
                <w:lang w:eastAsia="fr-FR"/>
              </w:rPr>
              <w:t>, 4</w:t>
            </w:r>
            <w:proofErr w:type="gramStart"/>
            <w:r w:rsidRPr="009673C7">
              <w:rPr>
                <w:vertAlign w:val="superscript"/>
                <w:lang w:eastAsia="fr-FR"/>
              </w:rPr>
              <w:t xml:space="preserve">ème </w:t>
            </w:r>
            <w:r w:rsidRPr="009673C7">
              <w:rPr>
                <w:lang w:eastAsia="fr-FR"/>
              </w:rPr>
              <w:t xml:space="preserve"> phrase</w:t>
            </w:r>
            <w:proofErr w:type="gramEnd"/>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Transporteur : 1</w:t>
            </w:r>
            <w:r w:rsidRPr="009673C7">
              <w:rPr>
                <w:vertAlign w:val="superscript"/>
                <w:lang w:eastAsia="fr-FR"/>
              </w:rPr>
              <w:t>ère</w:t>
            </w:r>
            <w:r w:rsidRPr="009673C7">
              <w:rPr>
                <w:lang w:eastAsia="fr-FR"/>
              </w:rPr>
              <w:t>, 3</w:t>
            </w:r>
            <w:proofErr w:type="gramStart"/>
            <w:r w:rsidRPr="009673C7">
              <w:rPr>
                <w:vertAlign w:val="superscript"/>
                <w:lang w:eastAsia="fr-FR"/>
              </w:rPr>
              <w:t xml:space="preserve">ème </w:t>
            </w:r>
            <w:r w:rsidRPr="009673C7">
              <w:rPr>
                <w:lang w:eastAsia="fr-FR"/>
              </w:rPr>
              <w:t xml:space="preserve"> phrase</w:t>
            </w:r>
            <w:proofErr w:type="gramEnd"/>
          </w:p>
        </w:tc>
        <w:tc>
          <w:tcPr>
            <w:tcW w:w="2556" w:type="dxa"/>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1.4.2.1.1 c)</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1.4.2.2.1 i)</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1.4.2.2.1 c)</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Au 7.1.7.4.2 modifier la troisième phrase pour lire comme suit :</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iCs/>
                <w:lang w:eastAsia="fr-FR"/>
              </w:rPr>
            </w:pPr>
            <w:r w:rsidRPr="009673C7">
              <w:rPr>
                <w:iCs/>
                <w:lang w:eastAsia="fr-FR"/>
              </w:rPr>
              <w:t>La température doit être contrôlée à intervalles de quatre à six heures</w:t>
            </w:r>
            <w:r w:rsidRPr="009673C7">
              <w:rPr>
                <w:iCs/>
                <w:u w:val="single"/>
                <w:lang w:eastAsia="fr-FR"/>
              </w:rPr>
              <w:t>, enregistrée</w:t>
            </w:r>
            <w:r w:rsidRPr="009673C7">
              <w:rPr>
                <w:iCs/>
                <w:lang w:eastAsia="fr-FR"/>
              </w:rPr>
              <w:t xml:space="preserve"> et consignée </w:t>
            </w:r>
            <w:r w:rsidRPr="009673C7">
              <w:rPr>
                <w:iCs/>
                <w:u w:val="single"/>
                <w:lang w:eastAsia="fr-FR"/>
              </w:rPr>
              <w:t>par</w:t>
            </w:r>
            <w:r w:rsidRPr="009673C7">
              <w:rPr>
                <w:szCs w:val="22"/>
                <w:u w:val="single"/>
                <w:lang w:eastAsia="fr-FR"/>
              </w:rPr>
              <w:t xml:space="preserve"> écrit dans le carnet de </w:t>
            </w:r>
            <w:r w:rsidRPr="009673C7">
              <w:rPr>
                <w:szCs w:val="22"/>
                <w:u w:val="single"/>
                <w:lang w:eastAsia="fr-FR"/>
              </w:rPr>
              <w:lastRenderedPageBreak/>
              <w:t xml:space="preserve">contrôle visé </w:t>
            </w:r>
            <w:r w:rsidR="000322D4">
              <w:rPr>
                <w:szCs w:val="22"/>
                <w:u w:val="single"/>
                <w:lang w:eastAsia="fr-FR"/>
              </w:rPr>
              <w:t>au</w:t>
            </w:r>
            <w:r w:rsidRPr="009673C7">
              <w:rPr>
                <w:szCs w:val="22"/>
                <w:u w:val="single"/>
                <w:lang w:eastAsia="fr-FR"/>
              </w:rPr>
              <w:t xml:space="preserve"> 8.1.2.1 g)</w:t>
            </w:r>
            <w:r w:rsidRPr="009673C7">
              <w:rPr>
                <w:iCs/>
                <w:lang w:eastAsia="fr-FR"/>
              </w:rPr>
              <w:t>.</w:t>
            </w:r>
          </w:p>
        </w:tc>
      </w:tr>
      <w:tr w:rsidR="009673C7" w:rsidRPr="009673C7" w:rsidTr="00144D45">
        <w:trPr>
          <w:gridAfter w:val="1"/>
          <w:wAfter w:w="20" w:type="dxa"/>
          <w:trHeight w:val="4096"/>
        </w:trPr>
        <w:tc>
          <w:tcPr>
            <w:tcW w:w="851" w:type="dxa"/>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lastRenderedPageBreak/>
              <w:t>7.1.7.4.3</w:t>
            </w:r>
          </w:p>
        </w:tc>
        <w:tc>
          <w:tcPr>
            <w:tcW w:w="2554" w:type="dxa"/>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iCs/>
                <w:lang w:eastAsia="fr-FR"/>
              </w:rPr>
            </w:pPr>
            <w:r w:rsidRPr="009673C7">
              <w:rPr>
                <w:iCs/>
                <w:lang w:eastAsia="fr-FR"/>
              </w:rPr>
              <w:t xml:space="preserve">Si la température de régulation est dépassée au cours du transport, une procédure d'alerte, comprenant la réparation éventuelle du dispositif frigorifique ou le renforcement de la capacité de refroidissement (par exemple par adjonction de matières réfrigérantes liquides ou solides), doit être déclenchée. </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iCs/>
                <w:lang w:eastAsia="fr-FR"/>
              </w:rPr>
            </w:pPr>
            <w:r w:rsidRPr="009673C7">
              <w:rPr>
                <w:iCs/>
                <w:lang w:eastAsia="fr-FR"/>
              </w:rPr>
              <w:t xml:space="preserve">On doit en outre contrôler fréquemment la température et se préparer à prendre des mesures d’urgence. </w:t>
            </w:r>
          </w:p>
          <w:p w:rsidR="009673C7" w:rsidRPr="009673C7" w:rsidRDefault="009673C7" w:rsidP="00E7207E">
            <w:pPr>
              <w:suppressAutoHyphens w:val="0"/>
              <w:overflowPunct w:val="0"/>
              <w:autoSpaceDE w:val="0"/>
              <w:autoSpaceDN w:val="0"/>
              <w:adjustRightInd w:val="0"/>
              <w:spacing w:before="40" w:after="120" w:line="220" w:lineRule="exact"/>
              <w:ind w:right="113"/>
              <w:textAlignment w:val="baseline"/>
              <w:rPr>
                <w:iCs/>
                <w:lang w:eastAsia="fr-FR"/>
              </w:rPr>
            </w:pPr>
            <w:r w:rsidRPr="009673C7">
              <w:rPr>
                <w:iCs/>
                <w:lang w:eastAsia="fr-FR"/>
              </w:rPr>
              <w:t>Si la température critique est atteinte, les mesures d'urgence doivent être engagées.</w:t>
            </w:r>
          </w:p>
        </w:tc>
        <w:tc>
          <w:tcPr>
            <w:tcW w:w="1389" w:type="dxa"/>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Transporteur</w:t>
            </w:r>
          </w:p>
        </w:tc>
        <w:tc>
          <w:tcPr>
            <w:tcW w:w="2556" w:type="dxa"/>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1.4.2.2.1 i)</w:t>
            </w:r>
          </w:p>
        </w:tc>
      </w:tr>
      <w:tr w:rsidR="009673C7" w:rsidRPr="009673C7" w:rsidTr="00144D45">
        <w:trPr>
          <w:gridAfter w:val="1"/>
          <w:wAfter w:w="20" w:type="dxa"/>
          <w:trHeight w:val="1763"/>
        </w:trPr>
        <w:tc>
          <w:tcPr>
            <w:tcW w:w="851" w:type="dxa"/>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iCs/>
                <w:lang w:eastAsia="fr-FR"/>
              </w:rPr>
            </w:pPr>
            <w:r w:rsidRPr="009673C7">
              <w:rPr>
                <w:iCs/>
                <w:lang w:eastAsia="fr-FR"/>
              </w:rPr>
              <w:t>7.1.7.4.7</w:t>
            </w:r>
          </w:p>
        </w:tc>
        <w:tc>
          <w:tcPr>
            <w:tcW w:w="2554" w:type="dxa"/>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Si les matières sont transportées dans des véhicules ou conteneurs isothermes, réfrigérants ou frigorifiques, ces véhicules ou conteneurs doivent être conformes aux prescriptions du chapitre 9.6 de l'ADR.</w:t>
            </w:r>
          </w:p>
        </w:tc>
        <w:tc>
          <w:tcPr>
            <w:tcW w:w="1389" w:type="dxa"/>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Expéditeur :</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Transporteur :</w:t>
            </w:r>
          </w:p>
        </w:tc>
        <w:tc>
          <w:tcPr>
            <w:tcW w:w="2556" w:type="dxa"/>
            <w:tcBorders>
              <w:top w:val="single" w:sz="4" w:space="0" w:color="auto"/>
              <w:bottom w:val="single" w:sz="4"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1.4.2.1.1 c)</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1.4.2.2.1 c) (Contrôle visuel)</w:t>
            </w:r>
          </w:p>
        </w:tc>
      </w:tr>
      <w:tr w:rsidR="009673C7" w:rsidRPr="009673C7" w:rsidTr="00144D45">
        <w:trPr>
          <w:gridAfter w:val="1"/>
          <w:wAfter w:w="20" w:type="dxa"/>
          <w:trHeight w:val="3910"/>
        </w:trPr>
        <w:tc>
          <w:tcPr>
            <w:tcW w:w="851" w:type="dxa"/>
            <w:tcBorders>
              <w:top w:val="single" w:sz="4" w:space="0" w:color="auto"/>
              <w:bottom w:val="single" w:sz="12"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iCs/>
                <w:lang w:eastAsia="fr-FR"/>
              </w:rPr>
            </w:pPr>
            <w:r w:rsidRPr="009673C7">
              <w:rPr>
                <w:iCs/>
                <w:lang w:eastAsia="fr-FR"/>
              </w:rPr>
              <w:lastRenderedPageBreak/>
              <w:t>7.1.7.4.8</w:t>
            </w:r>
          </w:p>
        </w:tc>
        <w:tc>
          <w:tcPr>
            <w:tcW w:w="2554" w:type="dxa"/>
            <w:tcBorders>
              <w:top w:val="single" w:sz="4" w:space="0" w:color="auto"/>
              <w:bottom w:val="single" w:sz="12"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Si les matières sont contenues dans des emballages protecteurs remplis avec un agent frigorigène, elles doivent être chargées dans des véhicules couverts ou bâchés ou conteneurs fermés ou bâchés.</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 xml:space="preserve">Lorsque les véhicules ou conteneurs utilisés sont couverts ou fermés respectivement, l'aération doit être assurée de façon adéquate. </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 xml:space="preserve">Les véhicules et conteneurs bâchés doivent être munis de ridelles et d'un hayon. </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snapToGrid w:val="0"/>
                <w:lang w:eastAsia="fr-FR"/>
              </w:rPr>
            </w:pPr>
            <w:r w:rsidRPr="009673C7">
              <w:rPr>
                <w:lang w:eastAsia="fr-FR"/>
              </w:rPr>
              <w:t>La bâche de ces véhicules et conteneurs doit être constituée d'un tissu imperméable et difficilement inflammable.</w:t>
            </w:r>
          </w:p>
        </w:tc>
        <w:tc>
          <w:tcPr>
            <w:tcW w:w="1389" w:type="dxa"/>
            <w:tcBorders>
              <w:top w:val="single" w:sz="4" w:space="0" w:color="auto"/>
              <w:bottom w:val="single" w:sz="12"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Expéditeur :</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Transporteur :</w:t>
            </w:r>
          </w:p>
        </w:tc>
        <w:tc>
          <w:tcPr>
            <w:tcW w:w="2556" w:type="dxa"/>
            <w:tcBorders>
              <w:top w:val="single" w:sz="4" w:space="0" w:color="auto"/>
              <w:bottom w:val="single" w:sz="12" w:space="0" w:color="auto"/>
            </w:tcBorders>
            <w:shd w:val="clear" w:color="auto" w:fill="auto"/>
          </w:tcPr>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1.4.2.1.1 c)</w:t>
            </w:r>
          </w:p>
          <w:p w:rsidR="009673C7" w:rsidRPr="009673C7" w:rsidRDefault="009673C7" w:rsidP="009673C7">
            <w:pPr>
              <w:suppressAutoHyphens w:val="0"/>
              <w:overflowPunct w:val="0"/>
              <w:autoSpaceDE w:val="0"/>
              <w:autoSpaceDN w:val="0"/>
              <w:adjustRightInd w:val="0"/>
              <w:spacing w:before="40" w:after="120" w:line="220" w:lineRule="exact"/>
              <w:ind w:right="113"/>
              <w:textAlignment w:val="baseline"/>
              <w:rPr>
                <w:lang w:eastAsia="fr-FR"/>
              </w:rPr>
            </w:pPr>
            <w:r w:rsidRPr="009673C7">
              <w:rPr>
                <w:lang w:eastAsia="fr-FR"/>
              </w:rPr>
              <w:t>1.4.2.2.1 c) (Contrôle visuel)</w:t>
            </w:r>
          </w:p>
        </w:tc>
      </w:tr>
    </w:tbl>
    <w:p w:rsidR="00AF4927" w:rsidRPr="00AF4927" w:rsidRDefault="00AF4927" w:rsidP="00E7207E">
      <w:pPr>
        <w:pStyle w:val="HChG"/>
      </w:pPr>
      <w:r>
        <w:tab/>
      </w:r>
      <w:r>
        <w:tab/>
      </w:r>
      <w:r w:rsidRPr="00AF4927">
        <w:t>Prescription supplémentaire relative à l'arrimage</w:t>
      </w:r>
    </w:p>
    <w:p w:rsidR="00AF4927" w:rsidRPr="00AF4927" w:rsidRDefault="00AF4927" w:rsidP="00AF4927">
      <w:pPr>
        <w:pStyle w:val="SingleTxtG"/>
      </w:pPr>
      <w:r w:rsidRPr="00AF4927">
        <w:t xml:space="preserve">7. </w:t>
      </w:r>
      <w:r w:rsidRPr="00AF4927">
        <w:tab/>
        <w:t>L'Allemagne propose d'ajouter la prescription relative à l'arrimage ci-après spécifiquement pour le transport d'engins de transport avec régulation de température. Elle est basée sur la prescription relative à l'arrimage HA01 et le code d'arrimage SW1 conformément au 7.1.5 du Code IMDG, avec ajout des 7.1.7.1, 7.1.7.4.2 et 7.1.7.4.3. La sélection ci-après des numéros ONU concernés est basée sur les interdictions de transport du RID.</w:t>
      </w:r>
    </w:p>
    <w:p w:rsidR="00AF4927" w:rsidRPr="00AF4927" w:rsidRDefault="00AF4927" w:rsidP="00AF4927">
      <w:pPr>
        <w:pStyle w:val="SingleTxtG"/>
      </w:pPr>
      <w:r w:rsidRPr="00AF4927">
        <w:t>8.</w:t>
      </w:r>
      <w:r w:rsidRPr="00AF4927">
        <w:tab/>
      </w:r>
      <w:r w:rsidR="000322D4">
        <w:t>Au</w:t>
      </w:r>
      <w:r w:rsidRPr="00AF4927">
        <w:t xml:space="preserve"> 7.1.6.14, ajouter à la fin la prescription relative à l'arrimage suivante :</w:t>
      </w:r>
    </w:p>
    <w:p w:rsidR="00AF4927" w:rsidRPr="00AF4927" w:rsidRDefault="00144D45" w:rsidP="00E7207E">
      <w:pPr>
        <w:pStyle w:val="SingleTxtG"/>
        <w:ind w:left="1701"/>
      </w:pPr>
      <w:proofErr w:type="gramStart"/>
      <w:r>
        <w:t>«</w:t>
      </w:r>
      <w:r w:rsidR="00AF4927" w:rsidRPr="00AF4927">
        <w:t>HA</w:t>
      </w:r>
      <w:proofErr w:type="gramEnd"/>
      <w:r w:rsidR="00AF4927" w:rsidRPr="00AF4927">
        <w:t xml:space="preserve">11 : les engins de transport contenant des matières destinées au transport avec régulation de température conformément </w:t>
      </w:r>
      <w:r w:rsidR="000322D4">
        <w:t>au</w:t>
      </w:r>
      <w:r w:rsidR="00AF4927" w:rsidRPr="00AF4927">
        <w:t xml:space="preserve"> 7.1.7 du présent règlement doivent être maintenus à au moins 3,00 m de toute source de chaleur et doivent être arrimés de telle sorte</w:t>
      </w:r>
    </w:p>
    <w:p w:rsidR="00AF4927" w:rsidRPr="00AF4927" w:rsidRDefault="00AF4927" w:rsidP="00E7207E">
      <w:pPr>
        <w:pStyle w:val="SingleTxtG"/>
        <w:ind w:left="1701"/>
      </w:pPr>
      <w:r w:rsidRPr="00AF4927">
        <w:t>-</w:t>
      </w:r>
      <w:r w:rsidRPr="00AF4927">
        <w:tab/>
        <w:t>que soit possible une surveillance régulière des températures de service,</w:t>
      </w:r>
    </w:p>
    <w:p w:rsidR="00AF4927" w:rsidRPr="00AF4927" w:rsidRDefault="00AF4927" w:rsidP="00E7207E">
      <w:pPr>
        <w:pStyle w:val="SingleTxtG"/>
        <w:ind w:left="1701"/>
      </w:pPr>
      <w:r w:rsidRPr="00AF4927">
        <w:t>-</w:t>
      </w:r>
      <w:r w:rsidRPr="00AF4927">
        <w:tab/>
        <w:t>que les alarmes optiques et acoustiques soient perceptibles dans la timonerie,</w:t>
      </w:r>
    </w:p>
    <w:p w:rsidR="00AF4927" w:rsidRPr="00AF4927" w:rsidRDefault="00AF4927" w:rsidP="00E7207E">
      <w:pPr>
        <w:pStyle w:val="SingleTxtG"/>
        <w:ind w:left="1701"/>
      </w:pPr>
      <w:r w:rsidRPr="00AF4927">
        <w:t>-</w:t>
      </w:r>
      <w:r w:rsidRPr="00AF4927">
        <w:tab/>
        <w:t>que puissent être réalisées toute réparation nécessaire de l'installation de réfrigération ou augmentation de la capacité de réfrigération et toute autre étape de la procédure d’alerte.</w:t>
      </w:r>
    </w:p>
    <w:p w:rsidR="00AF4927" w:rsidRPr="00AF4927" w:rsidRDefault="00AF4927" w:rsidP="00E7207E">
      <w:pPr>
        <w:pStyle w:val="SingleTxtG"/>
        <w:ind w:left="1701"/>
      </w:pPr>
      <w:r w:rsidRPr="00AF4927">
        <w:t xml:space="preserve">Les prescriptions du 7.1.4.4.4. </w:t>
      </w:r>
      <w:proofErr w:type="gramStart"/>
      <w:r w:rsidRPr="00AF4927">
        <w:t>demeurent</w:t>
      </w:r>
      <w:proofErr w:type="gramEnd"/>
      <w:r w:rsidRPr="00AF4927">
        <w:t xml:space="preserve"> applicables.».</w:t>
      </w:r>
    </w:p>
    <w:p w:rsidR="00AF4927" w:rsidRPr="00AF4927" w:rsidRDefault="00AF4927" w:rsidP="00AF4927">
      <w:pPr>
        <w:pStyle w:val="SingleTxtG"/>
      </w:pPr>
      <w:r w:rsidRPr="00AF4927">
        <w:t>9.</w:t>
      </w:r>
      <w:r w:rsidRPr="00AF4927">
        <w:tab/>
        <w:t>Dans le tableau A,</w:t>
      </w:r>
      <w:r w:rsidR="000322D4">
        <w:t xml:space="preserve"> colonne (11) pour les Nos ONU </w:t>
      </w:r>
      <w:r w:rsidRPr="00AF4927">
        <w:t>3111, 3112, 3113, 3114, 3115, 3116, 3117, 3118, 3119, 3120, 3231, 3232, 3233, 3234, 3236, 323</w:t>
      </w:r>
      <w:r w:rsidR="000322D4">
        <w:t>7, 3238, 32</w:t>
      </w:r>
      <w:r w:rsidR="00144D45">
        <w:t>29, 3240, 3533, 3534 insérer: «</w:t>
      </w:r>
      <w:r w:rsidR="000322D4">
        <w:t>HA10, HA</w:t>
      </w:r>
      <w:r w:rsidRPr="00AF4927">
        <w:t>11».</w:t>
      </w:r>
    </w:p>
    <w:p w:rsidR="00AF4927" w:rsidRPr="00AF4927" w:rsidRDefault="00AF4927" w:rsidP="00AF4927">
      <w:pPr>
        <w:pStyle w:val="HChG"/>
      </w:pPr>
      <w:r>
        <w:lastRenderedPageBreak/>
        <w:tab/>
      </w:r>
      <w:r>
        <w:tab/>
      </w:r>
      <w:r w:rsidRPr="00AF4927">
        <w:t>Sécurité</w:t>
      </w:r>
    </w:p>
    <w:p w:rsidR="00AF4927" w:rsidRPr="00AF4927" w:rsidRDefault="00AF4927" w:rsidP="00AF4927">
      <w:pPr>
        <w:pStyle w:val="SingleTxtG"/>
      </w:pPr>
      <w:r w:rsidRPr="00AF4927">
        <w:t xml:space="preserve">10. </w:t>
      </w:r>
      <w:r w:rsidRPr="00AF4927">
        <w:tab/>
        <w:t>La sécurité du transport sera améliorée si les prescriptions de l'ADN sont rédigées de manière claire et visent sans équivoque les responsables concernés.</w:t>
      </w:r>
    </w:p>
    <w:p w:rsidR="00AF4927" w:rsidRPr="00AF4927" w:rsidRDefault="00AF4927" w:rsidP="00AF4927">
      <w:pPr>
        <w:pStyle w:val="HChG"/>
      </w:pPr>
      <w:r>
        <w:tab/>
      </w:r>
      <w:r>
        <w:tab/>
      </w:r>
      <w:r w:rsidRPr="00AF4927">
        <w:t>Mise en œuvre</w:t>
      </w:r>
    </w:p>
    <w:p w:rsidR="00AF4927" w:rsidRPr="00AF4927" w:rsidRDefault="00AF4927" w:rsidP="00AF4927">
      <w:pPr>
        <w:pStyle w:val="SingleTxtG"/>
      </w:pPr>
      <w:r w:rsidRPr="00AF4927">
        <w:t xml:space="preserve">11. </w:t>
      </w:r>
      <w:r w:rsidRPr="00AF4927">
        <w:tab/>
        <w:t>Aucune obligation existante n'est modifiée. Aucune modification n'est nécessaire sur le plan de la construction navale et aucune modification n'est nécessaire sur les engins de transport à transporter. Les exigences opérationnelles pour le chargement et le transport pourront être observées aisément par le biais de mesures concernant l'organisation.</w:t>
      </w:r>
    </w:p>
    <w:p w:rsidR="00AE1716" w:rsidRPr="00D866A8" w:rsidRDefault="00AE1716" w:rsidP="00AE1716">
      <w:pPr>
        <w:pStyle w:val="SingleTxtG"/>
        <w:spacing w:before="240" w:after="0"/>
        <w:jc w:val="center"/>
      </w:pPr>
      <w:r w:rsidRPr="00D71CA8">
        <w:rPr>
          <w:u w:val="single"/>
          <w:lang w:val="x-none" w:eastAsia="de-DE"/>
        </w:rPr>
        <w:tab/>
      </w:r>
      <w:r w:rsidRPr="00D71CA8">
        <w:rPr>
          <w:u w:val="single"/>
          <w:lang w:val="x-none" w:eastAsia="de-DE"/>
        </w:rPr>
        <w:tab/>
      </w:r>
      <w:r w:rsidRPr="00D71CA8">
        <w:rPr>
          <w:u w:val="single"/>
          <w:lang w:val="x-none" w:eastAsia="de-DE"/>
        </w:rPr>
        <w:tab/>
      </w:r>
    </w:p>
    <w:sectPr w:rsidR="00AE1716" w:rsidRPr="00D866A8" w:rsidSect="006236CA">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D73" w:rsidRDefault="00A74D73"/>
  </w:endnote>
  <w:endnote w:type="continuationSeparator" w:id="0">
    <w:p w:rsidR="00A74D73" w:rsidRDefault="00A74D73"/>
  </w:endnote>
  <w:endnote w:type="continuationNotice" w:id="1">
    <w:p w:rsidR="00A74D73" w:rsidRDefault="00A7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24" w:rsidRPr="0029776B" w:rsidRDefault="00807F24"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8D2167">
      <w:rPr>
        <w:b/>
        <w:noProof/>
        <w:sz w:val="18"/>
      </w:rPr>
      <w:t>4</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24" w:rsidRPr="0029776B" w:rsidRDefault="00807F24"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8D2167">
      <w:rPr>
        <w:b/>
        <w:noProof/>
        <w:sz w:val="18"/>
      </w:rPr>
      <w:t>3</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D73" w:rsidRPr="00D27D5E" w:rsidRDefault="00A74D73" w:rsidP="00D27D5E">
      <w:pPr>
        <w:tabs>
          <w:tab w:val="right" w:pos="2155"/>
        </w:tabs>
        <w:spacing w:after="80"/>
        <w:ind w:left="680"/>
        <w:rPr>
          <w:u w:val="single"/>
        </w:rPr>
      </w:pPr>
      <w:r>
        <w:rPr>
          <w:u w:val="single"/>
        </w:rPr>
        <w:tab/>
      </w:r>
    </w:p>
  </w:footnote>
  <w:footnote w:type="continuationSeparator" w:id="0">
    <w:p w:rsidR="00A74D73" w:rsidRPr="00A80554" w:rsidRDefault="00A74D73" w:rsidP="00A80554">
      <w:pPr>
        <w:tabs>
          <w:tab w:val="left" w:pos="2155"/>
        </w:tabs>
        <w:spacing w:after="80"/>
        <w:ind w:left="680"/>
        <w:rPr>
          <w:u w:val="single"/>
        </w:rPr>
      </w:pPr>
      <w:r w:rsidRPr="00A80554">
        <w:rPr>
          <w:u w:val="single"/>
        </w:rPr>
        <w:tab/>
      </w:r>
    </w:p>
  </w:footnote>
  <w:footnote w:type="continuationNotice" w:id="1">
    <w:p w:rsidR="00A74D73" w:rsidRDefault="00A74D73"/>
  </w:footnote>
  <w:footnote w:id="2">
    <w:p w:rsidR="002C0963" w:rsidRPr="002C0963" w:rsidRDefault="002C0963" w:rsidP="002C0963">
      <w:pPr>
        <w:pStyle w:val="FootnoteText"/>
        <w:rPr>
          <w:lang w:val="fr-CH"/>
        </w:rPr>
      </w:pPr>
      <w:r>
        <w:rPr>
          <w:rStyle w:val="FootnoteReference"/>
        </w:rPr>
        <w:tab/>
      </w:r>
      <w:r w:rsidRPr="002C0963">
        <w:rPr>
          <w:rStyle w:val="FootnoteReference"/>
          <w:sz w:val="20"/>
          <w:vertAlign w:val="baseline"/>
        </w:rPr>
        <w:t>*</w:t>
      </w:r>
      <w:r>
        <w:rPr>
          <w:rStyle w:val="FootnoteReference"/>
          <w:sz w:val="20"/>
          <w:vertAlign w:val="baseline"/>
        </w:rPr>
        <w:tab/>
      </w:r>
      <w:r w:rsidRPr="002C0963">
        <w:t>Diffusé en langue allemande par la Commission centrale pour la navigation du Rhin sous la cote CCNR/ZKR/ADN/WP.15/AC.2/2019/</w:t>
      </w:r>
      <w:r w:rsidR="007640B5">
        <w:t>6</w:t>
      </w:r>
      <w:r w:rsidRPr="002C0963">
        <w:t>.</w:t>
      </w:r>
    </w:p>
  </w:footnote>
  <w:footnote w:id="3">
    <w:p w:rsidR="002C0963" w:rsidRPr="002C0963" w:rsidRDefault="002C0963" w:rsidP="002C0963">
      <w:pPr>
        <w:pStyle w:val="FootnoteText"/>
        <w:rPr>
          <w:lang w:val="fr-CH"/>
        </w:rPr>
      </w:pPr>
      <w:r>
        <w:rPr>
          <w:sz w:val="20"/>
        </w:rPr>
        <w:tab/>
      </w:r>
      <w:r w:rsidRPr="002C0963">
        <w:rPr>
          <w:rStyle w:val="FootnoteReference"/>
          <w:sz w:val="20"/>
          <w:vertAlign w:val="baseline"/>
        </w:rPr>
        <w:t>**</w:t>
      </w:r>
      <w:r w:rsidRPr="002C0963">
        <w:rPr>
          <w:sz w:val="20"/>
        </w:rPr>
        <w:t xml:space="preserve"> </w:t>
      </w:r>
      <w:r>
        <w:rPr>
          <w:sz w:val="20"/>
        </w:rPr>
        <w:tab/>
      </w:r>
      <w:r w:rsidRPr="002C0963">
        <w:t>Conformément au programme de travail du Comité des transports intérieurs pour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24" w:rsidRPr="006236CA" w:rsidRDefault="006236CA" w:rsidP="00DD38E9">
    <w:pPr>
      <w:pStyle w:val="Header"/>
      <w:rPr>
        <w:lang w:val="en-GB"/>
      </w:rPr>
    </w:pPr>
    <w:r>
      <w:rPr>
        <w:lang w:val="en-GB"/>
      </w:rPr>
      <w:t>ECE/TRANS/WP.15/AC.2/201</w:t>
    </w:r>
    <w:r w:rsidR="00A91058">
      <w:rPr>
        <w:lang w:val="en-GB"/>
      </w:rPr>
      <w:t>9</w:t>
    </w:r>
    <w:r>
      <w:rPr>
        <w:lang w:val="en-GB"/>
      </w:rPr>
      <w:t>/</w:t>
    </w:r>
    <w:r w:rsidR="009A6DAD">
      <w:rPr>
        <w:lang w:val="en-GB"/>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24" w:rsidRPr="006236CA" w:rsidRDefault="006236CA" w:rsidP="0029776B">
    <w:pPr>
      <w:pStyle w:val="Header"/>
      <w:jc w:val="right"/>
      <w:rPr>
        <w:lang w:val="en-GB"/>
      </w:rPr>
    </w:pPr>
    <w:r>
      <w:rPr>
        <w:lang w:val="en-GB"/>
      </w:rPr>
      <w:t>ECE/TRANS/WP.15/AC.2/201</w:t>
    </w:r>
    <w:r w:rsidR="00A91058">
      <w:rPr>
        <w:lang w:val="en-GB"/>
      </w:rPr>
      <w:t>9</w:t>
    </w:r>
    <w:r>
      <w:rPr>
        <w:lang w:val="en-GB"/>
      </w:rPr>
      <w:t>/</w:t>
    </w:r>
    <w:r w:rsidR="009A6DAD">
      <w:rPr>
        <w:lang w:val="en-G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BB30E1B"/>
    <w:multiLevelType w:val="hybridMultilevel"/>
    <w:tmpl w:val="BC0A6D6A"/>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52B81433"/>
    <w:multiLevelType w:val="hybridMultilevel"/>
    <w:tmpl w:val="3D207480"/>
    <w:lvl w:ilvl="0" w:tplc="ABC67A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070BF4"/>
    <w:multiLevelType w:val="hybridMultilevel"/>
    <w:tmpl w:val="55E226D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F1B7FF4"/>
    <w:multiLevelType w:val="hybridMultilevel"/>
    <w:tmpl w:val="83F6D60A"/>
    <w:lvl w:ilvl="0" w:tplc="B7A266B4">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num w:numId="1">
    <w:abstractNumId w:val="7"/>
  </w:num>
  <w:num w:numId="2">
    <w:abstractNumId w:val="3"/>
  </w:num>
  <w:num w:numId="3">
    <w:abstractNumId w:val="0"/>
  </w:num>
  <w:num w:numId="4">
    <w:abstractNumId w:val="6"/>
  </w:num>
  <w:num w:numId="5">
    <w:abstractNumId w:val="8"/>
  </w:num>
  <w:num w:numId="6">
    <w:abstractNumId w:val="2"/>
  </w:num>
  <w:num w:numId="7">
    <w:abstractNumId w:val="1"/>
  </w:num>
  <w:num w:numId="8">
    <w:abstractNumId w:val="4"/>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F041A"/>
    <w:rsid w:val="0000195C"/>
    <w:rsid w:val="00003FFB"/>
    <w:rsid w:val="0000754C"/>
    <w:rsid w:val="000121D3"/>
    <w:rsid w:val="000131A5"/>
    <w:rsid w:val="0001457A"/>
    <w:rsid w:val="00016AC5"/>
    <w:rsid w:val="00022BD7"/>
    <w:rsid w:val="00030ADE"/>
    <w:rsid w:val="000312C0"/>
    <w:rsid w:val="000322D4"/>
    <w:rsid w:val="00033A63"/>
    <w:rsid w:val="0004058B"/>
    <w:rsid w:val="000472A1"/>
    <w:rsid w:val="000507A8"/>
    <w:rsid w:val="0006085A"/>
    <w:rsid w:val="0006415C"/>
    <w:rsid w:val="000643B7"/>
    <w:rsid w:val="00066716"/>
    <w:rsid w:val="00071432"/>
    <w:rsid w:val="00072E86"/>
    <w:rsid w:val="000758B9"/>
    <w:rsid w:val="00081790"/>
    <w:rsid w:val="000828C8"/>
    <w:rsid w:val="00094EF2"/>
    <w:rsid w:val="000963EA"/>
    <w:rsid w:val="000964C7"/>
    <w:rsid w:val="000A49E0"/>
    <w:rsid w:val="000A7EC2"/>
    <w:rsid w:val="000B09A4"/>
    <w:rsid w:val="000B34CA"/>
    <w:rsid w:val="000C0699"/>
    <w:rsid w:val="000C6E67"/>
    <w:rsid w:val="000D7E12"/>
    <w:rsid w:val="000E68FB"/>
    <w:rsid w:val="000F41F2"/>
    <w:rsid w:val="00104ADE"/>
    <w:rsid w:val="00114764"/>
    <w:rsid w:val="00114946"/>
    <w:rsid w:val="00114DAF"/>
    <w:rsid w:val="00115943"/>
    <w:rsid w:val="00127A72"/>
    <w:rsid w:val="0013180D"/>
    <w:rsid w:val="00135C0D"/>
    <w:rsid w:val="0013653F"/>
    <w:rsid w:val="00143574"/>
    <w:rsid w:val="00144D45"/>
    <w:rsid w:val="00147C56"/>
    <w:rsid w:val="00154636"/>
    <w:rsid w:val="001551B7"/>
    <w:rsid w:val="001568BB"/>
    <w:rsid w:val="00156A92"/>
    <w:rsid w:val="00160540"/>
    <w:rsid w:val="00162132"/>
    <w:rsid w:val="00162E33"/>
    <w:rsid w:val="0016419C"/>
    <w:rsid w:val="00164FB7"/>
    <w:rsid w:val="001703B7"/>
    <w:rsid w:val="0017182C"/>
    <w:rsid w:val="00171EA3"/>
    <w:rsid w:val="00177007"/>
    <w:rsid w:val="001850B8"/>
    <w:rsid w:val="00186EE9"/>
    <w:rsid w:val="00190399"/>
    <w:rsid w:val="00192EEB"/>
    <w:rsid w:val="00197152"/>
    <w:rsid w:val="001A20FB"/>
    <w:rsid w:val="001A37C7"/>
    <w:rsid w:val="001A73B7"/>
    <w:rsid w:val="001B6AF6"/>
    <w:rsid w:val="001B6F40"/>
    <w:rsid w:val="001C08A0"/>
    <w:rsid w:val="001C4BBB"/>
    <w:rsid w:val="001C64DD"/>
    <w:rsid w:val="001D5DA6"/>
    <w:rsid w:val="001D7DF9"/>
    <w:rsid w:val="001D7F8A"/>
    <w:rsid w:val="001E3FEB"/>
    <w:rsid w:val="001E4A02"/>
    <w:rsid w:val="001F3CC1"/>
    <w:rsid w:val="001F412D"/>
    <w:rsid w:val="001F4BE1"/>
    <w:rsid w:val="001F5816"/>
    <w:rsid w:val="002023CD"/>
    <w:rsid w:val="00203B6A"/>
    <w:rsid w:val="002041A8"/>
    <w:rsid w:val="0020607F"/>
    <w:rsid w:val="002069D5"/>
    <w:rsid w:val="00212D4F"/>
    <w:rsid w:val="00216861"/>
    <w:rsid w:val="0022098E"/>
    <w:rsid w:val="00223B89"/>
    <w:rsid w:val="00225A8C"/>
    <w:rsid w:val="0022734F"/>
    <w:rsid w:val="00232C61"/>
    <w:rsid w:val="00234E40"/>
    <w:rsid w:val="002403AA"/>
    <w:rsid w:val="00241AAF"/>
    <w:rsid w:val="00260A9C"/>
    <w:rsid w:val="00261C6B"/>
    <w:rsid w:val="00263C23"/>
    <w:rsid w:val="002659F1"/>
    <w:rsid w:val="00265FE8"/>
    <w:rsid w:val="0027037E"/>
    <w:rsid w:val="00271C7C"/>
    <w:rsid w:val="00287E79"/>
    <w:rsid w:val="0029101B"/>
    <w:rsid w:val="002928F9"/>
    <w:rsid w:val="00297577"/>
    <w:rsid w:val="0029776B"/>
    <w:rsid w:val="002A1905"/>
    <w:rsid w:val="002A29C3"/>
    <w:rsid w:val="002A5D07"/>
    <w:rsid w:val="002A5F7F"/>
    <w:rsid w:val="002B0FA9"/>
    <w:rsid w:val="002B2881"/>
    <w:rsid w:val="002B56D7"/>
    <w:rsid w:val="002B64A7"/>
    <w:rsid w:val="002C0963"/>
    <w:rsid w:val="002C555D"/>
    <w:rsid w:val="002D0474"/>
    <w:rsid w:val="002D47AB"/>
    <w:rsid w:val="002D7928"/>
    <w:rsid w:val="002E67F0"/>
    <w:rsid w:val="002F1899"/>
    <w:rsid w:val="002F2735"/>
    <w:rsid w:val="003016B7"/>
    <w:rsid w:val="00304272"/>
    <w:rsid w:val="00306511"/>
    <w:rsid w:val="00321245"/>
    <w:rsid w:val="0032270A"/>
    <w:rsid w:val="00327E03"/>
    <w:rsid w:val="00330F9C"/>
    <w:rsid w:val="003338E5"/>
    <w:rsid w:val="00335202"/>
    <w:rsid w:val="003371E0"/>
    <w:rsid w:val="00340C35"/>
    <w:rsid w:val="00343859"/>
    <w:rsid w:val="003447BF"/>
    <w:rsid w:val="003470CB"/>
    <w:rsid w:val="003515AA"/>
    <w:rsid w:val="00351AD9"/>
    <w:rsid w:val="003540B3"/>
    <w:rsid w:val="00367E6A"/>
    <w:rsid w:val="00370E0F"/>
    <w:rsid w:val="00372345"/>
    <w:rsid w:val="00374106"/>
    <w:rsid w:val="00374296"/>
    <w:rsid w:val="00391403"/>
    <w:rsid w:val="00394D72"/>
    <w:rsid w:val="00397250"/>
    <w:rsid w:val="003974E1"/>
    <w:rsid w:val="003976D5"/>
    <w:rsid w:val="003A1FEF"/>
    <w:rsid w:val="003A462C"/>
    <w:rsid w:val="003A656C"/>
    <w:rsid w:val="003B5981"/>
    <w:rsid w:val="003B6B20"/>
    <w:rsid w:val="003C322F"/>
    <w:rsid w:val="003C532D"/>
    <w:rsid w:val="003C5A95"/>
    <w:rsid w:val="003C5C5B"/>
    <w:rsid w:val="003D0BCD"/>
    <w:rsid w:val="003D1DF3"/>
    <w:rsid w:val="003D46A7"/>
    <w:rsid w:val="003D6C68"/>
    <w:rsid w:val="003D6D5B"/>
    <w:rsid w:val="003D76E4"/>
    <w:rsid w:val="003F118A"/>
    <w:rsid w:val="003F6E0A"/>
    <w:rsid w:val="004005D0"/>
    <w:rsid w:val="00406E74"/>
    <w:rsid w:val="00413736"/>
    <w:rsid w:val="00414425"/>
    <w:rsid w:val="004159D0"/>
    <w:rsid w:val="00421AC2"/>
    <w:rsid w:val="00423D55"/>
    <w:rsid w:val="004249E7"/>
    <w:rsid w:val="00426DA1"/>
    <w:rsid w:val="00430C92"/>
    <w:rsid w:val="0043277B"/>
    <w:rsid w:val="00434168"/>
    <w:rsid w:val="0044289E"/>
    <w:rsid w:val="00445274"/>
    <w:rsid w:val="00454017"/>
    <w:rsid w:val="00461870"/>
    <w:rsid w:val="00471DA9"/>
    <w:rsid w:val="00475DD2"/>
    <w:rsid w:val="00486E96"/>
    <w:rsid w:val="00491EC7"/>
    <w:rsid w:val="0049374F"/>
    <w:rsid w:val="00497A70"/>
    <w:rsid w:val="00497E7A"/>
    <w:rsid w:val="004A29A3"/>
    <w:rsid w:val="004A324B"/>
    <w:rsid w:val="004A331B"/>
    <w:rsid w:val="004A3778"/>
    <w:rsid w:val="004A5C90"/>
    <w:rsid w:val="004B154F"/>
    <w:rsid w:val="004B4325"/>
    <w:rsid w:val="004C3B4F"/>
    <w:rsid w:val="004D0EB7"/>
    <w:rsid w:val="004D53B7"/>
    <w:rsid w:val="004E1AC3"/>
    <w:rsid w:val="004E3872"/>
    <w:rsid w:val="004E551E"/>
    <w:rsid w:val="00502D1A"/>
    <w:rsid w:val="00504EB2"/>
    <w:rsid w:val="00514EB1"/>
    <w:rsid w:val="0052158A"/>
    <w:rsid w:val="0052416A"/>
    <w:rsid w:val="00524D9B"/>
    <w:rsid w:val="00530057"/>
    <w:rsid w:val="00531F0F"/>
    <w:rsid w:val="005367EB"/>
    <w:rsid w:val="00543D5E"/>
    <w:rsid w:val="005446F3"/>
    <w:rsid w:val="00545F2F"/>
    <w:rsid w:val="005562AD"/>
    <w:rsid w:val="005611FF"/>
    <w:rsid w:val="005615F8"/>
    <w:rsid w:val="005622C5"/>
    <w:rsid w:val="005622F9"/>
    <w:rsid w:val="00563254"/>
    <w:rsid w:val="00563346"/>
    <w:rsid w:val="00565A49"/>
    <w:rsid w:val="005669DD"/>
    <w:rsid w:val="00571F41"/>
    <w:rsid w:val="00575335"/>
    <w:rsid w:val="00576C84"/>
    <w:rsid w:val="00585A6B"/>
    <w:rsid w:val="00593132"/>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071E2"/>
    <w:rsid w:val="00611D43"/>
    <w:rsid w:val="00612D48"/>
    <w:rsid w:val="00616B45"/>
    <w:rsid w:val="0061708F"/>
    <w:rsid w:val="006210B6"/>
    <w:rsid w:val="006236CA"/>
    <w:rsid w:val="00625F01"/>
    <w:rsid w:val="00630D9B"/>
    <w:rsid w:val="00631953"/>
    <w:rsid w:val="0063675E"/>
    <w:rsid w:val="006439EC"/>
    <w:rsid w:val="00654B07"/>
    <w:rsid w:val="00665D5C"/>
    <w:rsid w:val="00667177"/>
    <w:rsid w:val="00670F36"/>
    <w:rsid w:val="00671CD2"/>
    <w:rsid w:val="006728CD"/>
    <w:rsid w:val="00673231"/>
    <w:rsid w:val="00692B8B"/>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D7511"/>
    <w:rsid w:val="006E0743"/>
    <w:rsid w:val="006E19BA"/>
    <w:rsid w:val="006E3296"/>
    <w:rsid w:val="006E32C5"/>
    <w:rsid w:val="006E3B48"/>
    <w:rsid w:val="006E5FC7"/>
    <w:rsid w:val="006E7722"/>
    <w:rsid w:val="006F151C"/>
    <w:rsid w:val="00700CF9"/>
    <w:rsid w:val="0070347C"/>
    <w:rsid w:val="007176C1"/>
    <w:rsid w:val="007267F4"/>
    <w:rsid w:val="00737BCE"/>
    <w:rsid w:val="0074123A"/>
    <w:rsid w:val="00742FD7"/>
    <w:rsid w:val="007450F8"/>
    <w:rsid w:val="00745866"/>
    <w:rsid w:val="00745CA1"/>
    <w:rsid w:val="007514EF"/>
    <w:rsid w:val="007527B6"/>
    <w:rsid w:val="00753BDA"/>
    <w:rsid w:val="007640B5"/>
    <w:rsid w:val="00766A94"/>
    <w:rsid w:val="007673E8"/>
    <w:rsid w:val="00780EAE"/>
    <w:rsid w:val="007811F7"/>
    <w:rsid w:val="007817A1"/>
    <w:rsid w:val="007820F2"/>
    <w:rsid w:val="00783F37"/>
    <w:rsid w:val="00786EF4"/>
    <w:rsid w:val="007904AF"/>
    <w:rsid w:val="00790F2F"/>
    <w:rsid w:val="00795138"/>
    <w:rsid w:val="007A6076"/>
    <w:rsid w:val="007C1A44"/>
    <w:rsid w:val="007D78D5"/>
    <w:rsid w:val="007E29D3"/>
    <w:rsid w:val="007E2F66"/>
    <w:rsid w:val="007F0F13"/>
    <w:rsid w:val="007F55CB"/>
    <w:rsid w:val="00807F24"/>
    <w:rsid w:val="00812C1A"/>
    <w:rsid w:val="00816812"/>
    <w:rsid w:val="00816FA8"/>
    <w:rsid w:val="0081704B"/>
    <w:rsid w:val="00831329"/>
    <w:rsid w:val="008317F6"/>
    <w:rsid w:val="00835193"/>
    <w:rsid w:val="008353E4"/>
    <w:rsid w:val="00835BFB"/>
    <w:rsid w:val="00836924"/>
    <w:rsid w:val="00844750"/>
    <w:rsid w:val="00851438"/>
    <w:rsid w:val="00860C9D"/>
    <w:rsid w:val="00871051"/>
    <w:rsid w:val="00883D70"/>
    <w:rsid w:val="00884E9C"/>
    <w:rsid w:val="008A7152"/>
    <w:rsid w:val="008B44C4"/>
    <w:rsid w:val="008B7879"/>
    <w:rsid w:val="008C1BBA"/>
    <w:rsid w:val="008C2211"/>
    <w:rsid w:val="008C56C0"/>
    <w:rsid w:val="008C7684"/>
    <w:rsid w:val="008D0723"/>
    <w:rsid w:val="008D0C3F"/>
    <w:rsid w:val="008D1AC7"/>
    <w:rsid w:val="008D2167"/>
    <w:rsid w:val="008D3919"/>
    <w:rsid w:val="008D4E3C"/>
    <w:rsid w:val="008E0B16"/>
    <w:rsid w:val="008E3F2C"/>
    <w:rsid w:val="008E5107"/>
    <w:rsid w:val="008E7FAE"/>
    <w:rsid w:val="008F1725"/>
    <w:rsid w:val="008F60FF"/>
    <w:rsid w:val="008F7D34"/>
    <w:rsid w:val="009066AE"/>
    <w:rsid w:val="00911BF7"/>
    <w:rsid w:val="00922301"/>
    <w:rsid w:val="00922FBA"/>
    <w:rsid w:val="00926E87"/>
    <w:rsid w:val="00932D7A"/>
    <w:rsid w:val="009416C9"/>
    <w:rsid w:val="00952247"/>
    <w:rsid w:val="00952FDB"/>
    <w:rsid w:val="00953DE0"/>
    <w:rsid w:val="009566B0"/>
    <w:rsid w:val="009673C7"/>
    <w:rsid w:val="00970F62"/>
    <w:rsid w:val="00977EC8"/>
    <w:rsid w:val="009817BD"/>
    <w:rsid w:val="009837CB"/>
    <w:rsid w:val="009A21FA"/>
    <w:rsid w:val="009A6DAD"/>
    <w:rsid w:val="009A6F85"/>
    <w:rsid w:val="009B060F"/>
    <w:rsid w:val="009B18A3"/>
    <w:rsid w:val="009B25CE"/>
    <w:rsid w:val="009B5EA0"/>
    <w:rsid w:val="009C1239"/>
    <w:rsid w:val="009C246D"/>
    <w:rsid w:val="009C2848"/>
    <w:rsid w:val="009C38EA"/>
    <w:rsid w:val="009D3A8C"/>
    <w:rsid w:val="009E01B8"/>
    <w:rsid w:val="009E698E"/>
    <w:rsid w:val="009E7956"/>
    <w:rsid w:val="00A11C63"/>
    <w:rsid w:val="00A134EB"/>
    <w:rsid w:val="00A1547F"/>
    <w:rsid w:val="00A17EEC"/>
    <w:rsid w:val="00A2492E"/>
    <w:rsid w:val="00A24A52"/>
    <w:rsid w:val="00A31F07"/>
    <w:rsid w:val="00A41235"/>
    <w:rsid w:val="00A44CBA"/>
    <w:rsid w:val="00A45EBB"/>
    <w:rsid w:val="00A60EBA"/>
    <w:rsid w:val="00A6502C"/>
    <w:rsid w:val="00A70163"/>
    <w:rsid w:val="00A71439"/>
    <w:rsid w:val="00A73DB7"/>
    <w:rsid w:val="00A74D73"/>
    <w:rsid w:val="00A778A5"/>
    <w:rsid w:val="00A80554"/>
    <w:rsid w:val="00A86837"/>
    <w:rsid w:val="00A91058"/>
    <w:rsid w:val="00A92C6B"/>
    <w:rsid w:val="00A963DD"/>
    <w:rsid w:val="00AA0176"/>
    <w:rsid w:val="00AA1F51"/>
    <w:rsid w:val="00AA2520"/>
    <w:rsid w:val="00AA3C96"/>
    <w:rsid w:val="00AA5B1E"/>
    <w:rsid w:val="00AA72C3"/>
    <w:rsid w:val="00AA77E5"/>
    <w:rsid w:val="00AB6447"/>
    <w:rsid w:val="00AC67A1"/>
    <w:rsid w:val="00AC7977"/>
    <w:rsid w:val="00AD1E14"/>
    <w:rsid w:val="00AD3F23"/>
    <w:rsid w:val="00AE1716"/>
    <w:rsid w:val="00AE352C"/>
    <w:rsid w:val="00AE4F08"/>
    <w:rsid w:val="00AE5E87"/>
    <w:rsid w:val="00AE69A8"/>
    <w:rsid w:val="00AE7BCA"/>
    <w:rsid w:val="00AF1446"/>
    <w:rsid w:val="00AF2F6F"/>
    <w:rsid w:val="00AF4927"/>
    <w:rsid w:val="00AF52DB"/>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A6916"/>
    <w:rsid w:val="00BC5D40"/>
    <w:rsid w:val="00BC7075"/>
    <w:rsid w:val="00BD0B53"/>
    <w:rsid w:val="00BD50B3"/>
    <w:rsid w:val="00BD5B50"/>
    <w:rsid w:val="00BE3741"/>
    <w:rsid w:val="00BF0556"/>
    <w:rsid w:val="00BF06B0"/>
    <w:rsid w:val="00BF47BD"/>
    <w:rsid w:val="00BF505B"/>
    <w:rsid w:val="00C00C2A"/>
    <w:rsid w:val="00C1607E"/>
    <w:rsid w:val="00C218FD"/>
    <w:rsid w:val="00C2232D"/>
    <w:rsid w:val="00C24B53"/>
    <w:rsid w:val="00C256E7"/>
    <w:rsid w:val="00C261F8"/>
    <w:rsid w:val="00C27A69"/>
    <w:rsid w:val="00C33100"/>
    <w:rsid w:val="00C34C11"/>
    <w:rsid w:val="00C358CC"/>
    <w:rsid w:val="00C4302B"/>
    <w:rsid w:val="00C45121"/>
    <w:rsid w:val="00C51BB4"/>
    <w:rsid w:val="00C63AC1"/>
    <w:rsid w:val="00C732D1"/>
    <w:rsid w:val="00C836BC"/>
    <w:rsid w:val="00C8584D"/>
    <w:rsid w:val="00C940E9"/>
    <w:rsid w:val="00CA047F"/>
    <w:rsid w:val="00CA3500"/>
    <w:rsid w:val="00CA5CBD"/>
    <w:rsid w:val="00CB2BEA"/>
    <w:rsid w:val="00CB6267"/>
    <w:rsid w:val="00CD1A71"/>
    <w:rsid w:val="00CD1FBB"/>
    <w:rsid w:val="00CD4C90"/>
    <w:rsid w:val="00CF4311"/>
    <w:rsid w:val="00CF6435"/>
    <w:rsid w:val="00D016B5"/>
    <w:rsid w:val="00D034F1"/>
    <w:rsid w:val="00D10BD3"/>
    <w:rsid w:val="00D11B17"/>
    <w:rsid w:val="00D218FC"/>
    <w:rsid w:val="00D27297"/>
    <w:rsid w:val="00D27D5E"/>
    <w:rsid w:val="00D31640"/>
    <w:rsid w:val="00D34270"/>
    <w:rsid w:val="00D40906"/>
    <w:rsid w:val="00D41B47"/>
    <w:rsid w:val="00D428F9"/>
    <w:rsid w:val="00D440EE"/>
    <w:rsid w:val="00D47F24"/>
    <w:rsid w:val="00D52A86"/>
    <w:rsid w:val="00D60301"/>
    <w:rsid w:val="00D64213"/>
    <w:rsid w:val="00D70305"/>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1928"/>
    <w:rsid w:val="00DD38E9"/>
    <w:rsid w:val="00DD5D73"/>
    <w:rsid w:val="00DE01E3"/>
    <w:rsid w:val="00DE0AF7"/>
    <w:rsid w:val="00DE24A4"/>
    <w:rsid w:val="00DE6D90"/>
    <w:rsid w:val="00DE6FC3"/>
    <w:rsid w:val="00DF002F"/>
    <w:rsid w:val="00DF1BEA"/>
    <w:rsid w:val="00DF1F03"/>
    <w:rsid w:val="00DF3492"/>
    <w:rsid w:val="00DF4DCE"/>
    <w:rsid w:val="00DF6551"/>
    <w:rsid w:val="00E0244D"/>
    <w:rsid w:val="00E02CE0"/>
    <w:rsid w:val="00E11BBC"/>
    <w:rsid w:val="00E1236D"/>
    <w:rsid w:val="00E15EC6"/>
    <w:rsid w:val="00E22F40"/>
    <w:rsid w:val="00E30A6C"/>
    <w:rsid w:val="00E53D77"/>
    <w:rsid w:val="00E5407C"/>
    <w:rsid w:val="00E55D71"/>
    <w:rsid w:val="00E60E30"/>
    <w:rsid w:val="00E6288C"/>
    <w:rsid w:val="00E653A2"/>
    <w:rsid w:val="00E65B70"/>
    <w:rsid w:val="00E6627D"/>
    <w:rsid w:val="00E7207E"/>
    <w:rsid w:val="00E73AEE"/>
    <w:rsid w:val="00E74F8B"/>
    <w:rsid w:val="00E81E94"/>
    <w:rsid w:val="00E82607"/>
    <w:rsid w:val="00E87C4C"/>
    <w:rsid w:val="00E90A2D"/>
    <w:rsid w:val="00E93CE6"/>
    <w:rsid w:val="00E95AF8"/>
    <w:rsid w:val="00E97EE2"/>
    <w:rsid w:val="00EA0C87"/>
    <w:rsid w:val="00EA2677"/>
    <w:rsid w:val="00EA31C2"/>
    <w:rsid w:val="00EA4D5A"/>
    <w:rsid w:val="00EA5169"/>
    <w:rsid w:val="00EA7AF9"/>
    <w:rsid w:val="00EB16FF"/>
    <w:rsid w:val="00EB4C54"/>
    <w:rsid w:val="00EC0734"/>
    <w:rsid w:val="00EC3132"/>
    <w:rsid w:val="00EC3FA6"/>
    <w:rsid w:val="00EC60C5"/>
    <w:rsid w:val="00ED0008"/>
    <w:rsid w:val="00ED1849"/>
    <w:rsid w:val="00ED265E"/>
    <w:rsid w:val="00ED7BEB"/>
    <w:rsid w:val="00EE2EA3"/>
    <w:rsid w:val="00EE43A7"/>
    <w:rsid w:val="00EF041A"/>
    <w:rsid w:val="00F01516"/>
    <w:rsid w:val="00F0189E"/>
    <w:rsid w:val="00F0529D"/>
    <w:rsid w:val="00F12577"/>
    <w:rsid w:val="00F14D09"/>
    <w:rsid w:val="00F2271B"/>
    <w:rsid w:val="00F227C9"/>
    <w:rsid w:val="00F337B3"/>
    <w:rsid w:val="00F35A1F"/>
    <w:rsid w:val="00F37523"/>
    <w:rsid w:val="00F524AA"/>
    <w:rsid w:val="00F560CD"/>
    <w:rsid w:val="00F57129"/>
    <w:rsid w:val="00F647E2"/>
    <w:rsid w:val="00F90CFE"/>
    <w:rsid w:val="00F96586"/>
    <w:rsid w:val="00FA40A9"/>
    <w:rsid w:val="00FA43E0"/>
    <w:rsid w:val="00FA5A79"/>
    <w:rsid w:val="00FA6422"/>
    <w:rsid w:val="00FB00CB"/>
    <w:rsid w:val="00FB0BFE"/>
    <w:rsid w:val="00FB2419"/>
    <w:rsid w:val="00FB31A1"/>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F64C5A"/>
  <w15:chartTrackingRefBased/>
  <w15:docId w15:val="{1AD67D73-911A-4C64-96D9-3B71485C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FR"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basedOn w:val="DefaultParagraphFont"/>
    <w:rsid w:val="000964C7"/>
    <w:rPr>
      <w:rFonts w:ascii="Times New Roman" w:hAnsi="Times New Roman"/>
      <w:sz w:val="18"/>
      <w:vertAlign w:val="superscript"/>
      <w:lang w:val="fr-CH" w:eastAsia="x-none"/>
    </w:rPr>
  </w:style>
  <w:style w:type="character" w:styleId="EndnoteReference">
    <w:name w:val="endnote reference"/>
    <w:aliases w:val="1_G"/>
    <w:basedOn w:val="DefaultParagraphFont"/>
    <w:rsid w:val="000964C7"/>
    <w:rPr>
      <w:rFonts w:ascii="Times New Roman" w:hAnsi="Times New Roman"/>
      <w:sz w:val="18"/>
      <w:vertAlign w:val="superscript"/>
      <w:lang w:val="fr-CH" w:eastAsia="x-none"/>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eastAsia="x-none"/>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H1GChar">
    <w:name w:val="_ H_1_G Char"/>
    <w:link w:val="H1G"/>
    <w:locked/>
    <w:rsid w:val="006B09E0"/>
    <w:rPr>
      <w:b/>
      <w:sz w:val="24"/>
      <w:lang w:val="fr-CH" w:eastAsia="en-US"/>
    </w:rPr>
  </w:style>
  <w:style w:type="character" w:customStyle="1" w:styleId="H23GChar">
    <w:name w:val="_ H_2/3_G Char"/>
    <w:link w:val="H23G"/>
    <w:locked/>
    <w:rsid w:val="006B09E0"/>
    <w:rPr>
      <w:b/>
      <w:lang w:val="fr-CH" w:eastAsia="en-US"/>
    </w:rPr>
  </w:style>
  <w:style w:type="character" w:customStyle="1" w:styleId="SingleTxtGChar">
    <w:name w:val="_ Single Txt_G Char"/>
    <w:link w:val="SingleTxtG"/>
    <w:locked/>
    <w:rsid w:val="006B09E0"/>
    <w:rPr>
      <w:lang w:val="fr-CH" w:eastAsia="en-US"/>
    </w:rPr>
  </w:style>
  <w:style w:type="character" w:customStyle="1" w:styleId="FootnoteTextChar">
    <w:name w:val="Footnote Text Char"/>
    <w:aliases w:val="5_G Char"/>
    <w:link w:val="FootnoteText"/>
    <w:locked/>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basedOn w:val="DefaultParagraphFont"/>
    <w:rsid w:val="000963EA"/>
    <w:rPr>
      <w:sz w:val="16"/>
    </w:rPr>
  </w:style>
  <w:style w:type="paragraph" w:styleId="CommentText">
    <w:name w:val="annotation text"/>
    <w:basedOn w:val="Normal"/>
    <w:link w:val="CommentTextChar"/>
    <w:rsid w:val="000963EA"/>
  </w:style>
  <w:style w:type="character" w:customStyle="1" w:styleId="CommentTextChar">
    <w:name w:val="Comment Text Char"/>
    <w:link w:val="CommentText"/>
    <w:locked/>
    <w:rsid w:val="000963EA"/>
    <w:rPr>
      <w:lang w:val="fr-CH" w:eastAsia="en-US"/>
    </w:rPr>
  </w:style>
  <w:style w:type="paragraph" w:styleId="BalloonText">
    <w:name w:val="Balloon Text"/>
    <w:basedOn w:val="Normal"/>
    <w:link w:val="BalloonTextChar"/>
    <w:rsid w:val="001A37C7"/>
    <w:pPr>
      <w:spacing w:line="240" w:lineRule="auto"/>
    </w:pPr>
    <w:rPr>
      <w:rFonts w:ascii="Tahoma" w:hAnsi="Tahoma"/>
      <w:sz w:val="16"/>
      <w:szCs w:val="16"/>
    </w:rPr>
  </w:style>
  <w:style w:type="character" w:customStyle="1" w:styleId="BalloonTextChar">
    <w:name w:val="Balloon Text Char"/>
    <w:link w:val="BalloonText"/>
    <w:locked/>
    <w:rsid w:val="001A37C7"/>
    <w:rPr>
      <w:rFonts w:ascii="Tahoma" w:hAnsi="Tahoma"/>
      <w:sz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rPr>
  </w:style>
  <w:style w:type="character" w:customStyle="1" w:styleId="Heading1Char">
    <w:name w:val="Heading 1 Char"/>
    <w:aliases w:val="Table_G Char"/>
    <w:link w:val="Heading1"/>
    <w:locked/>
    <w:rsid w:val="00742FD7"/>
    <w:rPr>
      <w:lang w:val="fr-CH" w:eastAsia="en-US"/>
    </w:rPr>
  </w:style>
  <w:style w:type="character" w:customStyle="1" w:styleId="SingleTxtGCar">
    <w:name w:val="_ Single Txt_G Car"/>
    <w:rsid w:val="00742FD7"/>
    <w:rPr>
      <w:lang w:val="fr-CH" w:eastAsia="en-US"/>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locked/>
    <w:rsid w:val="00742FD7"/>
    <w:rPr>
      <w:b/>
      <w:lang w:val="fr-CH" w:eastAsia="en-US"/>
    </w:rPr>
  </w:style>
  <w:style w:type="paragraph" w:styleId="Revision">
    <w:name w:val="Revision"/>
    <w:hidden/>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eastAsia="en-US"/>
    </w:rPr>
  </w:style>
  <w:style w:type="character" w:customStyle="1" w:styleId="ParNoGCar">
    <w:name w:val="_ParNo_G Car"/>
    <w:link w:val="ParNoG"/>
    <w:locked/>
    <w:rsid w:val="0052158A"/>
    <w:rPr>
      <w:lang w:val="fr-CH" w:eastAsia="en-US"/>
    </w:rPr>
  </w:style>
  <w:style w:type="paragraph" w:customStyle="1" w:styleId="SingleTxt">
    <w:name w:val="__Single Txt"/>
    <w:basedOn w:val="Normal"/>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 w:type="table" w:customStyle="1" w:styleId="TableGrid10">
    <w:name w:val="Table Grid1"/>
    <w:basedOn w:val="TableNormal"/>
    <w:next w:val="TableGrid"/>
    <w:rsid w:val="00AF4927"/>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F4927"/>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F4927"/>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673C7"/>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TRANS_WP15_AC1_F.dotm</Template>
  <TotalTime>26</TotalTime>
  <Pages>6</Pages>
  <Words>1494</Words>
  <Characters>8520</Characters>
  <Application>Microsoft Office Word</Application>
  <DocSecurity>0</DocSecurity>
  <Lines>71</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ECE-TRANS-WP.15-AC.2-2018-XXf.doc</vt:lpstr>
      <vt:lpstr>ECE-TRANS-WP.15-AC.2-2018-XXf.doc</vt:lpstr>
    </vt:vector>
  </TitlesOfParts>
  <Company>CSD</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ECE-TRANS-WP.15-AC.2-2018-XXf.doc</dc:title>
  <dc:subject/>
  <dc:creator>UNECE</dc:creator>
  <cp:keywords/>
  <dc:description/>
  <cp:lastModifiedBy>Nov 2018</cp:lastModifiedBy>
  <cp:revision>11</cp:revision>
  <cp:lastPrinted>2018-05-24T08:41:00Z</cp:lastPrinted>
  <dcterms:created xsi:type="dcterms:W3CDTF">2018-10-18T09:01:00Z</dcterms:created>
  <dcterms:modified xsi:type="dcterms:W3CDTF">2018-10-29T10:34:00Z</dcterms:modified>
</cp:coreProperties>
</file>