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A5" w:rsidRDefault="004F60A5" w:rsidP="004F60A5">
      <w:pPr>
        <w:widowControl/>
        <w:overflowPunct/>
        <w:autoSpaceDE/>
        <w:autoSpaceDN/>
        <w:adjustRightInd/>
        <w:ind w:left="5387" w:right="-286" w:firstLine="0"/>
        <w:jc w:val="left"/>
        <w:textAlignment w:val="auto"/>
        <w:outlineLvl w:val="0"/>
        <w:rPr>
          <w:rFonts w:ascii="Arial" w:eastAsia="Arial" w:hAnsi="Arial" w:cs="Arial"/>
          <w:bCs/>
          <w:szCs w:val="24"/>
          <w:lang w:val="en-GB" w:eastAsia="de-DE"/>
        </w:rPr>
      </w:pPr>
      <w:bookmarkStart w:id="0" w:name="_GoBack"/>
      <w:bookmarkEnd w:id="0"/>
      <w:r w:rsidRPr="004F60A5">
        <w:rPr>
          <w:rFonts w:ascii="Arial" w:eastAsia="Arial" w:hAnsi="Arial" w:cs="Arial"/>
          <w:bCs/>
          <w:noProof/>
          <w:szCs w:val="24"/>
          <w:lang w:val="fr-FR"/>
        </w:rPr>
        <w:drawing>
          <wp:anchor distT="0" distB="0" distL="114300" distR="114300" simplePos="0" relativeHeight="251659264" behindDoc="0" locked="0" layoutInCell="1" allowOverlap="1" wp14:anchorId="5F8F0D0F" wp14:editId="0DF4F129">
            <wp:simplePos x="0" y="0"/>
            <wp:positionH relativeFrom="column">
              <wp:posOffset>0</wp:posOffset>
            </wp:positionH>
            <wp:positionV relativeFrom="paragraph">
              <wp:posOffset>-68580</wp:posOffset>
            </wp:positionV>
            <wp:extent cx="1713865" cy="604520"/>
            <wp:effectExtent l="0" t="0" r="635" b="508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0A5">
        <w:rPr>
          <w:rFonts w:ascii="Arial" w:eastAsia="Arial" w:hAnsi="Arial" w:cs="Arial"/>
          <w:bCs/>
          <w:szCs w:val="24"/>
          <w:lang w:val="en-GB" w:eastAsia="de-DE"/>
        </w:rPr>
        <w:t>CCNR-ZKR/ADN/WP.15/AC.2/2019/</w:t>
      </w:r>
      <w:r w:rsidR="007363C1">
        <w:rPr>
          <w:rFonts w:ascii="Arial" w:eastAsia="Arial" w:hAnsi="Arial" w:cs="Arial"/>
          <w:bCs/>
          <w:szCs w:val="24"/>
          <w:lang w:val="en-GB" w:eastAsia="de-DE"/>
        </w:rPr>
        <w:t>6</w:t>
      </w:r>
    </w:p>
    <w:p w:rsidR="007363C1" w:rsidRPr="007363C1" w:rsidRDefault="007363C1" w:rsidP="007363C1">
      <w:pPr>
        <w:widowControl/>
        <w:overflowPunct/>
        <w:autoSpaceDE/>
        <w:autoSpaceDN/>
        <w:adjustRightInd/>
        <w:ind w:left="5387" w:right="-286" w:firstLine="0"/>
        <w:jc w:val="left"/>
        <w:textAlignment w:val="auto"/>
        <w:outlineLvl w:val="0"/>
        <w:rPr>
          <w:rFonts w:ascii="Arial" w:eastAsia="Arial" w:hAnsi="Arial" w:cs="Arial"/>
          <w:bCs/>
          <w:szCs w:val="24"/>
          <w:lang w:eastAsia="de-DE"/>
        </w:rPr>
      </w:pPr>
      <w:r w:rsidRPr="007363C1">
        <w:rPr>
          <w:rFonts w:ascii="Arial" w:eastAsia="Arial" w:hAnsi="Arial" w:cs="Arial"/>
          <w:bCs/>
          <w:szCs w:val="24"/>
          <w:lang w:eastAsia="de-DE"/>
        </w:rPr>
        <w:t>Allgemeine Verteilung</w:t>
      </w:r>
    </w:p>
    <w:p w:rsidR="004F60A5" w:rsidRPr="004F60A5" w:rsidRDefault="004F60A5" w:rsidP="004F60A5">
      <w:pPr>
        <w:widowControl/>
        <w:tabs>
          <w:tab w:val="right" w:pos="3856"/>
          <w:tab w:val="left" w:pos="5670"/>
        </w:tabs>
        <w:overflowPunct/>
        <w:autoSpaceDE/>
        <w:autoSpaceDN/>
        <w:adjustRightInd/>
        <w:ind w:left="5387" w:firstLine="0"/>
        <w:jc w:val="left"/>
        <w:textAlignment w:val="auto"/>
        <w:rPr>
          <w:rFonts w:ascii="Arial" w:eastAsia="Arial" w:hAnsi="Arial" w:cs="Arial"/>
          <w:szCs w:val="24"/>
          <w:lang w:eastAsia="de-DE"/>
        </w:rPr>
      </w:pPr>
      <w:r w:rsidRPr="004F60A5">
        <w:rPr>
          <w:rFonts w:ascii="Arial" w:eastAsia="Arial" w:hAnsi="Arial" w:cs="Arial"/>
          <w:szCs w:val="24"/>
          <w:lang w:eastAsia="de-DE"/>
        </w:rPr>
        <w:t>2</w:t>
      </w:r>
      <w:r w:rsidR="007363C1">
        <w:rPr>
          <w:rFonts w:ascii="Arial" w:eastAsia="Arial" w:hAnsi="Arial" w:cs="Arial"/>
          <w:szCs w:val="24"/>
          <w:lang w:eastAsia="de-DE"/>
        </w:rPr>
        <w:t>9</w:t>
      </w:r>
      <w:r w:rsidRPr="004F60A5">
        <w:rPr>
          <w:rFonts w:ascii="Arial" w:eastAsia="Arial" w:hAnsi="Arial" w:cs="Arial"/>
          <w:szCs w:val="24"/>
          <w:lang w:eastAsia="de-DE"/>
        </w:rPr>
        <w:t xml:space="preserve">. </w:t>
      </w:r>
      <w:r w:rsidR="007363C1">
        <w:rPr>
          <w:rFonts w:ascii="Arial" w:eastAsia="Arial" w:hAnsi="Arial" w:cs="Arial"/>
          <w:szCs w:val="24"/>
          <w:lang w:eastAsia="de-DE"/>
        </w:rPr>
        <w:t>Oktober</w:t>
      </w:r>
      <w:r w:rsidRPr="004F60A5">
        <w:rPr>
          <w:rFonts w:ascii="Arial" w:eastAsia="Arial" w:hAnsi="Arial" w:cs="Arial"/>
          <w:szCs w:val="24"/>
          <w:lang w:eastAsia="de-DE"/>
        </w:rPr>
        <w:t xml:space="preserve"> 2018</w:t>
      </w:r>
    </w:p>
    <w:p w:rsidR="004F60A5" w:rsidRPr="004F60A5" w:rsidRDefault="004F60A5" w:rsidP="004F60A5">
      <w:pPr>
        <w:widowControl/>
        <w:tabs>
          <w:tab w:val="right" w:pos="3856"/>
          <w:tab w:val="left" w:pos="5670"/>
        </w:tabs>
        <w:overflowPunct/>
        <w:autoSpaceDE/>
        <w:autoSpaceDN/>
        <w:adjustRightInd/>
        <w:ind w:left="5387" w:right="565" w:firstLine="0"/>
        <w:jc w:val="left"/>
        <w:textAlignment w:val="auto"/>
        <w:rPr>
          <w:rFonts w:ascii="Arial" w:hAnsi="Arial" w:cs="Arial"/>
          <w:sz w:val="16"/>
          <w:szCs w:val="24"/>
        </w:rPr>
      </w:pPr>
      <w:proofErr w:type="spellStart"/>
      <w:r w:rsidRPr="004F60A5">
        <w:rPr>
          <w:rFonts w:ascii="Arial" w:eastAsia="Arial" w:hAnsi="Arial" w:cs="Arial"/>
          <w:sz w:val="16"/>
          <w:szCs w:val="24"/>
        </w:rPr>
        <w:t>Or</w:t>
      </w:r>
      <w:proofErr w:type="spellEnd"/>
      <w:r w:rsidRPr="004F60A5">
        <w:rPr>
          <w:rFonts w:ascii="Arial" w:eastAsia="Arial" w:hAnsi="Arial" w:cs="Arial"/>
          <w:sz w:val="16"/>
          <w:szCs w:val="24"/>
        </w:rPr>
        <w:t>. DEUTSCH</w:t>
      </w:r>
    </w:p>
    <w:p w:rsidR="004F60A5" w:rsidRPr="004F60A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4F60A5" w:rsidRDefault="004F60A5" w:rsidP="004F60A5">
      <w:pPr>
        <w:widowControl/>
        <w:overflowPunct/>
        <w:autoSpaceDE/>
        <w:autoSpaceDN/>
        <w:adjustRightInd/>
        <w:ind w:left="0" w:firstLine="0"/>
        <w:jc w:val="left"/>
        <w:textAlignment w:val="auto"/>
        <w:rPr>
          <w:rFonts w:ascii="Arial" w:hAnsi="Arial" w:cs="Arial"/>
          <w:sz w:val="16"/>
          <w:szCs w:val="24"/>
          <w:lang w:eastAsia="de-DE"/>
        </w:rPr>
      </w:pP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GEMEINSAME EXPERTENTAGUNG FÜR DIE DEM</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ÜBEREINKOMMEN ÜBER DIE INTERNATIONALE BEFÖRDERUNG</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VON GEFÄHRLICHEN GÜTERN AUF BINNENWASSERSTRASSEN</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BEIGEFÜGTE VERORDNUNG (ADN)</w:t>
      </w:r>
    </w:p>
    <w:p w:rsidR="004F60A5" w:rsidRPr="004F60A5" w:rsidRDefault="004F60A5" w:rsidP="004F60A5">
      <w:pPr>
        <w:widowControl/>
        <w:tabs>
          <w:tab w:val="left" w:pos="2977"/>
        </w:tabs>
        <w:overflowPunct/>
        <w:autoSpaceDE/>
        <w:autoSpaceDN/>
        <w:adjustRightInd/>
        <w:ind w:left="3958" w:firstLine="0"/>
        <w:jc w:val="left"/>
        <w:textAlignment w:val="auto"/>
        <w:rPr>
          <w:rFonts w:ascii="Arial" w:hAnsi="Arial"/>
          <w:noProof/>
          <w:snapToGrid w:val="0"/>
          <w:sz w:val="16"/>
          <w:szCs w:val="24"/>
        </w:rPr>
      </w:pPr>
      <w:r w:rsidRPr="004F60A5">
        <w:rPr>
          <w:rFonts w:ascii="Arial" w:hAnsi="Arial"/>
          <w:noProof/>
          <w:snapToGrid w:val="0"/>
          <w:sz w:val="16"/>
          <w:szCs w:val="24"/>
        </w:rPr>
        <w:t>(SICHERHEITSAUSSCHUSS)</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snapToGrid w:val="0"/>
          <w:sz w:val="16"/>
          <w:szCs w:val="24"/>
        </w:rPr>
      </w:pPr>
      <w:r w:rsidRPr="004F60A5">
        <w:rPr>
          <w:rFonts w:ascii="Arial" w:hAnsi="Arial"/>
          <w:snapToGrid w:val="0"/>
          <w:sz w:val="16"/>
          <w:szCs w:val="24"/>
        </w:rPr>
        <w:t>(34. Tagung, Genf, 21. bis 25. Januar 2019)</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cs="Arial"/>
          <w:sz w:val="16"/>
          <w:szCs w:val="16"/>
          <w:lang w:eastAsia="en-US"/>
        </w:rPr>
      </w:pPr>
      <w:r w:rsidRPr="004F60A5">
        <w:rPr>
          <w:rFonts w:ascii="Arial" w:hAnsi="Arial" w:cs="Arial"/>
          <w:sz w:val="16"/>
          <w:szCs w:val="16"/>
          <w:lang w:eastAsia="en-US"/>
        </w:rPr>
        <w:t xml:space="preserve">Punkt </w:t>
      </w:r>
      <w:r w:rsidR="007363C1">
        <w:rPr>
          <w:rFonts w:ascii="Arial" w:hAnsi="Arial" w:cs="Arial"/>
          <w:sz w:val="16"/>
          <w:szCs w:val="16"/>
          <w:lang w:eastAsia="en-US"/>
        </w:rPr>
        <w:t>5 b</w:t>
      </w:r>
      <w:r w:rsidRPr="004F60A5">
        <w:rPr>
          <w:rFonts w:ascii="Arial" w:hAnsi="Arial" w:cs="Arial"/>
          <w:sz w:val="16"/>
          <w:szCs w:val="16"/>
          <w:lang w:eastAsia="en-US"/>
        </w:rPr>
        <w:t>) zur vorläufigen Tagesordnung</w:t>
      </w:r>
    </w:p>
    <w:p w:rsidR="004F60A5" w:rsidRPr="004F60A5" w:rsidRDefault="004F60A5" w:rsidP="004F60A5">
      <w:pPr>
        <w:widowControl/>
        <w:tabs>
          <w:tab w:val="left" w:pos="2977"/>
        </w:tabs>
        <w:overflowPunct/>
        <w:autoSpaceDE/>
        <w:autoSpaceDN/>
        <w:adjustRightInd/>
        <w:ind w:left="3960" w:firstLine="0"/>
        <w:jc w:val="left"/>
        <w:textAlignment w:val="auto"/>
        <w:rPr>
          <w:rFonts w:ascii="Arial" w:hAnsi="Arial" w:cs="Arial"/>
          <w:b/>
          <w:sz w:val="16"/>
          <w:szCs w:val="16"/>
          <w:lang w:eastAsia="en-US"/>
        </w:rPr>
      </w:pPr>
      <w:r w:rsidRPr="004F60A5">
        <w:rPr>
          <w:rFonts w:ascii="Arial" w:hAnsi="Arial" w:cs="Arial"/>
          <w:b/>
          <w:sz w:val="16"/>
          <w:szCs w:val="16"/>
          <w:lang w:eastAsia="en-US"/>
        </w:rPr>
        <w:t>Vorschläge für Änderungen der dem ADN beigefügten Verordnung: Weitere Vorschläge</w:t>
      </w:r>
    </w:p>
    <w:p w:rsidR="004F60A5" w:rsidRPr="004F60A5" w:rsidRDefault="004F60A5" w:rsidP="004F60A5">
      <w:pPr>
        <w:keepNext/>
        <w:keepLines/>
        <w:widowControl/>
        <w:suppressAutoHyphens/>
        <w:overflowPunct/>
        <w:autoSpaceDE/>
        <w:autoSpaceDN/>
        <w:adjustRightInd/>
        <w:snapToGrid w:val="0"/>
        <w:spacing w:before="360" w:line="276" w:lineRule="auto"/>
        <w:ind w:right="567" w:firstLine="0"/>
        <w:jc w:val="left"/>
        <w:textAlignment w:val="auto"/>
        <w:rPr>
          <w:rFonts w:eastAsia="Calibri"/>
          <w:b/>
          <w:bCs/>
          <w:iCs/>
          <w:sz w:val="28"/>
          <w:szCs w:val="28"/>
        </w:rPr>
      </w:pPr>
      <w:r w:rsidRPr="004F60A5">
        <w:rPr>
          <w:rFonts w:eastAsia="Calibri"/>
          <w:b/>
          <w:bCs/>
          <w:iCs/>
          <w:sz w:val="28"/>
          <w:szCs w:val="28"/>
        </w:rPr>
        <w:t xml:space="preserve">Abschnitt 7.1.7 ADN – </w:t>
      </w:r>
    </w:p>
    <w:p w:rsidR="004F60A5" w:rsidRPr="004F60A5" w:rsidRDefault="004F60A5" w:rsidP="004F60A5">
      <w:pPr>
        <w:keepNext/>
        <w:keepLines/>
        <w:widowControl/>
        <w:suppressAutoHyphens/>
        <w:overflowPunct/>
        <w:autoSpaceDE/>
        <w:autoSpaceDN/>
        <w:adjustRightInd/>
        <w:snapToGrid w:val="0"/>
        <w:spacing w:after="240" w:line="276" w:lineRule="auto"/>
        <w:ind w:firstLine="0"/>
        <w:jc w:val="left"/>
        <w:textAlignment w:val="auto"/>
        <w:rPr>
          <w:rFonts w:eastAsia="Calibri"/>
          <w:b/>
          <w:iCs/>
          <w:sz w:val="28"/>
        </w:rPr>
      </w:pPr>
      <w:r w:rsidRPr="004F60A5">
        <w:rPr>
          <w:b/>
          <w:iCs/>
          <w:sz w:val="28"/>
        </w:rPr>
        <w:t xml:space="preserve">Besondere Vorschriften für die Beförderung </w:t>
      </w:r>
      <w:proofErr w:type="spellStart"/>
      <w:r w:rsidRPr="004F60A5">
        <w:rPr>
          <w:b/>
          <w:iCs/>
          <w:sz w:val="28"/>
        </w:rPr>
        <w:t>selbstzersetzlicher</w:t>
      </w:r>
      <w:proofErr w:type="spellEnd"/>
      <w:r w:rsidRPr="004F60A5">
        <w:rPr>
          <w:b/>
          <w:iCs/>
          <w:sz w:val="28"/>
        </w:rPr>
        <w:t xml:space="preserve"> Stoffe der Klasse 4.1, organischer Peroxide der Klasse 5.2 und anderer Stoffe (als </w:t>
      </w:r>
      <w:proofErr w:type="spellStart"/>
      <w:r w:rsidRPr="004F60A5">
        <w:rPr>
          <w:b/>
          <w:iCs/>
          <w:sz w:val="28"/>
        </w:rPr>
        <w:t>selbstzersetzliche</w:t>
      </w:r>
      <w:proofErr w:type="spellEnd"/>
      <w:r w:rsidRPr="004F60A5">
        <w:rPr>
          <w:b/>
          <w:iCs/>
          <w:sz w:val="28"/>
        </w:rPr>
        <w:t xml:space="preserve"> Stoffe und organische Peroxide), die durch Temperaturkontrolle stabilisiert werden</w:t>
      </w:r>
    </w:p>
    <w:p w:rsidR="004F60A5" w:rsidRPr="004F60A5" w:rsidRDefault="004F60A5" w:rsidP="004F60A5">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4F60A5">
        <w:rPr>
          <w:b/>
          <w:sz w:val="24"/>
        </w:rPr>
        <w:t>Vorgelegt von Deutschland</w:t>
      </w:r>
      <w:r w:rsidRPr="004F60A5">
        <w:rPr>
          <w:b/>
          <w:sz w:val="18"/>
          <w:vertAlign w:val="superscript"/>
          <w:lang w:eastAsia="en-US"/>
        </w:rPr>
        <w:footnoteReference w:customMarkFollows="1" w:id="1"/>
        <w:t>*</w:t>
      </w:r>
      <w:r w:rsidRPr="004F60A5">
        <w:rPr>
          <w:b/>
          <w:sz w:val="18"/>
          <w:vertAlign w:val="superscript"/>
        </w:rPr>
        <w:t>,</w:t>
      </w:r>
      <w:r w:rsidRPr="004F60A5">
        <w:rPr>
          <w:rFonts w:eastAsia="Calibri"/>
          <w:b/>
          <w:sz w:val="12"/>
          <w:vertAlign w:val="superscript"/>
          <w:lang w:eastAsia="en-US"/>
        </w:rPr>
        <w:footnoteReference w:id="2"/>
      </w:r>
      <w:r w:rsidRPr="004F60A5">
        <w:rPr>
          <w:rFonts w:eastAsia="Calibri"/>
          <w:b/>
          <w:sz w:val="18"/>
          <w:vertAlign w:val="superscript"/>
          <w:lang w:eastAsia="en-US"/>
        </w:rPr>
        <w:t>**</w:t>
      </w:r>
    </w:p>
    <w:p w:rsidR="004F60A5" w:rsidRPr="004F60A5" w:rsidRDefault="004F60A5" w:rsidP="004F60A5">
      <w:pPr>
        <w:tabs>
          <w:tab w:val="left" w:pos="567"/>
          <w:tab w:val="left" w:pos="1418"/>
        </w:tabs>
        <w:spacing w:line="240" w:lineRule="atLeast"/>
        <w:rPr>
          <w:b/>
          <w:sz w:val="24"/>
          <w:szCs w:val="18"/>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6786"/>
      </w:tblGrid>
      <w:tr w:rsidR="004F60A5" w:rsidRPr="004F60A5" w:rsidTr="001C00A5">
        <w:trPr>
          <w:jc w:val="center"/>
        </w:trPr>
        <w:tc>
          <w:tcPr>
            <w:tcW w:w="2743" w:type="dxa"/>
          </w:tcPr>
          <w:p w:rsidR="004F60A5" w:rsidRPr="004F60A5" w:rsidRDefault="004F60A5" w:rsidP="00C13835">
            <w:pPr>
              <w:keepNext/>
              <w:keepLines/>
              <w:tabs>
                <w:tab w:val="right" w:pos="851"/>
              </w:tabs>
              <w:spacing w:before="120" w:after="120" w:line="276" w:lineRule="auto"/>
              <w:ind w:left="589" w:right="1134" w:hanging="589"/>
              <w:rPr>
                <w:i/>
                <w:lang w:eastAsia="en-US"/>
              </w:rPr>
            </w:pPr>
            <w:r w:rsidRPr="004F60A5">
              <w:rPr>
                <w:rFonts w:eastAsia="Arial"/>
                <w:i/>
                <w:lang w:eastAsia="en-US"/>
              </w:rPr>
              <w:t>Zusammenfassung</w:t>
            </w:r>
          </w:p>
        </w:tc>
        <w:tc>
          <w:tcPr>
            <w:tcW w:w="6795" w:type="dxa"/>
          </w:tcPr>
          <w:p w:rsidR="004F60A5" w:rsidRPr="004F60A5" w:rsidRDefault="004F60A5" w:rsidP="001C00A5">
            <w:pPr>
              <w:spacing w:before="120" w:after="120" w:line="276" w:lineRule="auto"/>
              <w:ind w:left="426"/>
              <w:rPr>
                <w:lang w:eastAsia="en-US"/>
              </w:rPr>
            </w:pPr>
          </w:p>
        </w:tc>
      </w:tr>
      <w:tr w:rsidR="004F60A5" w:rsidRPr="004F60A5" w:rsidTr="001C00A5">
        <w:trPr>
          <w:jc w:val="center"/>
        </w:trPr>
        <w:tc>
          <w:tcPr>
            <w:tcW w:w="2743" w:type="dxa"/>
          </w:tcPr>
          <w:p w:rsidR="004F60A5" w:rsidRPr="004F60A5" w:rsidRDefault="004F60A5" w:rsidP="001C00A5">
            <w:pPr>
              <w:spacing w:line="276" w:lineRule="auto"/>
              <w:ind w:left="121" w:firstLine="42"/>
              <w:rPr>
                <w:b/>
                <w:lang w:eastAsia="en-US"/>
              </w:rPr>
            </w:pPr>
            <w:r w:rsidRPr="004F60A5">
              <w:rPr>
                <w:b/>
                <w:lang w:eastAsia="en-US"/>
              </w:rPr>
              <w:t xml:space="preserve">Analytische </w:t>
            </w:r>
          </w:p>
          <w:p w:rsidR="004F60A5" w:rsidRPr="004F60A5" w:rsidRDefault="004F60A5" w:rsidP="001C00A5">
            <w:pPr>
              <w:spacing w:after="120" w:line="276" w:lineRule="auto"/>
              <w:ind w:left="121" w:firstLine="42"/>
              <w:rPr>
                <w:b/>
                <w:lang w:eastAsia="en-US"/>
              </w:rPr>
            </w:pPr>
            <w:r w:rsidRPr="004F60A5">
              <w:rPr>
                <w:b/>
                <w:lang w:eastAsia="en-US"/>
              </w:rPr>
              <w:t>Zusammenfassung:</w:t>
            </w:r>
          </w:p>
        </w:tc>
        <w:tc>
          <w:tcPr>
            <w:tcW w:w="6795" w:type="dxa"/>
          </w:tcPr>
          <w:p w:rsidR="004F60A5" w:rsidRPr="004F60A5" w:rsidRDefault="004F60A5" w:rsidP="001C00A5">
            <w:pPr>
              <w:spacing w:line="276" w:lineRule="auto"/>
              <w:ind w:left="0" w:firstLine="0"/>
              <w:rPr>
                <w:lang w:eastAsia="en-US"/>
              </w:rPr>
            </w:pPr>
            <w:r w:rsidRPr="004F60A5">
              <w:rPr>
                <w:lang w:eastAsia="en-US"/>
              </w:rPr>
              <w:t>In seiner 33. Sitzung hat der Sicherheitsausschuss in Zuge der Harmonisierung mit den Vorschriften des ADR einen neuen Abschnitt 7.1.7 für das ADN 2019 angenommen.</w:t>
            </w:r>
          </w:p>
          <w:p w:rsidR="004F60A5" w:rsidRPr="004F60A5" w:rsidRDefault="004F60A5" w:rsidP="001C00A5">
            <w:pPr>
              <w:spacing w:line="276" w:lineRule="auto"/>
              <w:ind w:left="0" w:firstLine="0"/>
              <w:rPr>
                <w:lang w:eastAsia="en-US"/>
              </w:rPr>
            </w:pPr>
            <w:r w:rsidRPr="004F60A5">
              <w:rPr>
                <w:lang w:eastAsia="en-US"/>
              </w:rPr>
              <w:t>Deutschland hatte schon in dieser Sitzung auf einige Fragen im Zusammenhang mit der richtigen Zuordnung der in 7.1.7 enthaltenen Pflichten aufgeworfen und wurde gebeten, für die 34. Sitzung einen förmlichen Änderungsantrag vorzulegen.</w:t>
            </w:r>
          </w:p>
        </w:tc>
      </w:tr>
      <w:tr w:rsidR="004F60A5" w:rsidRPr="004F60A5" w:rsidTr="001C00A5">
        <w:trPr>
          <w:jc w:val="center"/>
        </w:trPr>
        <w:tc>
          <w:tcPr>
            <w:tcW w:w="2743" w:type="dxa"/>
          </w:tcPr>
          <w:p w:rsidR="004F60A5" w:rsidRPr="004F60A5" w:rsidRDefault="004F60A5" w:rsidP="001C00A5">
            <w:pPr>
              <w:spacing w:line="276" w:lineRule="auto"/>
              <w:ind w:left="121" w:firstLine="42"/>
              <w:jc w:val="left"/>
              <w:rPr>
                <w:b/>
                <w:lang w:eastAsia="en-US"/>
              </w:rPr>
            </w:pPr>
            <w:r w:rsidRPr="004F60A5">
              <w:rPr>
                <w:b/>
                <w:lang w:eastAsia="en-US"/>
              </w:rPr>
              <w:t xml:space="preserve">Zu ergreifende </w:t>
            </w:r>
            <w:r w:rsidRPr="004F60A5">
              <w:rPr>
                <w:b/>
                <w:lang w:eastAsia="en-US"/>
              </w:rPr>
              <w:br/>
              <w:t>Maßnahme:</w:t>
            </w:r>
          </w:p>
        </w:tc>
        <w:tc>
          <w:tcPr>
            <w:tcW w:w="6795" w:type="dxa"/>
          </w:tcPr>
          <w:p w:rsidR="004F60A5" w:rsidRPr="004F60A5" w:rsidRDefault="004F60A5" w:rsidP="001C00A5">
            <w:pPr>
              <w:spacing w:line="276" w:lineRule="auto"/>
              <w:ind w:left="0" w:firstLine="0"/>
              <w:rPr>
                <w:lang w:eastAsia="en-US"/>
              </w:rPr>
            </w:pPr>
            <w:r w:rsidRPr="004F60A5">
              <w:rPr>
                <w:lang w:eastAsia="en-US"/>
              </w:rPr>
              <w:t>Verständigung über eine gemeinsame Auslegung zu den sich aus 7.1.7 ergebenden Pflichten.</w:t>
            </w:r>
          </w:p>
          <w:p w:rsidR="004F60A5" w:rsidRPr="004F60A5" w:rsidRDefault="004F60A5" w:rsidP="001C00A5">
            <w:pPr>
              <w:spacing w:line="276" w:lineRule="auto"/>
              <w:ind w:left="0" w:firstLine="0"/>
              <w:rPr>
                <w:lang w:eastAsia="en-US"/>
              </w:rPr>
            </w:pPr>
            <w:r w:rsidRPr="004F60A5">
              <w:rPr>
                <w:lang w:eastAsia="en-US"/>
              </w:rPr>
              <w:t>Ergänzungen bei den Pflic</w:t>
            </w:r>
            <w:r w:rsidR="003D5F2D">
              <w:rPr>
                <w:lang w:eastAsia="en-US"/>
              </w:rPr>
              <w:t>hten des Absenders in 1.4.2.2.1</w:t>
            </w:r>
          </w:p>
          <w:p w:rsidR="004F60A5" w:rsidRPr="004F60A5" w:rsidRDefault="004F60A5" w:rsidP="001C00A5">
            <w:pPr>
              <w:spacing w:line="276" w:lineRule="auto"/>
              <w:ind w:left="0" w:firstLine="0"/>
              <w:rPr>
                <w:lang w:eastAsia="en-US"/>
              </w:rPr>
            </w:pPr>
            <w:r w:rsidRPr="004F60A5">
              <w:rPr>
                <w:lang w:eastAsia="en-US"/>
              </w:rPr>
              <w:t>Ergänzung einer Dok</w:t>
            </w:r>
            <w:r w:rsidR="003D5F2D">
              <w:rPr>
                <w:lang w:eastAsia="en-US"/>
              </w:rPr>
              <w:t>umentationspflicht in 7.1.7.4.2</w:t>
            </w:r>
          </w:p>
          <w:p w:rsidR="004F60A5" w:rsidRPr="004F60A5" w:rsidRDefault="004F60A5" w:rsidP="00DE7A06">
            <w:pPr>
              <w:spacing w:line="276" w:lineRule="auto"/>
              <w:ind w:left="0" w:firstLine="0"/>
              <w:rPr>
                <w:lang w:eastAsia="en-US"/>
              </w:rPr>
            </w:pPr>
            <w:r w:rsidRPr="004F60A5">
              <w:rPr>
                <w:lang w:eastAsia="en-US"/>
              </w:rPr>
              <w:t xml:space="preserve">Neue Stauvorschrift „HA11“ in 7.1.6.14 </w:t>
            </w:r>
          </w:p>
        </w:tc>
      </w:tr>
      <w:tr w:rsidR="004F60A5" w:rsidRPr="004F60A5" w:rsidTr="001C00A5">
        <w:trPr>
          <w:jc w:val="center"/>
        </w:trPr>
        <w:tc>
          <w:tcPr>
            <w:tcW w:w="2743" w:type="dxa"/>
          </w:tcPr>
          <w:p w:rsidR="004F60A5" w:rsidRPr="004F60A5" w:rsidRDefault="004F60A5" w:rsidP="001C00A5">
            <w:pPr>
              <w:spacing w:after="120" w:line="276" w:lineRule="auto"/>
              <w:ind w:left="1297"/>
              <w:rPr>
                <w:b/>
                <w:lang w:eastAsia="en-US"/>
              </w:rPr>
            </w:pPr>
            <w:r w:rsidRPr="004F60A5">
              <w:rPr>
                <w:b/>
                <w:lang w:eastAsia="en-US"/>
              </w:rPr>
              <w:t>Verbundene Dokumente:</w:t>
            </w:r>
          </w:p>
        </w:tc>
        <w:tc>
          <w:tcPr>
            <w:tcW w:w="6795" w:type="dxa"/>
          </w:tcPr>
          <w:p w:rsidR="004F60A5" w:rsidRPr="004F60A5" w:rsidRDefault="007363C1" w:rsidP="001C00A5">
            <w:pPr>
              <w:spacing w:line="276" w:lineRule="auto"/>
              <w:ind w:left="0" w:firstLine="0"/>
              <w:rPr>
                <w:lang w:eastAsia="en-US"/>
              </w:rPr>
            </w:pPr>
            <w:r>
              <w:rPr>
                <w:lang w:eastAsia="en-US"/>
              </w:rPr>
              <w:t xml:space="preserve">Informelles Dokument </w:t>
            </w:r>
            <w:r w:rsidR="004F60A5" w:rsidRPr="004F60A5">
              <w:rPr>
                <w:lang w:eastAsia="en-US"/>
              </w:rPr>
              <w:t>INF.12 (Deutschland) zur 33. Sitzung;</w:t>
            </w:r>
          </w:p>
          <w:p w:rsidR="004F60A5" w:rsidRPr="004F60A5" w:rsidRDefault="004F60A5" w:rsidP="007363C1">
            <w:pPr>
              <w:spacing w:line="276" w:lineRule="auto"/>
              <w:ind w:left="0" w:firstLine="0"/>
              <w:rPr>
                <w:lang w:eastAsia="en-US"/>
              </w:rPr>
            </w:pPr>
            <w:r w:rsidRPr="004F60A5">
              <w:rPr>
                <w:lang w:eastAsia="en-US"/>
              </w:rPr>
              <w:t xml:space="preserve">ECE/TRANS/WP.15/AC.2/68 </w:t>
            </w:r>
            <w:r w:rsidR="007363C1">
              <w:rPr>
                <w:lang w:eastAsia="en-US"/>
              </w:rPr>
              <w:t>(</w:t>
            </w:r>
            <w:r w:rsidRPr="004F60A5">
              <w:rPr>
                <w:lang w:eastAsia="en-US"/>
              </w:rPr>
              <w:t>Bericht der 33. Sitzung des ADN-Sicherheitsausschusses; Nrn. 38 u</w:t>
            </w:r>
            <w:r w:rsidR="007363C1">
              <w:rPr>
                <w:lang w:eastAsia="en-US"/>
              </w:rPr>
              <w:t>nd</w:t>
            </w:r>
            <w:r w:rsidRPr="004F60A5">
              <w:rPr>
                <w:lang w:eastAsia="en-US"/>
              </w:rPr>
              <w:t xml:space="preserve"> 39</w:t>
            </w:r>
            <w:r w:rsidR="007363C1">
              <w:rPr>
                <w:lang w:eastAsia="en-US"/>
              </w:rPr>
              <w:t>)</w:t>
            </w:r>
          </w:p>
        </w:tc>
      </w:tr>
    </w:tbl>
    <w:p w:rsidR="004F60A5" w:rsidRPr="004F60A5" w:rsidRDefault="004F60A5" w:rsidP="004F60A5">
      <w:pPr>
        <w:tabs>
          <w:tab w:val="left" w:pos="567"/>
          <w:tab w:val="left" w:pos="1418"/>
        </w:tabs>
        <w:spacing w:line="240" w:lineRule="atLeast"/>
        <w:rPr>
          <w:b/>
          <w:sz w:val="24"/>
          <w:szCs w:val="18"/>
        </w:rPr>
      </w:pPr>
    </w:p>
    <w:p w:rsidR="00DE7A06" w:rsidRDefault="00DE7A06">
      <w:pPr>
        <w:widowControl/>
        <w:overflowPunct/>
        <w:autoSpaceDE/>
        <w:autoSpaceDN/>
        <w:adjustRightInd/>
        <w:ind w:left="0" w:firstLine="0"/>
        <w:jc w:val="left"/>
        <w:textAlignment w:val="auto"/>
        <w:rPr>
          <w:b/>
          <w:sz w:val="24"/>
          <w:szCs w:val="18"/>
        </w:rPr>
      </w:pPr>
      <w:r>
        <w:rPr>
          <w:b/>
          <w:sz w:val="24"/>
          <w:szCs w:val="18"/>
        </w:rPr>
        <w:br w:type="page"/>
      </w:r>
    </w:p>
    <w:p w:rsidR="004F60A5" w:rsidRPr="004F60A5" w:rsidRDefault="004F60A5" w:rsidP="004F60A5">
      <w:pPr>
        <w:tabs>
          <w:tab w:val="left" w:pos="567"/>
          <w:tab w:val="left" w:pos="1418"/>
        </w:tabs>
        <w:spacing w:line="240" w:lineRule="atLeast"/>
        <w:rPr>
          <w:b/>
          <w:sz w:val="24"/>
          <w:szCs w:val="18"/>
        </w:rPr>
      </w:pPr>
      <w:r w:rsidRPr="004F60A5">
        <w:rPr>
          <w:b/>
          <w:sz w:val="24"/>
          <w:szCs w:val="18"/>
        </w:rPr>
        <w:lastRenderedPageBreak/>
        <w:t>Einleitung</w:t>
      </w:r>
    </w:p>
    <w:p w:rsidR="004F60A5" w:rsidRPr="004F60A5" w:rsidRDefault="004F60A5" w:rsidP="004F60A5">
      <w:pPr>
        <w:tabs>
          <w:tab w:val="left" w:pos="567"/>
          <w:tab w:val="left" w:pos="1418"/>
        </w:tabs>
        <w:spacing w:line="240" w:lineRule="atLeast"/>
        <w:rPr>
          <w:b/>
          <w:sz w:val="24"/>
          <w:szCs w:val="18"/>
        </w:rPr>
      </w:pPr>
    </w:p>
    <w:p w:rsidR="004F60A5" w:rsidRPr="004F60A5" w:rsidRDefault="004F60A5" w:rsidP="004F60A5">
      <w:pPr>
        <w:spacing w:before="120"/>
        <w:ind w:left="0" w:firstLine="0"/>
        <w:rPr>
          <w:lang w:eastAsia="en-US"/>
        </w:rPr>
      </w:pPr>
      <w:r w:rsidRPr="004F60A5">
        <w:rPr>
          <w:lang w:eastAsia="en-US"/>
        </w:rPr>
        <w:t>1.</w:t>
      </w:r>
      <w:r w:rsidRPr="004F60A5">
        <w:rPr>
          <w:lang w:eastAsia="en-US"/>
        </w:rPr>
        <w:tab/>
        <w:t>Im Unterabschnitt 7.1.7.4 werden besondere Pflichten für die an der Beförderung von Güterbeförderungseinheiten unter Temperaturkontrolle beteiligten Unternehmen formuliert. Es ist nach Auffassung der deutschen Delegation nicht sofort erkennbar, welchem an der Beförderung beteiligten Unternehmen diese Pflichten zugeordnet sind. Einige Delegationen unterstützen in der 33. Sitzung des Sicherheitsausschusses den Ansatz, diese Pflichtenzuordnung als Auslegung durch den ADN-Sicherheitsausschuss zu dokumentieren.</w:t>
      </w:r>
    </w:p>
    <w:p w:rsidR="004F60A5" w:rsidRPr="004F60A5" w:rsidRDefault="004F60A5" w:rsidP="004F60A5">
      <w:pPr>
        <w:widowControl/>
        <w:overflowPunct/>
        <w:autoSpaceDE/>
        <w:autoSpaceDN/>
        <w:adjustRightInd/>
        <w:ind w:left="0" w:firstLine="0"/>
        <w:jc w:val="left"/>
        <w:textAlignment w:val="auto"/>
        <w:rPr>
          <w:lang w:eastAsia="en-US"/>
        </w:rPr>
      </w:pPr>
    </w:p>
    <w:p w:rsidR="004F60A5" w:rsidRPr="004F60A5" w:rsidRDefault="004F60A5" w:rsidP="004F60A5">
      <w:pPr>
        <w:spacing w:before="120"/>
        <w:ind w:left="0" w:firstLine="0"/>
        <w:rPr>
          <w:lang w:eastAsia="en-US"/>
        </w:rPr>
      </w:pPr>
      <w:r w:rsidRPr="004F60A5">
        <w:rPr>
          <w:lang w:eastAsia="en-US"/>
        </w:rPr>
        <w:t>2.</w:t>
      </w:r>
      <w:r w:rsidRPr="004F60A5">
        <w:rPr>
          <w:lang w:eastAsia="en-US"/>
        </w:rPr>
        <w:tab/>
        <w:t>Wie erbeten, hat sich die deutsche Delegation nach der 33. Sitzung mit der niederländischen Delegation nochmals über das gemeinsame Verständnis zur Zuordnung der Pflichten, die sich aus Abschnitt 7.1.7 ergeben, ausgetauscht.</w:t>
      </w:r>
    </w:p>
    <w:p w:rsidR="004F60A5" w:rsidRPr="004F60A5" w:rsidRDefault="004F60A5" w:rsidP="004F60A5">
      <w:pPr>
        <w:spacing w:before="120"/>
        <w:ind w:left="0" w:firstLine="0"/>
        <w:rPr>
          <w:lang w:eastAsia="en-US"/>
        </w:rPr>
      </w:pPr>
      <w:r w:rsidRPr="004F60A5">
        <w:rPr>
          <w:lang w:eastAsia="en-US"/>
        </w:rPr>
        <w:t>3.</w:t>
      </w:r>
      <w:r w:rsidRPr="004F60A5">
        <w:rPr>
          <w:lang w:eastAsia="en-US"/>
        </w:rPr>
        <w:tab/>
        <w:t>Im Ergebnis kann festgestellt werden, dass sich die meisten in Unterabschnitt 7.1.7.4 genannten Verpflichtungen schon heute ohne besondere Erwähnung in Kapitel 1.4 bestimmten Unternehmen zuordnen lassen. Einige Verpflichtungen sollten im Katalog des Kapitel 1.4 nochmals ausdrücklich erwähnt werden. Diese Zuordnung und die vorgeschlagenen Änderungen werden in der nachfolgenden Tabelle präsentiert.</w:t>
      </w:r>
    </w:p>
    <w:p w:rsidR="004F60A5" w:rsidRPr="004F60A5" w:rsidRDefault="004F60A5" w:rsidP="004F60A5">
      <w:pPr>
        <w:spacing w:before="120"/>
        <w:ind w:left="0" w:firstLine="0"/>
        <w:rPr>
          <w:lang w:eastAsia="en-US"/>
        </w:rPr>
      </w:pPr>
      <w:r w:rsidRPr="004F60A5">
        <w:rPr>
          <w:lang w:eastAsia="en-US"/>
        </w:rPr>
        <w:t>4.</w:t>
      </w:r>
      <w:r w:rsidRPr="004F60A5">
        <w:rPr>
          <w:lang w:eastAsia="en-US"/>
        </w:rPr>
        <w:tab/>
        <w:t>Weil insbesondere Container, die Güter unter Temperaturkontrolle beinhalten, an Bord jederzeit zugänglich sein müssen, um Temperaturmessungen abzulesen und erforderlichenfalls Reparaturen der Kühleinrichtungen vorzunehmen, wird vorgeschlagen, eine zusätzliche Stauvorschrift in das ADN aufzunehmen, und diese bestimmten UN-Nummern zuzuordnen.</w:t>
      </w:r>
    </w:p>
    <w:p w:rsidR="004F60A5" w:rsidRPr="004F60A5" w:rsidRDefault="004F60A5" w:rsidP="004F60A5">
      <w:pPr>
        <w:spacing w:before="120"/>
        <w:ind w:left="0" w:firstLine="0"/>
        <w:rPr>
          <w:lang w:eastAsia="en-US"/>
        </w:rPr>
      </w:pPr>
      <w:r w:rsidRPr="004F60A5">
        <w:rPr>
          <w:lang w:eastAsia="en-US"/>
        </w:rPr>
        <w:t>5.</w:t>
      </w:r>
      <w:r w:rsidRPr="004F60A5">
        <w:rPr>
          <w:lang w:eastAsia="en-US"/>
        </w:rPr>
        <w:tab/>
        <w:t>Die Vorschriften des Absatzes 7.1.4.4.4 für den Anschluss elektrischer Kabel werden auch für die Kühl- und Kältemaschinen, die in Absatz 7.1.7.4.5 beschrieben werden, als ausreichend angesehen.</w:t>
      </w:r>
    </w:p>
    <w:p w:rsidR="004F60A5" w:rsidRPr="004F60A5" w:rsidRDefault="004F60A5" w:rsidP="004F60A5">
      <w:pPr>
        <w:spacing w:before="120"/>
        <w:ind w:left="0" w:firstLine="0"/>
        <w:rPr>
          <w:lang w:eastAsia="en-US"/>
        </w:rPr>
      </w:pPr>
    </w:p>
    <w:p w:rsidR="004F60A5" w:rsidRPr="004F60A5" w:rsidRDefault="004F60A5" w:rsidP="004F60A5">
      <w:pPr>
        <w:tabs>
          <w:tab w:val="left" w:pos="567"/>
          <w:tab w:val="left" w:pos="1418"/>
        </w:tabs>
        <w:spacing w:line="240" w:lineRule="atLeast"/>
        <w:rPr>
          <w:b/>
          <w:sz w:val="24"/>
          <w:szCs w:val="18"/>
        </w:rPr>
      </w:pPr>
      <w:r w:rsidRPr="004F60A5">
        <w:rPr>
          <w:b/>
          <w:sz w:val="24"/>
          <w:szCs w:val="18"/>
        </w:rPr>
        <w:t>Zuordnung der Pflichten</w:t>
      </w:r>
    </w:p>
    <w:p w:rsidR="004F60A5" w:rsidRPr="004F60A5" w:rsidRDefault="004F60A5" w:rsidP="004F60A5">
      <w:pPr>
        <w:spacing w:before="120"/>
        <w:ind w:left="0" w:firstLine="0"/>
        <w:rPr>
          <w:lang w:eastAsia="en-US"/>
        </w:rPr>
      </w:pPr>
      <w:r w:rsidRPr="004F60A5">
        <w:rPr>
          <w:lang w:eastAsia="en-US"/>
        </w:rPr>
        <w:t>6.</w:t>
      </w:r>
      <w:r w:rsidRPr="004F60A5">
        <w:rPr>
          <w:lang w:eastAsia="en-US"/>
        </w:rPr>
        <w:tab/>
        <w:t>Deutschland bittet den ADN-Sicherheitsausschuss, die vorgeschlagene Zuordnung der Pflichten, die sich aus Abschnitt 7.1.7 ergeben zu prüfen und zu bestätigen und die vorgeschlagenen Änderungen in Kapitel 1.4 vorzunehmen.</w:t>
      </w:r>
    </w:p>
    <w:p w:rsidR="004F60A5" w:rsidRPr="004F60A5" w:rsidRDefault="004F60A5" w:rsidP="004F60A5">
      <w:pPr>
        <w:spacing w:before="120"/>
        <w:ind w:left="0" w:firstLine="0"/>
        <w:rPr>
          <w:lang w:eastAsia="en-US"/>
        </w:rPr>
      </w:pPr>
    </w:p>
    <w:p w:rsidR="004F60A5" w:rsidRPr="004F60A5" w:rsidRDefault="004F60A5" w:rsidP="004F60A5"/>
    <w:tbl>
      <w:tblPr>
        <w:tblStyle w:val="TableGrid"/>
        <w:tblW w:w="9772" w:type="dxa"/>
        <w:tblLook w:val="04A0" w:firstRow="1" w:lastRow="0" w:firstColumn="1" w:lastColumn="0" w:noHBand="0" w:noVBand="1"/>
      </w:tblPr>
      <w:tblGrid>
        <w:gridCol w:w="1093"/>
        <w:gridCol w:w="3410"/>
        <w:gridCol w:w="1842"/>
        <w:gridCol w:w="3427"/>
      </w:tblGrid>
      <w:tr w:rsidR="004F60A5" w:rsidRPr="004F60A5" w:rsidTr="001C00A5">
        <w:tc>
          <w:tcPr>
            <w:tcW w:w="1093" w:type="dxa"/>
            <w:shd w:val="clear" w:color="auto" w:fill="D9D9D9" w:themeFill="background1" w:themeFillShade="D9"/>
          </w:tcPr>
          <w:p w:rsidR="004F60A5" w:rsidRPr="004F60A5" w:rsidRDefault="004F60A5" w:rsidP="001C00A5">
            <w:r w:rsidRPr="004F60A5">
              <w:t>Absatz</w:t>
            </w:r>
          </w:p>
        </w:tc>
        <w:tc>
          <w:tcPr>
            <w:tcW w:w="3410" w:type="dxa"/>
            <w:shd w:val="clear" w:color="auto" w:fill="D9D9D9" w:themeFill="background1" w:themeFillShade="D9"/>
          </w:tcPr>
          <w:p w:rsidR="004F60A5" w:rsidRPr="004F60A5" w:rsidRDefault="004F60A5" w:rsidP="001C00A5">
            <w:r w:rsidRPr="004F60A5">
              <w:t>Verpflichtung</w:t>
            </w:r>
          </w:p>
        </w:tc>
        <w:tc>
          <w:tcPr>
            <w:tcW w:w="1842" w:type="dxa"/>
            <w:shd w:val="clear" w:color="auto" w:fill="D9D9D9" w:themeFill="background1" w:themeFillShade="D9"/>
          </w:tcPr>
          <w:p w:rsidR="004F60A5" w:rsidRPr="004F60A5" w:rsidRDefault="004F60A5" w:rsidP="001C00A5">
            <w:r w:rsidRPr="004F60A5">
              <w:t xml:space="preserve">Verantwortliches </w:t>
            </w:r>
          </w:p>
          <w:p w:rsidR="004F60A5" w:rsidRPr="004F60A5" w:rsidRDefault="004F60A5" w:rsidP="001C00A5">
            <w:r w:rsidRPr="004F60A5">
              <w:t>Unternehmen</w:t>
            </w:r>
          </w:p>
        </w:tc>
        <w:tc>
          <w:tcPr>
            <w:tcW w:w="3427" w:type="dxa"/>
            <w:shd w:val="clear" w:color="auto" w:fill="D9D9D9" w:themeFill="background1" w:themeFillShade="D9"/>
          </w:tcPr>
          <w:p w:rsidR="004F60A5" w:rsidRPr="004F60A5" w:rsidRDefault="004F60A5" w:rsidP="001C00A5">
            <w:r w:rsidRPr="004F60A5">
              <w:t>Pflichtenzuweisung</w:t>
            </w:r>
          </w:p>
        </w:tc>
      </w:tr>
      <w:tr w:rsidR="004F60A5" w:rsidRPr="004F60A5" w:rsidTr="001C00A5">
        <w:trPr>
          <w:trHeight w:val="1040"/>
        </w:trPr>
        <w:tc>
          <w:tcPr>
            <w:tcW w:w="1093" w:type="dxa"/>
            <w:vMerge w:val="restart"/>
          </w:tcPr>
          <w:p w:rsidR="004F60A5" w:rsidRPr="004F60A5" w:rsidRDefault="004F60A5" w:rsidP="00DE7A06">
            <w:pPr>
              <w:rPr>
                <w:i/>
              </w:rPr>
            </w:pPr>
            <w:r w:rsidRPr="004F60A5">
              <w:t>7.1.7.4.1</w:t>
            </w:r>
          </w:p>
        </w:tc>
        <w:tc>
          <w:tcPr>
            <w:tcW w:w="3410" w:type="dxa"/>
          </w:tcPr>
          <w:p w:rsidR="004F60A5" w:rsidRPr="004F60A5" w:rsidRDefault="004F60A5" w:rsidP="001C00A5">
            <w:pPr>
              <w:tabs>
                <w:tab w:val="left" w:pos="1843"/>
                <w:tab w:val="left" w:pos="2268"/>
              </w:tabs>
              <w:spacing w:before="60" w:after="60"/>
              <w:ind w:left="325" w:right="87" w:hanging="284"/>
              <w:rPr>
                <w:iCs/>
              </w:rPr>
            </w:pPr>
            <w:r w:rsidRPr="004F60A5">
              <w:rPr>
                <w:iCs/>
              </w:rPr>
              <w:t>a)</w:t>
            </w:r>
            <w:r w:rsidRPr="004F60A5">
              <w:rPr>
                <w:iCs/>
              </w:rPr>
              <w:tab/>
              <w:t>eine sorgfältige Inspektion der Güterbeförderungseinheit vor dem Beladen;</w:t>
            </w:r>
          </w:p>
        </w:tc>
        <w:tc>
          <w:tcPr>
            <w:tcW w:w="1842" w:type="dxa"/>
          </w:tcPr>
          <w:p w:rsidR="004F60A5" w:rsidRPr="004F60A5" w:rsidRDefault="004F60A5" w:rsidP="001C00A5">
            <w:r w:rsidRPr="004F60A5">
              <w:t>Verlader</w:t>
            </w:r>
          </w:p>
        </w:tc>
        <w:tc>
          <w:tcPr>
            <w:tcW w:w="3427" w:type="dxa"/>
          </w:tcPr>
          <w:p w:rsidR="004F60A5" w:rsidRPr="004F60A5" w:rsidRDefault="004F60A5" w:rsidP="001C00A5">
            <w:r w:rsidRPr="004F60A5">
              <w:t>1.4.3.1.1 (c)</w:t>
            </w:r>
          </w:p>
        </w:tc>
      </w:tr>
      <w:tr w:rsidR="004F60A5" w:rsidRPr="004F60A5" w:rsidTr="001C00A5">
        <w:tc>
          <w:tcPr>
            <w:tcW w:w="1093" w:type="dxa"/>
            <w:vMerge/>
          </w:tcPr>
          <w:p w:rsidR="004F60A5" w:rsidRPr="004F60A5" w:rsidRDefault="004F60A5" w:rsidP="001C00A5"/>
        </w:tc>
        <w:tc>
          <w:tcPr>
            <w:tcW w:w="3410" w:type="dxa"/>
            <w:vMerge w:val="restart"/>
          </w:tcPr>
          <w:p w:rsidR="004F60A5" w:rsidRPr="004F60A5" w:rsidRDefault="004F60A5" w:rsidP="001C00A5">
            <w:pPr>
              <w:tabs>
                <w:tab w:val="left" w:pos="1843"/>
                <w:tab w:val="left" w:pos="2268"/>
              </w:tabs>
              <w:spacing w:before="60" w:after="60"/>
              <w:ind w:left="325" w:right="87" w:hanging="284"/>
              <w:rPr>
                <w:iCs/>
              </w:rPr>
            </w:pPr>
            <w:r w:rsidRPr="004F60A5">
              <w:rPr>
                <w:iCs/>
              </w:rPr>
              <w:t>b)</w:t>
            </w:r>
            <w:r w:rsidRPr="004F60A5">
              <w:rPr>
                <w:iCs/>
              </w:rPr>
              <w:tab/>
              <w:t>Hinweise für den Beförderer über den Betrieb des Kühlsystems, einschließlich einer Liste der an der Fahrstrecke gelegenen Kühlmittellieferanten;</w:t>
            </w:r>
          </w:p>
        </w:tc>
        <w:tc>
          <w:tcPr>
            <w:tcW w:w="1842" w:type="dxa"/>
            <w:vMerge w:val="restart"/>
          </w:tcPr>
          <w:p w:rsidR="004F60A5" w:rsidRPr="004F60A5" w:rsidRDefault="004F60A5" w:rsidP="001C00A5">
            <w:r w:rsidRPr="004F60A5">
              <w:t>Absender</w:t>
            </w:r>
          </w:p>
          <w:p w:rsidR="004F60A5" w:rsidRPr="004F60A5" w:rsidRDefault="004F60A5" w:rsidP="001C00A5">
            <w:r w:rsidRPr="004F60A5">
              <w:t>Beförderer</w:t>
            </w:r>
          </w:p>
        </w:tc>
        <w:tc>
          <w:tcPr>
            <w:tcW w:w="3427" w:type="dxa"/>
          </w:tcPr>
          <w:p w:rsidR="004F60A5" w:rsidRPr="004F60A5" w:rsidRDefault="004F60A5" w:rsidP="001C00A5">
            <w:pPr>
              <w:rPr>
                <w:lang w:val="en-GB"/>
              </w:rPr>
            </w:pPr>
            <w:r w:rsidRPr="004F60A5">
              <w:rPr>
                <w:lang w:val="en-GB"/>
              </w:rPr>
              <w:t xml:space="preserve">1.4.2.1.1 (b) </w:t>
            </w:r>
            <w:proofErr w:type="spellStart"/>
            <w:r w:rsidRPr="004F60A5">
              <w:rPr>
                <w:lang w:val="en-GB"/>
              </w:rPr>
              <w:t>mit</w:t>
            </w:r>
            <w:proofErr w:type="spellEnd"/>
            <w:r w:rsidRPr="004F60A5">
              <w:rPr>
                <w:lang w:val="en-GB"/>
              </w:rPr>
              <w:t xml:space="preserve"> </w:t>
            </w:r>
            <w:proofErr w:type="spellStart"/>
            <w:r w:rsidRPr="004F60A5">
              <w:rPr>
                <w:lang w:val="en-GB"/>
              </w:rPr>
              <w:t>Änderung</w:t>
            </w:r>
            <w:proofErr w:type="spellEnd"/>
          </w:p>
          <w:p w:rsidR="004F60A5" w:rsidRPr="004F60A5" w:rsidRDefault="004F60A5" w:rsidP="001C00A5">
            <w:r w:rsidRPr="004F60A5">
              <w:t>1.4.2.2.1 (b)</w:t>
            </w:r>
          </w:p>
        </w:tc>
      </w:tr>
      <w:tr w:rsidR="004F60A5" w:rsidRPr="004F60A5" w:rsidTr="001C00A5">
        <w:tc>
          <w:tcPr>
            <w:tcW w:w="1093" w:type="dxa"/>
            <w:vMerge/>
          </w:tcPr>
          <w:p w:rsidR="004F60A5" w:rsidRPr="004F60A5" w:rsidRDefault="004F60A5" w:rsidP="001C00A5"/>
        </w:tc>
        <w:tc>
          <w:tcPr>
            <w:tcW w:w="3410" w:type="dxa"/>
            <w:vMerge/>
          </w:tcPr>
          <w:p w:rsidR="004F60A5" w:rsidRPr="004F60A5" w:rsidRDefault="004F60A5" w:rsidP="001C00A5">
            <w:pPr>
              <w:tabs>
                <w:tab w:val="left" w:pos="1843"/>
                <w:tab w:val="left" w:pos="2268"/>
              </w:tabs>
              <w:spacing w:before="60" w:after="60"/>
              <w:ind w:left="325" w:right="87" w:hanging="284"/>
              <w:rPr>
                <w:iCs/>
              </w:rPr>
            </w:pPr>
          </w:p>
        </w:tc>
        <w:tc>
          <w:tcPr>
            <w:tcW w:w="1842" w:type="dxa"/>
            <w:vMerge/>
          </w:tcPr>
          <w:p w:rsidR="004F60A5" w:rsidRPr="004F60A5" w:rsidRDefault="004F60A5" w:rsidP="001C00A5"/>
        </w:tc>
        <w:tc>
          <w:tcPr>
            <w:tcW w:w="3427" w:type="dxa"/>
          </w:tcPr>
          <w:p w:rsidR="004F60A5" w:rsidRPr="004F60A5" w:rsidRDefault="004F60A5" w:rsidP="001C00A5">
            <w:pPr>
              <w:ind w:left="176" w:hanging="142"/>
            </w:pPr>
            <w:r w:rsidRPr="004F60A5">
              <w:t>1.4.2.1.1 (b) wie folgt ändern:</w:t>
            </w:r>
          </w:p>
          <w:p w:rsidR="004F60A5" w:rsidRPr="004F60A5" w:rsidRDefault="004F60A5" w:rsidP="001C00A5">
            <w:pPr>
              <w:ind w:left="176" w:hanging="142"/>
            </w:pPr>
          </w:p>
          <w:p w:rsidR="004F60A5" w:rsidRPr="004F60A5" w:rsidRDefault="004F60A5" w:rsidP="001C00A5">
            <w:pPr>
              <w:pStyle w:val="N5"/>
              <w:spacing w:before="60" w:line="240" w:lineRule="atLeast"/>
              <w:ind w:left="176" w:hanging="142"/>
              <w:rPr>
                <w:rFonts w:ascii="Times New Roman" w:hAnsi="Times New Roman"/>
              </w:rPr>
            </w:pPr>
            <w:r w:rsidRPr="004F60A5">
              <w:rPr>
                <w:rFonts w:ascii="Times New Roman" w:hAnsi="Times New Roman"/>
              </w:rPr>
              <w:t>b)</w:t>
            </w:r>
            <w:r w:rsidRPr="004F60A5">
              <w:rPr>
                <w:rFonts w:ascii="Times New Roman" w:hAnsi="Times New Roman"/>
              </w:rPr>
              <w:tab/>
              <w:t>dem Beförderer in nachweisbarer Form die erforderlichen Angaben und Informationen und gegebenenfalls die erforderlichen Beförderungspapiere und Begleitpapiere (Genehmigungen, Zulassungen, Benachrichtigungen, Zeugnisse usw.) unter Berücksichtigung insbesondere der Vorschriften des Kapitels 5.4</w:t>
            </w:r>
            <w:r w:rsidRPr="00C13835">
              <w:rPr>
                <w:rFonts w:ascii="Times New Roman" w:hAnsi="Times New Roman"/>
              </w:rPr>
              <w:t xml:space="preserve">, </w:t>
            </w:r>
            <w:r w:rsidRPr="004F60A5">
              <w:rPr>
                <w:rFonts w:ascii="Times New Roman" w:hAnsi="Times New Roman"/>
                <w:u w:val="single"/>
              </w:rPr>
              <w:t>des Abschnitts 7.1.7</w:t>
            </w:r>
            <w:r w:rsidRPr="004F60A5">
              <w:rPr>
                <w:rFonts w:ascii="Times New Roman" w:hAnsi="Times New Roman"/>
              </w:rPr>
              <w:t xml:space="preserve"> und der Tabellen des Teils 3 zu liefern;</w:t>
            </w:r>
          </w:p>
        </w:tc>
      </w:tr>
    </w:tbl>
    <w:p w:rsidR="004F60A5" w:rsidRPr="004F60A5" w:rsidRDefault="004F60A5" w:rsidP="004F60A5">
      <w:r w:rsidRPr="004F60A5">
        <w:br w:type="page"/>
      </w:r>
    </w:p>
    <w:tbl>
      <w:tblPr>
        <w:tblStyle w:val="TableGrid"/>
        <w:tblW w:w="9772" w:type="dxa"/>
        <w:tblLook w:val="04A0" w:firstRow="1" w:lastRow="0" w:firstColumn="1" w:lastColumn="0" w:noHBand="0" w:noVBand="1"/>
      </w:tblPr>
      <w:tblGrid>
        <w:gridCol w:w="1093"/>
        <w:gridCol w:w="3410"/>
        <w:gridCol w:w="1842"/>
        <w:gridCol w:w="3402"/>
        <w:gridCol w:w="25"/>
      </w:tblGrid>
      <w:tr w:rsidR="004F60A5" w:rsidRPr="004F60A5" w:rsidTr="001C00A5">
        <w:tc>
          <w:tcPr>
            <w:tcW w:w="1093" w:type="dxa"/>
            <w:shd w:val="clear" w:color="auto" w:fill="D9D9D9" w:themeFill="background1" w:themeFillShade="D9"/>
          </w:tcPr>
          <w:p w:rsidR="004F60A5" w:rsidRPr="004F60A5" w:rsidRDefault="004F60A5" w:rsidP="001C00A5">
            <w:r w:rsidRPr="004F60A5">
              <w:lastRenderedPageBreak/>
              <w:t>Absatz</w:t>
            </w:r>
          </w:p>
        </w:tc>
        <w:tc>
          <w:tcPr>
            <w:tcW w:w="3410" w:type="dxa"/>
            <w:shd w:val="clear" w:color="auto" w:fill="D9D9D9" w:themeFill="background1" w:themeFillShade="D9"/>
          </w:tcPr>
          <w:p w:rsidR="004F60A5" w:rsidRPr="004F60A5" w:rsidRDefault="004F60A5" w:rsidP="001C00A5">
            <w:r w:rsidRPr="004F60A5">
              <w:t>Verpflichtung</w:t>
            </w:r>
          </w:p>
        </w:tc>
        <w:tc>
          <w:tcPr>
            <w:tcW w:w="1842" w:type="dxa"/>
            <w:shd w:val="clear" w:color="auto" w:fill="D9D9D9" w:themeFill="background1" w:themeFillShade="D9"/>
          </w:tcPr>
          <w:p w:rsidR="004F60A5" w:rsidRPr="004F60A5" w:rsidRDefault="004F60A5" w:rsidP="001C00A5">
            <w:r w:rsidRPr="004F60A5">
              <w:t xml:space="preserve">Verantwortliches </w:t>
            </w:r>
          </w:p>
          <w:p w:rsidR="004F60A5" w:rsidRPr="004F60A5" w:rsidRDefault="004F60A5" w:rsidP="001C00A5">
            <w:r w:rsidRPr="004F60A5">
              <w:t>Unternehmen</w:t>
            </w:r>
          </w:p>
        </w:tc>
        <w:tc>
          <w:tcPr>
            <w:tcW w:w="3427" w:type="dxa"/>
            <w:gridSpan w:val="2"/>
            <w:shd w:val="clear" w:color="auto" w:fill="D9D9D9" w:themeFill="background1" w:themeFillShade="D9"/>
          </w:tcPr>
          <w:p w:rsidR="004F60A5" w:rsidRPr="004F60A5" w:rsidRDefault="004F60A5" w:rsidP="001C00A5">
            <w:r w:rsidRPr="004F60A5">
              <w:t>Pflichtenzuweisung</w:t>
            </w:r>
          </w:p>
        </w:tc>
      </w:tr>
      <w:tr w:rsidR="004F60A5" w:rsidRPr="004F60A5" w:rsidTr="001C00A5">
        <w:trPr>
          <w:trHeight w:val="820"/>
        </w:trPr>
        <w:tc>
          <w:tcPr>
            <w:tcW w:w="1093" w:type="dxa"/>
            <w:vMerge w:val="restart"/>
            <w:tcBorders>
              <w:bottom w:val="single" w:sz="4" w:space="0" w:color="auto"/>
            </w:tcBorders>
          </w:tcPr>
          <w:p w:rsidR="004F60A5" w:rsidRPr="004F60A5" w:rsidRDefault="004F60A5" w:rsidP="001C00A5">
            <w:r w:rsidRPr="004F60A5">
              <w:t>7.1.7.4.1:</w:t>
            </w:r>
          </w:p>
          <w:p w:rsidR="004F60A5" w:rsidRPr="004F60A5" w:rsidRDefault="004F60A5" w:rsidP="001C00A5">
            <w:pPr>
              <w:rPr>
                <w:lang w:val="en-GB"/>
              </w:rPr>
            </w:pPr>
          </w:p>
        </w:tc>
        <w:tc>
          <w:tcPr>
            <w:tcW w:w="3410" w:type="dxa"/>
            <w:tcBorders>
              <w:bottom w:val="single" w:sz="4" w:space="0" w:color="auto"/>
            </w:tcBorders>
          </w:tcPr>
          <w:p w:rsidR="004F60A5" w:rsidRPr="004F60A5" w:rsidRDefault="004F60A5" w:rsidP="001C00A5">
            <w:pPr>
              <w:tabs>
                <w:tab w:val="left" w:pos="1843"/>
                <w:tab w:val="left" w:pos="2268"/>
              </w:tabs>
              <w:spacing w:before="60" w:after="60"/>
              <w:ind w:left="325" w:right="87" w:hanging="284"/>
              <w:rPr>
                <w:iCs/>
              </w:rPr>
            </w:pPr>
            <w:r w:rsidRPr="004F60A5">
              <w:rPr>
                <w:iCs/>
              </w:rPr>
              <w:t>c)</w:t>
            </w:r>
            <w:r w:rsidRPr="004F60A5">
              <w:rPr>
                <w:iCs/>
              </w:rPr>
              <w:tab/>
              <w:t>Verfahren, die bei Ausfall der Temperaturkontrolle zu befolgen sind;</w:t>
            </w:r>
          </w:p>
        </w:tc>
        <w:tc>
          <w:tcPr>
            <w:tcW w:w="1842" w:type="dxa"/>
            <w:tcBorders>
              <w:bottom w:val="single" w:sz="4" w:space="0" w:color="auto"/>
            </w:tcBorders>
          </w:tcPr>
          <w:p w:rsidR="004F60A5" w:rsidRPr="004F60A5" w:rsidRDefault="004F60A5" w:rsidP="001C00A5">
            <w:r w:rsidRPr="004F60A5">
              <w:t>Absender</w:t>
            </w:r>
          </w:p>
        </w:tc>
        <w:tc>
          <w:tcPr>
            <w:tcW w:w="3427" w:type="dxa"/>
            <w:gridSpan w:val="2"/>
            <w:tcBorders>
              <w:bottom w:val="single" w:sz="4" w:space="0" w:color="auto"/>
            </w:tcBorders>
          </w:tcPr>
          <w:p w:rsidR="004F60A5" w:rsidRPr="004F60A5" w:rsidRDefault="004F60A5" w:rsidP="001C00A5">
            <w:pPr>
              <w:jc w:val="left"/>
              <w:rPr>
                <w:lang w:val="en-GB"/>
              </w:rPr>
            </w:pPr>
            <w:r w:rsidRPr="004F60A5">
              <w:rPr>
                <w:lang w:val="en-GB"/>
              </w:rPr>
              <w:t xml:space="preserve">1.4.2.1.1 (b) </w:t>
            </w:r>
            <w:proofErr w:type="spellStart"/>
            <w:r w:rsidRPr="004F60A5">
              <w:rPr>
                <w:lang w:val="en-GB"/>
              </w:rPr>
              <w:t>mit</w:t>
            </w:r>
            <w:proofErr w:type="spellEnd"/>
            <w:r w:rsidRPr="004F60A5">
              <w:rPr>
                <w:lang w:val="en-GB"/>
              </w:rPr>
              <w:t xml:space="preserve"> </w:t>
            </w:r>
            <w:proofErr w:type="spellStart"/>
            <w:r w:rsidRPr="004F60A5">
              <w:rPr>
                <w:lang w:val="en-GB"/>
              </w:rPr>
              <w:t>vorstehender</w:t>
            </w:r>
            <w:proofErr w:type="spellEnd"/>
            <w:r w:rsidRPr="004F60A5">
              <w:rPr>
                <w:lang w:val="en-GB"/>
              </w:rPr>
              <w:t xml:space="preserve"> </w:t>
            </w:r>
            <w:proofErr w:type="spellStart"/>
            <w:r w:rsidRPr="004F60A5">
              <w:rPr>
                <w:lang w:val="en-GB"/>
              </w:rPr>
              <w:t>Änderung</w:t>
            </w:r>
            <w:proofErr w:type="spellEnd"/>
          </w:p>
          <w:p w:rsidR="004F60A5" w:rsidRPr="004F60A5" w:rsidRDefault="004F60A5" w:rsidP="001C00A5">
            <w:pPr>
              <w:rPr>
                <w:lang w:val="en-GB"/>
              </w:rPr>
            </w:pPr>
          </w:p>
        </w:tc>
      </w:tr>
      <w:tr w:rsidR="004F60A5" w:rsidRPr="004F60A5" w:rsidTr="001C00A5">
        <w:tc>
          <w:tcPr>
            <w:tcW w:w="1093" w:type="dxa"/>
            <w:vMerge/>
          </w:tcPr>
          <w:p w:rsidR="004F60A5" w:rsidRPr="004F60A5" w:rsidRDefault="004F60A5" w:rsidP="001C00A5"/>
        </w:tc>
        <w:tc>
          <w:tcPr>
            <w:tcW w:w="3410" w:type="dxa"/>
          </w:tcPr>
          <w:p w:rsidR="004F60A5" w:rsidRPr="004F60A5" w:rsidRDefault="004F60A5" w:rsidP="001C00A5">
            <w:pPr>
              <w:tabs>
                <w:tab w:val="left" w:pos="1843"/>
                <w:tab w:val="left" w:pos="2268"/>
              </w:tabs>
              <w:spacing w:before="60" w:after="60"/>
              <w:ind w:left="325" w:right="87" w:hanging="284"/>
              <w:rPr>
                <w:iCs/>
              </w:rPr>
            </w:pPr>
            <w:r w:rsidRPr="004F60A5">
              <w:rPr>
                <w:iCs/>
              </w:rPr>
              <w:t>d)</w:t>
            </w:r>
            <w:r w:rsidRPr="004F60A5">
              <w:rPr>
                <w:iCs/>
              </w:rPr>
              <w:tab/>
              <w:t>die regelmäßige Überwachung der Betriebstemperaturen</w:t>
            </w:r>
          </w:p>
        </w:tc>
        <w:tc>
          <w:tcPr>
            <w:tcW w:w="1842" w:type="dxa"/>
          </w:tcPr>
          <w:p w:rsidR="004F60A5" w:rsidRPr="004F60A5" w:rsidRDefault="004F60A5" w:rsidP="001C00A5">
            <w:r w:rsidRPr="004F60A5">
              <w:t>Beförderer</w:t>
            </w:r>
          </w:p>
        </w:tc>
        <w:tc>
          <w:tcPr>
            <w:tcW w:w="3427" w:type="dxa"/>
            <w:gridSpan w:val="2"/>
          </w:tcPr>
          <w:p w:rsidR="004F60A5" w:rsidRPr="004F60A5" w:rsidRDefault="004F60A5" w:rsidP="001C00A5">
            <w:r w:rsidRPr="004F60A5">
              <w:t>1.4.2.2.1 (i)</w:t>
            </w:r>
          </w:p>
        </w:tc>
      </w:tr>
      <w:tr w:rsidR="004F60A5" w:rsidRPr="004F60A5" w:rsidTr="001C00A5">
        <w:trPr>
          <w:trHeight w:val="2113"/>
        </w:trPr>
        <w:tc>
          <w:tcPr>
            <w:tcW w:w="1093" w:type="dxa"/>
            <w:vMerge/>
          </w:tcPr>
          <w:p w:rsidR="004F60A5" w:rsidRPr="004F60A5" w:rsidRDefault="004F60A5" w:rsidP="001C00A5"/>
        </w:tc>
        <w:tc>
          <w:tcPr>
            <w:tcW w:w="3410" w:type="dxa"/>
          </w:tcPr>
          <w:p w:rsidR="004F60A5" w:rsidRPr="004F60A5" w:rsidRDefault="004F60A5" w:rsidP="001C00A5">
            <w:pPr>
              <w:tabs>
                <w:tab w:val="left" w:pos="1843"/>
                <w:tab w:val="left" w:pos="2268"/>
              </w:tabs>
              <w:spacing w:before="60" w:after="60"/>
              <w:ind w:left="325" w:right="87" w:hanging="284"/>
              <w:rPr>
                <w:iCs/>
              </w:rPr>
            </w:pPr>
            <w:r w:rsidRPr="004F60A5">
              <w:rPr>
                <w:iCs/>
              </w:rPr>
              <w:t>e)</w:t>
            </w:r>
            <w:r w:rsidRPr="004F60A5">
              <w:rPr>
                <w:iCs/>
              </w:rPr>
              <w:tab/>
              <w:t>die Verfügbarkeit eines Reservekühlsystems oder von Ersatzteilen</w:t>
            </w:r>
          </w:p>
          <w:p w:rsidR="004F60A5" w:rsidRPr="004F60A5" w:rsidRDefault="004F60A5" w:rsidP="001C00A5">
            <w:pPr>
              <w:tabs>
                <w:tab w:val="left" w:pos="1843"/>
                <w:tab w:val="left" w:pos="2268"/>
              </w:tabs>
              <w:spacing w:before="60" w:after="60"/>
              <w:ind w:left="325" w:right="87" w:hanging="284"/>
              <w:rPr>
                <w:iCs/>
              </w:rPr>
            </w:pPr>
          </w:p>
          <w:p w:rsidR="004F60A5" w:rsidRPr="004F60A5" w:rsidRDefault="004F60A5" w:rsidP="001C00A5">
            <w:pPr>
              <w:tabs>
                <w:tab w:val="left" w:pos="1843"/>
                <w:tab w:val="left" w:pos="2268"/>
              </w:tabs>
              <w:spacing w:before="60" w:after="60"/>
              <w:ind w:left="325" w:right="87" w:hanging="284"/>
              <w:rPr>
                <w:iCs/>
                <w:lang w:val="en-GB"/>
              </w:rPr>
            </w:pPr>
            <w:proofErr w:type="spellStart"/>
            <w:r w:rsidRPr="004F60A5">
              <w:rPr>
                <w:iCs/>
                <w:lang w:val="en-GB"/>
              </w:rPr>
              <w:t>Englisch</w:t>
            </w:r>
            <w:proofErr w:type="spellEnd"/>
            <w:r w:rsidRPr="004F60A5">
              <w:rPr>
                <w:iCs/>
                <w:lang w:val="en-GB"/>
              </w:rPr>
              <w:t>:</w:t>
            </w:r>
          </w:p>
          <w:p w:rsidR="004F60A5" w:rsidRPr="004F60A5" w:rsidRDefault="004F60A5" w:rsidP="001C00A5">
            <w:pPr>
              <w:tabs>
                <w:tab w:val="left" w:pos="1843"/>
                <w:tab w:val="left" w:pos="2268"/>
              </w:tabs>
              <w:spacing w:before="60" w:after="60"/>
              <w:ind w:left="325" w:right="87" w:hanging="284"/>
              <w:rPr>
                <w:lang w:val="en-GB"/>
              </w:rPr>
            </w:pPr>
            <w:r w:rsidRPr="004F60A5">
              <w:rPr>
                <w:i/>
                <w:lang w:val="en-GB"/>
              </w:rPr>
              <w:t xml:space="preserve">(e) </w:t>
            </w:r>
            <w:r w:rsidRPr="004F60A5">
              <w:rPr>
                <w:strike/>
                <w:lang w:val="en-GB"/>
              </w:rPr>
              <w:t xml:space="preserve">Provision </w:t>
            </w:r>
            <w:r w:rsidRPr="004F60A5">
              <w:rPr>
                <w:u w:val="single"/>
                <w:lang w:val="en-GB"/>
              </w:rPr>
              <w:t xml:space="preserve">Availability </w:t>
            </w:r>
            <w:r w:rsidRPr="004F60A5">
              <w:rPr>
                <w:lang w:val="en-GB"/>
              </w:rPr>
              <w:t>of a back-up refrigeration system or spare parts;</w:t>
            </w:r>
          </w:p>
        </w:tc>
        <w:tc>
          <w:tcPr>
            <w:tcW w:w="1842" w:type="dxa"/>
          </w:tcPr>
          <w:p w:rsidR="004F60A5" w:rsidRPr="004F60A5" w:rsidRDefault="004F60A5" w:rsidP="001C00A5">
            <w:r w:rsidRPr="004F60A5">
              <w:t>Absender</w:t>
            </w:r>
          </w:p>
          <w:p w:rsidR="004F60A5" w:rsidRPr="004F60A5" w:rsidRDefault="004F60A5" w:rsidP="001C00A5">
            <w:r w:rsidRPr="004F60A5">
              <w:t>Verlader</w:t>
            </w:r>
          </w:p>
        </w:tc>
        <w:tc>
          <w:tcPr>
            <w:tcW w:w="3427" w:type="dxa"/>
            <w:gridSpan w:val="2"/>
          </w:tcPr>
          <w:p w:rsidR="004F60A5" w:rsidRPr="004F60A5" w:rsidRDefault="004F60A5" w:rsidP="001C00A5">
            <w:pPr>
              <w:rPr>
                <w:u w:val="single"/>
              </w:rPr>
            </w:pPr>
            <w:r w:rsidRPr="004F60A5">
              <w:t xml:space="preserve">1.4.2.1.1 (b) + </w:t>
            </w:r>
            <w:r w:rsidRPr="004F60A5">
              <w:rPr>
                <w:u w:val="single"/>
              </w:rPr>
              <w:t>neuer Buchstabe f)</w:t>
            </w:r>
          </w:p>
          <w:p w:rsidR="004F60A5" w:rsidRPr="004F60A5" w:rsidRDefault="004F60A5" w:rsidP="001C00A5">
            <w:r w:rsidRPr="004F60A5">
              <w:t>1.4.3.1.1 (c)</w:t>
            </w:r>
          </w:p>
          <w:p w:rsidR="004F60A5" w:rsidRPr="004F60A5" w:rsidRDefault="004F60A5" w:rsidP="001C00A5"/>
          <w:p w:rsidR="004F60A5" w:rsidRPr="004F60A5" w:rsidRDefault="004F60A5" w:rsidP="001C00A5">
            <w:r w:rsidRPr="004F60A5">
              <w:t>Neuen Buchstaben 1.4.2.1.1 f) anfügen:</w:t>
            </w:r>
          </w:p>
          <w:p w:rsidR="004F60A5" w:rsidRPr="004F60A5" w:rsidRDefault="004F60A5" w:rsidP="001C00A5">
            <w:pPr>
              <w:rPr>
                <w:u w:val="single"/>
              </w:rPr>
            </w:pPr>
          </w:p>
          <w:p w:rsidR="004F60A5" w:rsidRPr="004F60A5" w:rsidRDefault="004F60A5" w:rsidP="001C00A5">
            <w:pPr>
              <w:ind w:left="318" w:hanging="284"/>
              <w:rPr>
                <w:u w:val="single"/>
              </w:rPr>
            </w:pPr>
            <w:r w:rsidRPr="004F60A5">
              <w:rPr>
                <w:u w:val="single"/>
              </w:rPr>
              <w:t>f) die nach Unterabschnitt 7.1.7.4 erforderlichen Reservekühlsysteme oder Ersatzteile für den Beförderer verfügbar zu machen.</w:t>
            </w:r>
          </w:p>
        </w:tc>
      </w:tr>
      <w:tr w:rsidR="004F60A5" w:rsidRPr="004F60A5" w:rsidTr="001C00A5">
        <w:trPr>
          <w:gridAfter w:val="1"/>
          <w:wAfter w:w="25" w:type="dxa"/>
        </w:trPr>
        <w:tc>
          <w:tcPr>
            <w:tcW w:w="1093" w:type="dxa"/>
          </w:tcPr>
          <w:p w:rsidR="004F60A5" w:rsidRPr="004F60A5" w:rsidRDefault="004F60A5" w:rsidP="001C00A5">
            <w:r w:rsidRPr="004F60A5">
              <w:t>7.1.7.4.2</w:t>
            </w:r>
          </w:p>
        </w:tc>
        <w:tc>
          <w:tcPr>
            <w:tcW w:w="3410" w:type="dxa"/>
          </w:tcPr>
          <w:p w:rsidR="004F60A5" w:rsidRPr="004F60A5" w:rsidRDefault="004F60A5" w:rsidP="001C00A5">
            <w:pPr>
              <w:ind w:left="41" w:right="176" w:firstLine="0"/>
              <w:rPr>
                <w:iCs/>
              </w:rPr>
            </w:pPr>
            <w:r w:rsidRPr="004F60A5">
              <w:rPr>
                <w:iCs/>
              </w:rPr>
              <w:t xml:space="preserve">Alle Kontrolleinrichtungen und Temperaturmesseinrichtungen des Kühlsystems müssen leicht zugänglich und alle elektrischen Verbindungen müssen witterungsbeständig sein. </w:t>
            </w:r>
          </w:p>
          <w:p w:rsidR="004F60A5" w:rsidRPr="004F60A5" w:rsidRDefault="004F60A5" w:rsidP="001C00A5">
            <w:pPr>
              <w:ind w:left="41" w:right="176" w:firstLine="0"/>
              <w:rPr>
                <w:iCs/>
              </w:rPr>
            </w:pPr>
          </w:p>
          <w:p w:rsidR="004F60A5" w:rsidRPr="004F60A5" w:rsidRDefault="004F60A5" w:rsidP="001C00A5">
            <w:pPr>
              <w:ind w:left="41" w:right="176" w:firstLine="0"/>
              <w:rPr>
                <w:iCs/>
              </w:rPr>
            </w:pPr>
            <w:r w:rsidRPr="004F60A5">
              <w:rPr>
                <w:iCs/>
              </w:rPr>
              <w:t xml:space="preserve">Die Lufttemperatur im Inneren der Güterbeförderungseinheit muss mit zwei voneinander unabhängigen Messfühlern gemessen werden und die Daten müssen so aufgezeichnet werden, dass jede Temperaturänderung leicht festgestellt werden kann. </w:t>
            </w:r>
          </w:p>
          <w:p w:rsidR="004F60A5" w:rsidRPr="004F60A5" w:rsidRDefault="004F60A5" w:rsidP="001C00A5">
            <w:pPr>
              <w:ind w:left="41" w:right="176" w:firstLine="0"/>
              <w:rPr>
                <w:iCs/>
              </w:rPr>
            </w:pPr>
          </w:p>
          <w:p w:rsidR="004F60A5" w:rsidRPr="004F60A5" w:rsidRDefault="004F60A5" w:rsidP="001C00A5">
            <w:pPr>
              <w:ind w:left="41" w:right="176" w:firstLine="0"/>
              <w:rPr>
                <w:iCs/>
              </w:rPr>
            </w:pPr>
            <w:r w:rsidRPr="004F60A5">
              <w:rPr>
                <w:iCs/>
              </w:rPr>
              <w:t xml:space="preserve">Die Temperatur muss alle vier bis sechs Stunden kontrolliert und aufgezeichnet werden. </w:t>
            </w:r>
          </w:p>
          <w:p w:rsidR="004F60A5" w:rsidRPr="004F60A5" w:rsidRDefault="004F60A5" w:rsidP="001C00A5">
            <w:pPr>
              <w:ind w:left="41" w:right="176" w:firstLine="0"/>
              <w:rPr>
                <w:iCs/>
              </w:rPr>
            </w:pPr>
          </w:p>
          <w:p w:rsidR="004F60A5" w:rsidRPr="004F60A5" w:rsidRDefault="004F60A5" w:rsidP="001C00A5">
            <w:pPr>
              <w:ind w:left="41" w:right="176" w:firstLine="0"/>
              <w:rPr>
                <w:iCs/>
              </w:rPr>
            </w:pPr>
            <w:r w:rsidRPr="004F60A5">
              <w:rPr>
                <w:iCs/>
              </w:rPr>
              <w:t>Wenn Stoffe mit einer Kontrolltemperatur von weniger als +25 °C befördert werden, muss die Güterbeförderungseinheit mit einem optischen und akustischen Alarm ausgerüstet sein, der unabhängig vom Kühlsystem mit Energie versorgt wird und bei oder unter der Kontrolltemperatur anspricht.</w:t>
            </w:r>
          </w:p>
        </w:tc>
        <w:tc>
          <w:tcPr>
            <w:tcW w:w="1842" w:type="dxa"/>
          </w:tcPr>
          <w:p w:rsidR="004F60A5" w:rsidRPr="004F60A5" w:rsidRDefault="004F60A5" w:rsidP="001C00A5">
            <w:pPr>
              <w:ind w:left="317" w:hanging="317"/>
            </w:pPr>
            <w:r w:rsidRPr="004F60A5">
              <w:t>Absender: 1., 2., 4.. Satz</w:t>
            </w:r>
          </w:p>
          <w:p w:rsidR="004F60A5" w:rsidRPr="004F60A5" w:rsidRDefault="004F60A5" w:rsidP="001C00A5">
            <w:pPr>
              <w:ind w:left="317" w:hanging="284"/>
            </w:pPr>
            <w:r w:rsidRPr="004F60A5">
              <w:t>Beförderer: 1., 3. Satz</w:t>
            </w:r>
          </w:p>
        </w:tc>
        <w:tc>
          <w:tcPr>
            <w:tcW w:w="3402" w:type="dxa"/>
          </w:tcPr>
          <w:p w:rsidR="004F60A5" w:rsidRPr="004F60A5" w:rsidRDefault="004F60A5" w:rsidP="001C00A5">
            <w:r w:rsidRPr="004F60A5">
              <w:t>1.4.2.1.1 (c)</w:t>
            </w:r>
          </w:p>
          <w:p w:rsidR="004F60A5" w:rsidRPr="004F60A5" w:rsidRDefault="004F60A5" w:rsidP="001C00A5"/>
          <w:p w:rsidR="004F60A5" w:rsidRPr="004F60A5" w:rsidRDefault="004F60A5" w:rsidP="001C00A5">
            <w:r w:rsidRPr="004F60A5">
              <w:t>1.4.2.2.1 (i)</w:t>
            </w:r>
          </w:p>
          <w:p w:rsidR="004F60A5" w:rsidRPr="004F60A5" w:rsidRDefault="004F60A5" w:rsidP="001C00A5">
            <w:r w:rsidRPr="004F60A5">
              <w:t>1.4.2.2.1 (c)</w:t>
            </w:r>
          </w:p>
          <w:p w:rsidR="004F60A5" w:rsidRPr="004F60A5" w:rsidRDefault="004F60A5" w:rsidP="001C00A5"/>
          <w:p w:rsidR="004F60A5" w:rsidRPr="004F60A5" w:rsidRDefault="004F60A5" w:rsidP="001C00A5">
            <w:pPr>
              <w:ind w:left="0" w:firstLine="0"/>
            </w:pPr>
            <w:r w:rsidRPr="004F60A5">
              <w:t>In Absatz 7.1.7.4.2 den dritten Satz wie folgt ändern:</w:t>
            </w:r>
          </w:p>
          <w:p w:rsidR="004F60A5" w:rsidRPr="004F60A5" w:rsidRDefault="004F60A5" w:rsidP="001C00A5">
            <w:pPr>
              <w:ind w:right="176"/>
              <w:rPr>
                <w:iCs/>
              </w:rPr>
            </w:pPr>
          </w:p>
          <w:p w:rsidR="004F60A5" w:rsidRPr="004F60A5" w:rsidRDefault="004F60A5" w:rsidP="001C00A5">
            <w:pPr>
              <w:ind w:left="34" w:right="176" w:hanging="34"/>
              <w:rPr>
                <w:iCs/>
              </w:rPr>
            </w:pPr>
            <w:r w:rsidRPr="004F60A5">
              <w:rPr>
                <w:iCs/>
              </w:rPr>
              <w:t>„Die Temperatur muss alle vier bis sechs Stunden kontrolliert</w:t>
            </w:r>
            <w:r w:rsidRPr="004F60A5">
              <w:rPr>
                <w:iCs/>
                <w:u w:val="single"/>
              </w:rPr>
              <w:t>, aufgezeichnet</w:t>
            </w:r>
            <w:r w:rsidRPr="004F60A5">
              <w:rPr>
                <w:iCs/>
              </w:rPr>
              <w:t xml:space="preserve"> und </w:t>
            </w:r>
            <w:r w:rsidRPr="004F60A5">
              <w:rPr>
                <w:iCs/>
                <w:strike/>
                <w:u w:val="single"/>
              </w:rPr>
              <w:t xml:space="preserve">aufgezeichnet </w:t>
            </w:r>
            <w:r w:rsidRPr="004F60A5">
              <w:rPr>
                <w:rFonts w:eastAsia="SimSun"/>
                <w:iCs/>
                <w:u w:val="single"/>
              </w:rPr>
              <w:t xml:space="preserve">in dem </w:t>
            </w:r>
            <w:proofErr w:type="spellStart"/>
            <w:r w:rsidRPr="004F60A5">
              <w:rPr>
                <w:rFonts w:eastAsia="SimSun"/>
                <w:iCs/>
                <w:u w:val="single"/>
              </w:rPr>
              <w:t>Prüfbuch</w:t>
            </w:r>
            <w:proofErr w:type="spellEnd"/>
            <w:r w:rsidRPr="004F60A5">
              <w:rPr>
                <w:rFonts w:eastAsia="SimSun"/>
                <w:iCs/>
                <w:u w:val="single"/>
              </w:rPr>
              <w:t xml:space="preserve"> gemäß Unterabschnitt 8.1.2.1 Buchstabe g) schriftlich festgehalten</w:t>
            </w:r>
            <w:r w:rsidRPr="004F60A5">
              <w:rPr>
                <w:iCs/>
                <w:u w:val="single"/>
              </w:rPr>
              <w:t xml:space="preserve"> </w:t>
            </w:r>
            <w:r w:rsidRPr="004F60A5">
              <w:rPr>
                <w:iCs/>
              </w:rPr>
              <w:t>werden.“.</w:t>
            </w:r>
          </w:p>
        </w:tc>
      </w:tr>
    </w:tbl>
    <w:p w:rsidR="004F60A5" w:rsidRPr="004F60A5" w:rsidRDefault="004F60A5" w:rsidP="004F60A5">
      <w:r w:rsidRPr="004F60A5">
        <w:br w:type="page"/>
      </w:r>
    </w:p>
    <w:tbl>
      <w:tblPr>
        <w:tblStyle w:val="TableGrid"/>
        <w:tblW w:w="9772" w:type="dxa"/>
        <w:tblLook w:val="04A0" w:firstRow="1" w:lastRow="0" w:firstColumn="1" w:lastColumn="0" w:noHBand="0" w:noVBand="1"/>
      </w:tblPr>
      <w:tblGrid>
        <w:gridCol w:w="1093"/>
        <w:gridCol w:w="3410"/>
        <w:gridCol w:w="1842"/>
        <w:gridCol w:w="3402"/>
        <w:gridCol w:w="25"/>
      </w:tblGrid>
      <w:tr w:rsidR="004F60A5" w:rsidRPr="004F60A5" w:rsidTr="001C00A5">
        <w:tc>
          <w:tcPr>
            <w:tcW w:w="1093" w:type="dxa"/>
            <w:shd w:val="clear" w:color="auto" w:fill="D9D9D9" w:themeFill="background1" w:themeFillShade="D9"/>
          </w:tcPr>
          <w:p w:rsidR="004F60A5" w:rsidRPr="004F60A5" w:rsidRDefault="004F60A5" w:rsidP="001C00A5">
            <w:r w:rsidRPr="004F60A5">
              <w:lastRenderedPageBreak/>
              <w:t>Absatz</w:t>
            </w:r>
          </w:p>
        </w:tc>
        <w:tc>
          <w:tcPr>
            <w:tcW w:w="3410" w:type="dxa"/>
            <w:shd w:val="clear" w:color="auto" w:fill="D9D9D9" w:themeFill="background1" w:themeFillShade="D9"/>
          </w:tcPr>
          <w:p w:rsidR="004F60A5" w:rsidRPr="004F60A5" w:rsidRDefault="004F60A5" w:rsidP="001C00A5">
            <w:r w:rsidRPr="004F60A5">
              <w:t>Verpflichtung</w:t>
            </w:r>
          </w:p>
        </w:tc>
        <w:tc>
          <w:tcPr>
            <w:tcW w:w="1842" w:type="dxa"/>
            <w:shd w:val="clear" w:color="auto" w:fill="D9D9D9" w:themeFill="background1" w:themeFillShade="D9"/>
          </w:tcPr>
          <w:p w:rsidR="004F60A5" w:rsidRPr="004F60A5" w:rsidRDefault="004F60A5" w:rsidP="001C00A5">
            <w:r w:rsidRPr="004F60A5">
              <w:t xml:space="preserve">Verantwortliches </w:t>
            </w:r>
          </w:p>
          <w:p w:rsidR="004F60A5" w:rsidRPr="004F60A5" w:rsidRDefault="004F60A5" w:rsidP="001C00A5">
            <w:r w:rsidRPr="004F60A5">
              <w:t>Unternehmen</w:t>
            </w:r>
          </w:p>
        </w:tc>
        <w:tc>
          <w:tcPr>
            <w:tcW w:w="3427" w:type="dxa"/>
            <w:gridSpan w:val="2"/>
            <w:shd w:val="clear" w:color="auto" w:fill="D9D9D9" w:themeFill="background1" w:themeFillShade="D9"/>
          </w:tcPr>
          <w:p w:rsidR="004F60A5" w:rsidRPr="004F60A5" w:rsidRDefault="004F60A5" w:rsidP="001C00A5">
            <w:r w:rsidRPr="004F60A5">
              <w:t>Pflichtenzuweisung</w:t>
            </w:r>
          </w:p>
        </w:tc>
      </w:tr>
      <w:tr w:rsidR="004F60A5" w:rsidRPr="004F60A5" w:rsidTr="001C00A5">
        <w:trPr>
          <w:gridAfter w:val="1"/>
          <w:wAfter w:w="25" w:type="dxa"/>
          <w:trHeight w:val="4096"/>
        </w:trPr>
        <w:tc>
          <w:tcPr>
            <w:tcW w:w="1093" w:type="dxa"/>
          </w:tcPr>
          <w:p w:rsidR="004F60A5" w:rsidRPr="004F60A5" w:rsidRDefault="004F60A5" w:rsidP="001C00A5">
            <w:r w:rsidRPr="004F60A5">
              <w:t>7.1.7.4.3</w:t>
            </w:r>
          </w:p>
        </w:tc>
        <w:tc>
          <w:tcPr>
            <w:tcW w:w="3410" w:type="dxa"/>
          </w:tcPr>
          <w:p w:rsidR="004F60A5" w:rsidRPr="004F60A5" w:rsidRDefault="004F60A5" w:rsidP="001C00A5">
            <w:pPr>
              <w:ind w:left="41" w:right="176" w:firstLine="0"/>
              <w:rPr>
                <w:iCs/>
              </w:rPr>
            </w:pPr>
            <w:r w:rsidRPr="004F60A5">
              <w:rPr>
                <w:iCs/>
              </w:rPr>
              <w:t xml:space="preserve">Wenn während der Beförderung die Kontrolltemperatur überschritten wird, muss ein Alarmverfahren eingeleitet werden, das gegebenenfalls eine notwendige Reparatur der Kühlanlage oder eine Erhöhung der Kühlkapazität (z. B. durch Hinzufügen flüssiger oder fester Kühlmittel) umfasst. </w:t>
            </w:r>
          </w:p>
          <w:p w:rsidR="004F60A5" w:rsidRPr="004F60A5" w:rsidRDefault="004F60A5" w:rsidP="001C00A5">
            <w:pPr>
              <w:ind w:left="41" w:right="176" w:firstLine="0"/>
              <w:rPr>
                <w:iCs/>
              </w:rPr>
            </w:pPr>
          </w:p>
          <w:p w:rsidR="004F60A5" w:rsidRPr="004F60A5" w:rsidRDefault="004F60A5" w:rsidP="001C00A5">
            <w:pPr>
              <w:ind w:left="41" w:right="176" w:firstLine="0"/>
              <w:rPr>
                <w:iCs/>
              </w:rPr>
            </w:pPr>
            <w:r w:rsidRPr="004F60A5">
              <w:rPr>
                <w:iCs/>
              </w:rPr>
              <w:t xml:space="preserve">Außerdem muss die Temperatur häufig kontrolliert werden und es müssen Vorkehrungen für Notfallmaßnahmen getroffen werden. </w:t>
            </w:r>
          </w:p>
          <w:p w:rsidR="004F60A5" w:rsidRPr="004F60A5" w:rsidRDefault="004F60A5" w:rsidP="001C00A5">
            <w:pPr>
              <w:ind w:left="41" w:right="176" w:firstLine="0"/>
              <w:rPr>
                <w:iCs/>
              </w:rPr>
            </w:pPr>
          </w:p>
          <w:p w:rsidR="004F60A5" w:rsidRPr="004F60A5" w:rsidRDefault="004F60A5" w:rsidP="001C00A5">
            <w:pPr>
              <w:ind w:left="41" w:right="176" w:firstLine="0"/>
              <w:rPr>
                <w:iCs/>
              </w:rPr>
            </w:pPr>
            <w:r w:rsidRPr="004F60A5">
              <w:rPr>
                <w:iCs/>
              </w:rPr>
              <w:t>Wird die Notfalltemperatur erreicht, müssen die Notfallmaßnahmen eingeleitet werden</w:t>
            </w:r>
          </w:p>
        </w:tc>
        <w:tc>
          <w:tcPr>
            <w:tcW w:w="1842" w:type="dxa"/>
          </w:tcPr>
          <w:p w:rsidR="004F60A5" w:rsidRPr="004F60A5" w:rsidRDefault="004F60A5" w:rsidP="001C00A5">
            <w:r w:rsidRPr="004F60A5">
              <w:t>Beförderer</w:t>
            </w:r>
          </w:p>
        </w:tc>
        <w:tc>
          <w:tcPr>
            <w:tcW w:w="3402" w:type="dxa"/>
          </w:tcPr>
          <w:p w:rsidR="004F60A5" w:rsidRPr="004F60A5" w:rsidRDefault="004F60A5" w:rsidP="001C00A5">
            <w:r w:rsidRPr="004F60A5">
              <w:t>1.4.2.2.1 (i)</w:t>
            </w:r>
          </w:p>
          <w:p w:rsidR="004F60A5" w:rsidRPr="004F60A5" w:rsidRDefault="004F60A5" w:rsidP="001C00A5"/>
        </w:tc>
      </w:tr>
      <w:tr w:rsidR="004F60A5" w:rsidRPr="004F60A5" w:rsidTr="001C00A5">
        <w:trPr>
          <w:gridAfter w:val="1"/>
          <w:wAfter w:w="25" w:type="dxa"/>
          <w:trHeight w:val="1763"/>
        </w:trPr>
        <w:tc>
          <w:tcPr>
            <w:tcW w:w="1093" w:type="dxa"/>
          </w:tcPr>
          <w:p w:rsidR="004F60A5" w:rsidRPr="004F60A5" w:rsidRDefault="004F60A5" w:rsidP="001C00A5">
            <w:pPr>
              <w:rPr>
                <w:iCs/>
              </w:rPr>
            </w:pPr>
            <w:r w:rsidRPr="004F60A5">
              <w:rPr>
                <w:iCs/>
              </w:rPr>
              <w:t>7.1.7.4.7</w:t>
            </w:r>
          </w:p>
        </w:tc>
        <w:tc>
          <w:tcPr>
            <w:tcW w:w="3410" w:type="dxa"/>
          </w:tcPr>
          <w:p w:rsidR="004F60A5" w:rsidRPr="004F60A5" w:rsidRDefault="004F60A5" w:rsidP="001C00A5">
            <w:pPr>
              <w:ind w:left="41" w:right="176" w:hanging="41"/>
            </w:pPr>
            <w:r w:rsidRPr="004F60A5">
              <w:t>Wenn die Stoffe in Fahrzeugen oder Containern mit Wärmedämmung, Kältespeicher oder Kälte-/Kühlmaschine befördert werden müssen, müssen diese Fahrzeuge oder Container den Vorschriften des Kapitels 9.6 des ADR entsprechen.</w:t>
            </w:r>
          </w:p>
        </w:tc>
        <w:tc>
          <w:tcPr>
            <w:tcW w:w="1842" w:type="dxa"/>
          </w:tcPr>
          <w:p w:rsidR="004F60A5" w:rsidRPr="004F60A5" w:rsidRDefault="004F60A5" w:rsidP="001C00A5">
            <w:r w:rsidRPr="004F60A5">
              <w:t>Absender:</w:t>
            </w:r>
          </w:p>
          <w:p w:rsidR="004F60A5" w:rsidRPr="004F60A5" w:rsidRDefault="004F60A5" w:rsidP="001C00A5">
            <w:r w:rsidRPr="004F60A5">
              <w:t>Beförderer:</w:t>
            </w:r>
          </w:p>
        </w:tc>
        <w:tc>
          <w:tcPr>
            <w:tcW w:w="3402" w:type="dxa"/>
          </w:tcPr>
          <w:p w:rsidR="004F60A5" w:rsidRPr="004F60A5" w:rsidRDefault="004F60A5" w:rsidP="001C00A5">
            <w:r w:rsidRPr="004F60A5">
              <w:t>1.4.2.1.1 (c)</w:t>
            </w:r>
          </w:p>
          <w:p w:rsidR="004F60A5" w:rsidRPr="004F60A5" w:rsidRDefault="004F60A5" w:rsidP="001C00A5">
            <w:r w:rsidRPr="004F60A5">
              <w:t>1.4.2.2.1 (c) (Sichtkontrolle)</w:t>
            </w:r>
          </w:p>
          <w:p w:rsidR="004F60A5" w:rsidRPr="004F60A5" w:rsidRDefault="004F60A5" w:rsidP="001C00A5"/>
        </w:tc>
      </w:tr>
      <w:tr w:rsidR="004F60A5" w:rsidRPr="004F60A5" w:rsidTr="001C00A5">
        <w:trPr>
          <w:gridAfter w:val="1"/>
          <w:wAfter w:w="25" w:type="dxa"/>
          <w:trHeight w:val="3910"/>
        </w:trPr>
        <w:tc>
          <w:tcPr>
            <w:tcW w:w="1093" w:type="dxa"/>
          </w:tcPr>
          <w:p w:rsidR="004F60A5" w:rsidRPr="004F60A5" w:rsidRDefault="004F60A5" w:rsidP="001C00A5">
            <w:pPr>
              <w:rPr>
                <w:iCs/>
              </w:rPr>
            </w:pPr>
            <w:r w:rsidRPr="004F60A5">
              <w:rPr>
                <w:iCs/>
              </w:rPr>
              <w:t>7.1.7.4.8</w:t>
            </w:r>
          </w:p>
        </w:tc>
        <w:tc>
          <w:tcPr>
            <w:tcW w:w="3410" w:type="dxa"/>
          </w:tcPr>
          <w:p w:rsidR="004F60A5" w:rsidRPr="004F60A5" w:rsidRDefault="004F60A5" w:rsidP="001C00A5">
            <w:pPr>
              <w:ind w:left="41" w:right="176" w:hanging="41"/>
              <w:rPr>
                <w:snapToGrid w:val="0"/>
              </w:rPr>
            </w:pPr>
            <w:r w:rsidRPr="004F60A5">
              <w:rPr>
                <w:snapToGrid w:val="0"/>
              </w:rPr>
              <w:t xml:space="preserve">Wenn die Stoffe in mit Kühlmitteln befüllten Schutzverpackungen enthalten sind, sind sie in gedeckte oder bedeckte Fahrzeuge oder in geschlossene oder bedeckte Container zu verladen. </w:t>
            </w:r>
          </w:p>
          <w:p w:rsidR="004F60A5" w:rsidRPr="004F60A5" w:rsidRDefault="004F60A5" w:rsidP="001C00A5">
            <w:pPr>
              <w:ind w:left="41" w:right="176" w:hanging="41"/>
              <w:rPr>
                <w:snapToGrid w:val="0"/>
              </w:rPr>
            </w:pPr>
          </w:p>
          <w:p w:rsidR="004F60A5" w:rsidRPr="004F60A5" w:rsidRDefault="004F60A5" w:rsidP="001C00A5">
            <w:pPr>
              <w:ind w:left="41" w:right="176" w:hanging="41"/>
              <w:rPr>
                <w:snapToGrid w:val="0"/>
              </w:rPr>
            </w:pPr>
            <w:r w:rsidRPr="004F60A5">
              <w:rPr>
                <w:snapToGrid w:val="0"/>
              </w:rPr>
              <w:t xml:space="preserve">Bei Verwendung von gedeckten Fahrzeugen oder geschlossenen Containern muss eine ausreichende Belüftung sichergestellt sein. </w:t>
            </w:r>
          </w:p>
          <w:p w:rsidR="004F60A5" w:rsidRPr="004F60A5" w:rsidRDefault="004F60A5" w:rsidP="001C00A5">
            <w:pPr>
              <w:ind w:left="41" w:right="176" w:hanging="41"/>
              <w:rPr>
                <w:snapToGrid w:val="0"/>
              </w:rPr>
            </w:pPr>
          </w:p>
          <w:p w:rsidR="004F60A5" w:rsidRPr="004F60A5" w:rsidRDefault="004F60A5" w:rsidP="001C00A5">
            <w:pPr>
              <w:ind w:left="41" w:right="176" w:hanging="41"/>
              <w:rPr>
                <w:snapToGrid w:val="0"/>
              </w:rPr>
            </w:pPr>
            <w:r w:rsidRPr="004F60A5">
              <w:rPr>
                <w:snapToGrid w:val="0"/>
              </w:rPr>
              <w:t xml:space="preserve">Bedeckte Fahrzeuge und Container müssen mit Seitenwänden und einer Rückwand versehen sein. </w:t>
            </w:r>
          </w:p>
          <w:p w:rsidR="004F60A5" w:rsidRPr="004F60A5" w:rsidRDefault="004F60A5" w:rsidP="001C00A5">
            <w:pPr>
              <w:ind w:left="41" w:right="176" w:hanging="41"/>
              <w:rPr>
                <w:snapToGrid w:val="0"/>
              </w:rPr>
            </w:pPr>
          </w:p>
          <w:p w:rsidR="004F60A5" w:rsidRPr="004F60A5" w:rsidRDefault="004F60A5" w:rsidP="001C00A5">
            <w:pPr>
              <w:ind w:left="41" w:right="176" w:hanging="41"/>
              <w:rPr>
                <w:snapToGrid w:val="0"/>
              </w:rPr>
            </w:pPr>
            <w:r w:rsidRPr="004F60A5">
              <w:rPr>
                <w:snapToGrid w:val="0"/>
              </w:rPr>
              <w:t>Die Plane dieser Fahrzeuge und Container muss aus einem undurchlässigen und nicht brennbaren Werkstoff bestehen.</w:t>
            </w:r>
          </w:p>
        </w:tc>
        <w:tc>
          <w:tcPr>
            <w:tcW w:w="1842" w:type="dxa"/>
          </w:tcPr>
          <w:p w:rsidR="004F60A5" w:rsidRPr="004F60A5" w:rsidRDefault="004F60A5" w:rsidP="001C00A5">
            <w:r w:rsidRPr="004F60A5">
              <w:t>Absender:</w:t>
            </w:r>
          </w:p>
          <w:p w:rsidR="004F60A5" w:rsidRPr="004F60A5" w:rsidRDefault="004F60A5" w:rsidP="001C00A5">
            <w:r w:rsidRPr="004F60A5">
              <w:t>Beförderer:</w:t>
            </w:r>
          </w:p>
        </w:tc>
        <w:tc>
          <w:tcPr>
            <w:tcW w:w="3402" w:type="dxa"/>
          </w:tcPr>
          <w:p w:rsidR="004F60A5" w:rsidRPr="004F60A5" w:rsidRDefault="004F60A5" w:rsidP="001C00A5">
            <w:r w:rsidRPr="004F60A5">
              <w:t>1.4.2.1.1 (c)</w:t>
            </w:r>
          </w:p>
          <w:p w:rsidR="004F60A5" w:rsidRPr="004F60A5" w:rsidRDefault="004F60A5" w:rsidP="001C00A5">
            <w:r w:rsidRPr="004F60A5">
              <w:t>1.4.2.2.1 (c) (Sichtkontrolle)</w:t>
            </w:r>
          </w:p>
          <w:p w:rsidR="004F60A5" w:rsidRPr="004F60A5" w:rsidRDefault="004F60A5" w:rsidP="001C00A5"/>
        </w:tc>
      </w:tr>
    </w:tbl>
    <w:p w:rsidR="004F60A5" w:rsidRPr="004F60A5" w:rsidRDefault="004F60A5" w:rsidP="004F60A5">
      <w:pPr>
        <w:pStyle w:val="ListParagraph"/>
        <w:spacing w:line="249" w:lineRule="auto"/>
        <w:ind w:left="0" w:right="1332"/>
        <w:jc w:val="both"/>
        <w:rPr>
          <w:sz w:val="24"/>
        </w:rPr>
      </w:pPr>
    </w:p>
    <w:p w:rsidR="004F60A5" w:rsidRPr="004F60A5" w:rsidRDefault="004F60A5" w:rsidP="004F60A5">
      <w:pPr>
        <w:widowControl/>
        <w:overflowPunct/>
        <w:autoSpaceDE/>
        <w:autoSpaceDN/>
        <w:adjustRightInd/>
        <w:ind w:left="0" w:firstLine="0"/>
        <w:jc w:val="left"/>
        <w:textAlignment w:val="auto"/>
        <w:rPr>
          <w:b/>
          <w:sz w:val="24"/>
          <w:szCs w:val="18"/>
        </w:rPr>
      </w:pPr>
      <w:r w:rsidRPr="004F60A5">
        <w:rPr>
          <w:b/>
          <w:sz w:val="24"/>
          <w:szCs w:val="18"/>
        </w:rPr>
        <w:br w:type="page"/>
      </w:r>
    </w:p>
    <w:p w:rsidR="004F60A5" w:rsidRPr="004F60A5" w:rsidRDefault="004F60A5" w:rsidP="004F60A5">
      <w:pPr>
        <w:tabs>
          <w:tab w:val="left" w:pos="567"/>
          <w:tab w:val="left" w:pos="1418"/>
        </w:tabs>
        <w:spacing w:line="240" w:lineRule="atLeast"/>
        <w:rPr>
          <w:b/>
          <w:sz w:val="24"/>
          <w:szCs w:val="18"/>
        </w:rPr>
      </w:pPr>
      <w:r w:rsidRPr="004F60A5">
        <w:rPr>
          <w:b/>
          <w:sz w:val="24"/>
          <w:szCs w:val="18"/>
        </w:rPr>
        <w:lastRenderedPageBreak/>
        <w:t>Zusätzliche Stauvorschrift</w:t>
      </w:r>
    </w:p>
    <w:p w:rsidR="004F60A5" w:rsidRPr="004F60A5" w:rsidRDefault="004F60A5" w:rsidP="004F60A5">
      <w:pPr>
        <w:tabs>
          <w:tab w:val="left" w:pos="567"/>
          <w:tab w:val="left" w:pos="1418"/>
        </w:tabs>
        <w:spacing w:line="240" w:lineRule="atLeast"/>
        <w:rPr>
          <w:b/>
          <w:sz w:val="24"/>
          <w:szCs w:val="18"/>
        </w:rPr>
      </w:pPr>
    </w:p>
    <w:p w:rsidR="004F60A5" w:rsidRPr="004F60A5" w:rsidRDefault="004F60A5" w:rsidP="004F60A5">
      <w:pPr>
        <w:spacing w:before="120"/>
        <w:ind w:left="0" w:firstLine="0"/>
        <w:rPr>
          <w:lang w:eastAsia="en-US"/>
        </w:rPr>
      </w:pPr>
      <w:r w:rsidRPr="004F60A5">
        <w:rPr>
          <w:lang w:eastAsia="en-US"/>
        </w:rPr>
        <w:t xml:space="preserve">7. </w:t>
      </w:r>
      <w:r w:rsidRPr="004F60A5">
        <w:rPr>
          <w:lang w:eastAsia="en-US"/>
        </w:rPr>
        <w:tab/>
        <w:t xml:space="preserve">Deutschland schlägt vor, die folgende Stauvorschrift speziell für die Beförderung von Güterbeförderungseinheiten unter Temperaturkontrolle aufzunehmen. Sie beruht auf Stauvorschrift HA01 und </w:t>
      </w:r>
      <w:proofErr w:type="spellStart"/>
      <w:r w:rsidRPr="004F60A5">
        <w:rPr>
          <w:lang w:eastAsia="en-US"/>
        </w:rPr>
        <w:t>Staucode</w:t>
      </w:r>
      <w:proofErr w:type="spellEnd"/>
      <w:r w:rsidRPr="004F60A5">
        <w:rPr>
          <w:lang w:eastAsia="en-US"/>
        </w:rPr>
        <w:t xml:space="preserve"> SW1 gemäß 7.1.5 IMDG-Code, erweitert um Vorgaben in den Absätzen 7.1.7.1, 7.1.7.4.2 und 7.1.7.4.3. Die nachstehende Auswahl der betroffenen UN-Nummern erfolgt basierend auf den Beförderungsverboten des RID.</w:t>
      </w:r>
    </w:p>
    <w:p w:rsidR="004F60A5" w:rsidRPr="004F60A5" w:rsidRDefault="004F60A5" w:rsidP="004F60A5">
      <w:pPr>
        <w:spacing w:before="120"/>
        <w:ind w:left="0" w:firstLine="0"/>
        <w:rPr>
          <w:lang w:eastAsia="en-US"/>
        </w:rPr>
      </w:pPr>
      <w:r w:rsidRPr="004F60A5">
        <w:rPr>
          <w:lang w:eastAsia="en-US"/>
        </w:rPr>
        <w:t>8.</w:t>
      </w:r>
      <w:r w:rsidRPr="004F60A5">
        <w:rPr>
          <w:lang w:eastAsia="en-US"/>
        </w:rPr>
        <w:tab/>
        <w:t>In Unterabschnitt 7.1.6.14 am Ende die folgende Stauvorschrift anfügen:</w:t>
      </w:r>
    </w:p>
    <w:p w:rsidR="004F60A5" w:rsidRPr="004F60A5" w:rsidRDefault="004F60A5" w:rsidP="004F60A5">
      <w:pPr>
        <w:spacing w:before="120"/>
        <w:ind w:left="0" w:firstLine="0"/>
        <w:rPr>
          <w:lang w:eastAsia="en-US"/>
        </w:rPr>
      </w:pPr>
    </w:p>
    <w:p w:rsidR="004F60A5" w:rsidRPr="004F60A5" w:rsidRDefault="004F60A5" w:rsidP="004F60A5">
      <w:pPr>
        <w:ind w:left="1458" w:hanging="750"/>
        <w:rPr>
          <w:color w:val="000000"/>
        </w:rPr>
      </w:pPr>
      <w:r w:rsidRPr="004F60A5">
        <w:rPr>
          <w:color w:val="000000"/>
        </w:rPr>
        <w:t xml:space="preserve">„HA11:  Güterbeförderungseinheiten, die Stoffe zur Beförderung unter Temperaturkontrolle gemäß Abschnitt 7.1.7 dieser Verordnung enthalten, müssen auf Deck mindestens 3,00 </w:t>
      </w:r>
      <w:r w:rsidR="007363C1">
        <w:rPr>
          <w:color w:val="000000"/>
        </w:rPr>
        <w:t>m</w:t>
      </w:r>
      <w:r w:rsidRPr="004F60A5">
        <w:rPr>
          <w:color w:val="000000"/>
        </w:rPr>
        <w:t xml:space="preserve"> entfernt von Wärmequellen und so gestaut werden, dass</w:t>
      </w:r>
    </w:p>
    <w:p w:rsidR="004F60A5" w:rsidRPr="004F60A5" w:rsidRDefault="004F60A5" w:rsidP="004F60A5">
      <w:pPr>
        <w:tabs>
          <w:tab w:val="left" w:pos="1701"/>
        </w:tabs>
        <w:ind w:left="1418" w:firstLine="0"/>
        <w:rPr>
          <w:color w:val="000000"/>
        </w:rPr>
      </w:pPr>
      <w:r w:rsidRPr="004F60A5">
        <w:rPr>
          <w:color w:val="000000"/>
        </w:rPr>
        <w:t>-</w:t>
      </w:r>
      <w:r>
        <w:rPr>
          <w:color w:val="000000"/>
        </w:rPr>
        <w:tab/>
      </w:r>
      <w:r w:rsidRPr="004F60A5">
        <w:rPr>
          <w:color w:val="000000"/>
        </w:rPr>
        <w:t>eine regelmäßige Überwachung der Betriebstemperaturen möglich ist,</w:t>
      </w:r>
    </w:p>
    <w:p w:rsidR="004F60A5" w:rsidRPr="004F60A5" w:rsidRDefault="004F60A5" w:rsidP="004F60A5">
      <w:pPr>
        <w:tabs>
          <w:tab w:val="left" w:pos="1701"/>
        </w:tabs>
        <w:ind w:left="1418" w:firstLine="0"/>
        <w:rPr>
          <w:color w:val="000000"/>
        </w:rPr>
      </w:pPr>
      <w:r w:rsidRPr="004F60A5">
        <w:rPr>
          <w:color w:val="000000"/>
        </w:rPr>
        <w:t>-</w:t>
      </w:r>
      <w:r>
        <w:rPr>
          <w:color w:val="000000"/>
        </w:rPr>
        <w:tab/>
      </w:r>
      <w:r w:rsidRPr="004F60A5">
        <w:rPr>
          <w:color w:val="000000"/>
        </w:rPr>
        <w:t>optische und akustische Alarme im Steuerhaus wahrgenommen werden können,</w:t>
      </w:r>
    </w:p>
    <w:p w:rsidR="004F60A5" w:rsidRPr="004F60A5" w:rsidRDefault="004F60A5" w:rsidP="004F60A5">
      <w:pPr>
        <w:tabs>
          <w:tab w:val="left" w:pos="1701"/>
        </w:tabs>
        <w:ind w:left="1701" w:hanging="283"/>
        <w:rPr>
          <w:color w:val="000000"/>
        </w:rPr>
      </w:pPr>
      <w:r w:rsidRPr="004F60A5">
        <w:rPr>
          <w:color w:val="000000"/>
        </w:rPr>
        <w:t>-</w:t>
      </w:r>
      <w:r>
        <w:rPr>
          <w:color w:val="000000"/>
        </w:rPr>
        <w:tab/>
      </w:r>
      <w:r w:rsidRPr="004F60A5">
        <w:rPr>
          <w:color w:val="000000"/>
        </w:rPr>
        <w:t>leicht jede notwendige Reparatur der Kühlanlage oder Erhöhung der Kühlkapazität und jeder andere Schritt des Alarmverfahrens ausgeführt werden kann.</w:t>
      </w:r>
    </w:p>
    <w:p w:rsidR="004F60A5" w:rsidRPr="004F60A5" w:rsidRDefault="004F60A5" w:rsidP="004F60A5">
      <w:pPr>
        <w:ind w:left="1464" w:firstLine="0"/>
        <w:rPr>
          <w:color w:val="000000"/>
        </w:rPr>
      </w:pPr>
    </w:p>
    <w:p w:rsidR="004F60A5" w:rsidRPr="004F60A5" w:rsidRDefault="004F60A5" w:rsidP="004F60A5">
      <w:pPr>
        <w:ind w:left="1464" w:firstLine="0"/>
        <w:rPr>
          <w:color w:val="000000"/>
        </w:rPr>
      </w:pPr>
      <w:r w:rsidRPr="004F60A5">
        <w:rPr>
          <w:color w:val="000000"/>
        </w:rPr>
        <w:t>Die Vorschriften des Absatzes 7.1.4.4.4. bleiben unberührt.“.</w:t>
      </w:r>
    </w:p>
    <w:p w:rsidR="004F60A5" w:rsidRPr="004F60A5" w:rsidRDefault="004F60A5" w:rsidP="004F60A5">
      <w:pPr>
        <w:spacing w:before="120"/>
        <w:ind w:left="0" w:firstLine="0"/>
        <w:rPr>
          <w:lang w:eastAsia="en-US"/>
        </w:rPr>
      </w:pPr>
      <w:r w:rsidRPr="004F60A5">
        <w:rPr>
          <w:lang w:eastAsia="en-US"/>
        </w:rPr>
        <w:t>9.</w:t>
      </w:r>
      <w:r w:rsidRPr="004F60A5">
        <w:rPr>
          <w:lang w:eastAsia="en-US"/>
        </w:rPr>
        <w:tab/>
        <w:t>In Tabelle A, Spalte (11) bei den UN-Nummern 3111, 3112, 3113, 3114, 3115, 3116, 3117, 3118, 3119, 3120, 3231, 3232, 3233, 3234, 3236, 3237, 3238, 3229, 3240, 3533, 3534 eintragen: “HA10, HA11”.</w:t>
      </w:r>
    </w:p>
    <w:p w:rsidR="004F60A5" w:rsidRPr="004F60A5" w:rsidRDefault="004F60A5" w:rsidP="004F60A5">
      <w:pPr>
        <w:pStyle w:val="ListParagraph"/>
        <w:spacing w:line="249" w:lineRule="auto"/>
        <w:ind w:left="0" w:right="0"/>
        <w:jc w:val="both"/>
        <w:rPr>
          <w:sz w:val="24"/>
          <w:lang w:val="de-DE"/>
        </w:rPr>
      </w:pPr>
    </w:p>
    <w:p w:rsidR="004F60A5" w:rsidRPr="004F60A5" w:rsidRDefault="004F60A5" w:rsidP="004F60A5">
      <w:pPr>
        <w:tabs>
          <w:tab w:val="left" w:pos="567"/>
          <w:tab w:val="left" w:pos="1418"/>
        </w:tabs>
        <w:spacing w:line="240" w:lineRule="atLeast"/>
        <w:rPr>
          <w:b/>
          <w:sz w:val="24"/>
          <w:szCs w:val="18"/>
        </w:rPr>
      </w:pPr>
      <w:r w:rsidRPr="004F60A5">
        <w:rPr>
          <w:b/>
          <w:sz w:val="24"/>
          <w:szCs w:val="18"/>
        </w:rPr>
        <w:t>Sicherheit</w:t>
      </w:r>
    </w:p>
    <w:p w:rsidR="004F60A5" w:rsidRPr="004F60A5" w:rsidRDefault="004F60A5" w:rsidP="004F60A5">
      <w:pPr>
        <w:tabs>
          <w:tab w:val="left" w:pos="567"/>
          <w:tab w:val="left" w:pos="1418"/>
        </w:tabs>
        <w:spacing w:line="240" w:lineRule="atLeast"/>
        <w:rPr>
          <w:b/>
          <w:sz w:val="24"/>
          <w:szCs w:val="18"/>
        </w:rPr>
      </w:pPr>
    </w:p>
    <w:p w:rsidR="004F60A5" w:rsidRPr="004F60A5" w:rsidRDefault="004F60A5" w:rsidP="004F60A5">
      <w:pPr>
        <w:spacing w:before="120"/>
        <w:ind w:left="0" w:firstLine="0"/>
        <w:rPr>
          <w:lang w:eastAsia="en-US"/>
        </w:rPr>
      </w:pPr>
      <w:r w:rsidRPr="004F60A5">
        <w:rPr>
          <w:lang w:eastAsia="en-US"/>
        </w:rPr>
        <w:t xml:space="preserve">10. </w:t>
      </w:r>
      <w:r w:rsidRPr="004F60A5">
        <w:rPr>
          <w:lang w:eastAsia="en-US"/>
        </w:rPr>
        <w:tab/>
        <w:t>Die Sicherheit der Beförderung wird verbessert, wenn die Vorschriften des ADN klar formuliert und eindeutig bestimmten Verantwortlichen zugeordnet sind.</w:t>
      </w:r>
    </w:p>
    <w:p w:rsidR="004F60A5" w:rsidRPr="004F60A5" w:rsidRDefault="004F60A5" w:rsidP="004F60A5">
      <w:pPr>
        <w:spacing w:before="120"/>
        <w:ind w:left="0" w:firstLine="0"/>
        <w:rPr>
          <w:lang w:eastAsia="en-US"/>
        </w:rPr>
      </w:pPr>
    </w:p>
    <w:p w:rsidR="004F60A5" w:rsidRPr="004F60A5" w:rsidRDefault="004F60A5" w:rsidP="004F60A5">
      <w:pPr>
        <w:tabs>
          <w:tab w:val="left" w:pos="567"/>
          <w:tab w:val="left" w:pos="1418"/>
        </w:tabs>
        <w:spacing w:line="240" w:lineRule="atLeast"/>
        <w:rPr>
          <w:b/>
          <w:sz w:val="24"/>
          <w:szCs w:val="18"/>
        </w:rPr>
      </w:pPr>
      <w:r w:rsidRPr="004F60A5">
        <w:rPr>
          <w:b/>
          <w:sz w:val="24"/>
          <w:szCs w:val="18"/>
        </w:rPr>
        <w:t>Umsetzbarkeit</w:t>
      </w:r>
    </w:p>
    <w:p w:rsidR="004F60A5" w:rsidRPr="004F60A5" w:rsidRDefault="004F60A5" w:rsidP="004F60A5">
      <w:pPr>
        <w:tabs>
          <w:tab w:val="left" w:pos="567"/>
          <w:tab w:val="left" w:pos="1418"/>
        </w:tabs>
        <w:spacing w:line="240" w:lineRule="atLeast"/>
        <w:rPr>
          <w:b/>
          <w:sz w:val="24"/>
          <w:szCs w:val="18"/>
        </w:rPr>
      </w:pPr>
    </w:p>
    <w:p w:rsidR="004F60A5" w:rsidRPr="004F60A5" w:rsidRDefault="004F60A5" w:rsidP="004F60A5">
      <w:pPr>
        <w:spacing w:before="120"/>
        <w:ind w:left="0" w:firstLine="0"/>
        <w:rPr>
          <w:lang w:eastAsia="en-US"/>
        </w:rPr>
      </w:pPr>
      <w:r w:rsidRPr="004F60A5">
        <w:rPr>
          <w:lang w:eastAsia="en-US"/>
        </w:rPr>
        <w:t xml:space="preserve">11. </w:t>
      </w:r>
      <w:r w:rsidRPr="004F60A5">
        <w:rPr>
          <w:lang w:eastAsia="en-US"/>
        </w:rPr>
        <w:tab/>
        <w:t>Es werden keine schon bestehenden Pflichten verändert. Es sind keine schiffbaulichen Veränderungen und keine Änderungen an den zu befördernden Güterbeförderungseinheiten erforderlich. Die Betriebsanforderungen während des Ladens und des Beförderns können durch organisatorische Maßnahmen leicht umgesetzt werden.</w:t>
      </w:r>
    </w:p>
    <w:p w:rsidR="00CE5EB3" w:rsidRPr="004F60A5" w:rsidRDefault="004F60A5" w:rsidP="004F60A5">
      <w:pPr>
        <w:spacing w:before="120"/>
        <w:ind w:left="0" w:firstLine="0"/>
        <w:jc w:val="center"/>
        <w:rPr>
          <w:lang w:eastAsia="en-US"/>
        </w:rPr>
      </w:pPr>
      <w:r w:rsidRPr="004F60A5">
        <w:rPr>
          <w:lang w:eastAsia="en-US"/>
        </w:rPr>
        <w:t>***</w:t>
      </w:r>
    </w:p>
    <w:sectPr w:rsidR="00CE5EB3" w:rsidRPr="004F60A5" w:rsidSect="004F60A5">
      <w:headerReference w:type="even" r:id="rId8"/>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2A" w:rsidRDefault="0066512A" w:rsidP="004221FE">
      <w:r>
        <w:separator/>
      </w:r>
    </w:p>
  </w:endnote>
  <w:endnote w:type="continuationSeparator" w:id="0">
    <w:p w:rsidR="0066512A" w:rsidRDefault="0066512A" w:rsidP="004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FE" w:rsidRPr="004F60A5" w:rsidRDefault="004221FE" w:rsidP="004F60A5">
    <w:pPr>
      <w:widowControl/>
      <w:suppressAutoHyphens/>
      <w:overflowPunct/>
      <w:autoSpaceDE/>
      <w:autoSpaceDN/>
      <w:adjustRightInd/>
      <w:ind w:left="0" w:firstLine="0"/>
      <w:jc w:val="right"/>
      <w:textAlignment w:val="auto"/>
      <w:rPr>
        <w:rFonts w:ascii="Arial" w:hAnsi="Arial"/>
        <w:noProof/>
        <w:snapToGrid w:val="0"/>
        <w:sz w:val="12"/>
        <w:szCs w:val="24"/>
        <w:lang w:val="en-US"/>
      </w:rPr>
    </w:pPr>
    <w:r w:rsidRPr="004F60A5">
      <w:rPr>
        <w:rFonts w:ascii="Arial" w:hAnsi="Arial"/>
        <w:noProof/>
        <w:snapToGrid w:val="0"/>
        <w:sz w:val="12"/>
        <w:szCs w:val="24"/>
        <w:lang w:val="en-US"/>
      </w:rPr>
      <w:t>mm/adn_wp15_ac2_2019_</w:t>
    </w:r>
    <w:r w:rsidR="002036D6">
      <w:rPr>
        <w:rFonts w:ascii="Arial" w:hAnsi="Arial"/>
        <w:noProof/>
        <w:snapToGrid w:val="0"/>
        <w:sz w:val="12"/>
        <w:szCs w:val="24"/>
        <w:lang w:val="en-US"/>
      </w:rPr>
      <w:t>06</w:t>
    </w:r>
    <w:r w:rsidRPr="004F60A5">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2A" w:rsidRDefault="0066512A" w:rsidP="004221FE">
      <w:r>
        <w:separator/>
      </w:r>
    </w:p>
  </w:footnote>
  <w:footnote w:type="continuationSeparator" w:id="0">
    <w:p w:rsidR="0066512A" w:rsidRDefault="0066512A" w:rsidP="004221FE">
      <w:r>
        <w:continuationSeparator/>
      </w:r>
    </w:p>
  </w:footnote>
  <w:footnote w:id="1">
    <w:p w:rsidR="004F60A5" w:rsidRPr="004F60A5" w:rsidRDefault="004F60A5" w:rsidP="004F60A5">
      <w:pPr>
        <w:pStyle w:val="FootnoteText"/>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Von der UN-ECE in Englisch, Französisch und Russisch unter dem Aktenzeichen ECE/TRANS/WP.15/AC.2/2019/</w:t>
      </w:r>
      <w:r w:rsidR="007363C1">
        <w:rPr>
          <w:rFonts w:ascii="Times New Roman" w:hAnsi="Times New Roman" w:cs="Times New Roman"/>
          <w:sz w:val="16"/>
          <w:szCs w:val="16"/>
        </w:rPr>
        <w:t>6</w:t>
      </w:r>
      <w:r w:rsidRPr="004F60A5">
        <w:rPr>
          <w:rFonts w:ascii="Times New Roman" w:hAnsi="Times New Roman" w:cs="Times New Roman"/>
          <w:sz w:val="16"/>
          <w:szCs w:val="16"/>
        </w:rPr>
        <w:t xml:space="preserve"> verteilt.</w:t>
      </w:r>
    </w:p>
  </w:footnote>
  <w:footnote w:id="2">
    <w:p w:rsidR="004F60A5" w:rsidRPr="004F60A5" w:rsidRDefault="004F60A5" w:rsidP="004F60A5">
      <w:pPr>
        <w:pStyle w:val="FootnoteText"/>
        <w:tabs>
          <w:tab w:val="left" w:pos="284"/>
        </w:tabs>
        <w:ind w:left="284" w:hanging="284"/>
        <w:rPr>
          <w:rFonts w:ascii="Times New Roman" w:hAnsi="Times New Roman" w:cs="Times New Roman"/>
          <w:sz w:val="16"/>
          <w:szCs w:val="16"/>
        </w:rPr>
      </w:pPr>
      <w:r w:rsidRPr="004F60A5">
        <w:rPr>
          <w:rStyle w:val="FootnoteReference"/>
        </w:rPr>
        <w:t>**</w:t>
      </w:r>
      <w:r w:rsidRPr="004F60A5">
        <w:rPr>
          <w:rFonts w:ascii="Times New Roman" w:hAnsi="Times New Roman" w:cs="Times New Roman"/>
          <w:sz w:val="16"/>
          <w:szCs w:val="16"/>
        </w:rPr>
        <w:t xml:space="preserve"> </w:t>
      </w:r>
      <w:r w:rsidRPr="004F60A5">
        <w:rPr>
          <w:rFonts w:ascii="Times New Roman" w:hAnsi="Times New Roman" w:cs="Times New Roman"/>
          <w:sz w:val="16"/>
          <w:szCs w:val="16"/>
        </w:rPr>
        <w:tab/>
        <w:t>Entsprechend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lef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2036D6">
      <w:rPr>
        <w:rFonts w:ascii="Arial" w:hAnsi="Arial" w:cs="Arial"/>
        <w:sz w:val="16"/>
        <w:szCs w:val="16"/>
        <w:lang w:val="en-GB" w:eastAsia="en-US"/>
      </w:rPr>
      <w:t>6</w:t>
    </w:r>
  </w:p>
  <w:p w:rsidR="004F60A5" w:rsidRDefault="004F60A5" w:rsidP="004F60A5">
    <w:pPr>
      <w:widowControl/>
      <w:tabs>
        <w:tab w:val="center" w:pos="4320"/>
        <w:tab w:val="right" w:pos="8640"/>
      </w:tabs>
      <w:overflowPunct/>
      <w:autoSpaceDE/>
      <w:autoSpaceDN/>
      <w:adjustRightInd/>
      <w:ind w:left="0" w:firstLine="0"/>
      <w:jc w:val="lef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3D5F2D">
      <w:rPr>
        <w:rFonts w:ascii="Arial" w:hAnsi="Arial" w:cs="Arial"/>
        <w:noProof/>
        <w:sz w:val="16"/>
        <w:szCs w:val="16"/>
        <w:lang w:val="en-GB" w:eastAsia="en-US"/>
      </w:rPr>
      <w:t>2</w:t>
    </w:r>
    <w:r w:rsidRPr="004F60A5">
      <w:rPr>
        <w:rFonts w:ascii="Arial" w:hAnsi="Arial" w:cs="Arial"/>
        <w:sz w:val="16"/>
        <w:szCs w:val="16"/>
        <w:lang w:val="en-GB" w:eastAsia="en-US"/>
      </w:rPr>
      <w:fldChar w:fldCharType="end"/>
    </w:r>
  </w:p>
  <w:p w:rsidR="004F60A5" w:rsidRDefault="004F6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0A5" w:rsidRPr="004F60A5" w:rsidRDefault="004F60A5" w:rsidP="004F60A5">
    <w:pPr>
      <w:widowControl/>
      <w:tabs>
        <w:tab w:val="center" w:pos="4320"/>
        <w:tab w:val="right" w:pos="8640"/>
      </w:tabs>
      <w:overflowPunct/>
      <w:autoSpaceDE/>
      <w:autoSpaceDN/>
      <w:adjustRightInd/>
      <w:ind w:left="0" w:firstLine="0"/>
      <w:jc w:val="right"/>
      <w:textAlignment w:val="auto"/>
      <w:rPr>
        <w:rFonts w:ascii="Arial" w:hAnsi="Arial" w:cs="Arial"/>
        <w:sz w:val="16"/>
        <w:szCs w:val="16"/>
        <w:lang w:val="en-GB" w:eastAsia="en-US"/>
      </w:rPr>
    </w:pPr>
    <w:r w:rsidRPr="004F60A5">
      <w:rPr>
        <w:rFonts w:ascii="Arial" w:hAnsi="Arial" w:cs="Arial"/>
        <w:sz w:val="16"/>
        <w:szCs w:val="16"/>
        <w:lang w:val="en-GB" w:eastAsia="en-US"/>
      </w:rPr>
      <w:t>CCNR-ZKR/ADN/WP.15/AC.2/201</w:t>
    </w:r>
    <w:r>
      <w:rPr>
        <w:rFonts w:ascii="Arial" w:hAnsi="Arial" w:cs="Arial"/>
        <w:sz w:val="16"/>
        <w:szCs w:val="16"/>
        <w:lang w:val="en-GB" w:eastAsia="en-US"/>
      </w:rPr>
      <w:t>9</w:t>
    </w:r>
    <w:r w:rsidRPr="004F60A5">
      <w:rPr>
        <w:rFonts w:ascii="Arial" w:hAnsi="Arial" w:cs="Arial"/>
        <w:sz w:val="16"/>
        <w:szCs w:val="16"/>
        <w:lang w:val="en-GB" w:eastAsia="en-US"/>
      </w:rPr>
      <w:t>/</w:t>
    </w:r>
    <w:r w:rsidR="002036D6">
      <w:rPr>
        <w:rFonts w:ascii="Arial" w:hAnsi="Arial" w:cs="Arial"/>
        <w:sz w:val="16"/>
        <w:szCs w:val="16"/>
        <w:lang w:val="en-GB" w:eastAsia="en-US"/>
      </w:rPr>
      <w:t>6</w:t>
    </w:r>
  </w:p>
  <w:p w:rsidR="004F60A5" w:rsidRDefault="004F60A5" w:rsidP="004F60A5">
    <w:pPr>
      <w:widowControl/>
      <w:tabs>
        <w:tab w:val="center" w:pos="4320"/>
        <w:tab w:val="right" w:pos="8640"/>
      </w:tabs>
      <w:overflowPunct/>
      <w:autoSpaceDE/>
      <w:autoSpaceDN/>
      <w:adjustRightInd/>
      <w:ind w:left="0" w:firstLine="0"/>
      <w:jc w:val="right"/>
      <w:textAlignment w:val="auto"/>
    </w:pPr>
    <w:proofErr w:type="spellStart"/>
    <w:r w:rsidRPr="004F60A5">
      <w:rPr>
        <w:rFonts w:ascii="Arial" w:hAnsi="Arial" w:cs="Arial"/>
        <w:sz w:val="16"/>
        <w:szCs w:val="16"/>
        <w:lang w:val="en-GB" w:eastAsia="en-US"/>
      </w:rPr>
      <w:t>Seite</w:t>
    </w:r>
    <w:proofErr w:type="spellEnd"/>
    <w:r w:rsidRPr="004F60A5">
      <w:rPr>
        <w:rFonts w:ascii="Arial" w:hAnsi="Arial" w:cs="Arial"/>
        <w:sz w:val="16"/>
        <w:szCs w:val="16"/>
        <w:lang w:val="en-GB" w:eastAsia="en-US"/>
      </w:rPr>
      <w:t xml:space="preserve"> </w:t>
    </w:r>
    <w:r w:rsidRPr="004F60A5">
      <w:rPr>
        <w:rFonts w:ascii="Arial" w:hAnsi="Arial" w:cs="Arial"/>
        <w:sz w:val="16"/>
        <w:szCs w:val="16"/>
        <w:lang w:val="en-GB" w:eastAsia="en-US"/>
      </w:rPr>
      <w:fldChar w:fldCharType="begin"/>
    </w:r>
    <w:r w:rsidRPr="004F60A5">
      <w:rPr>
        <w:rFonts w:ascii="Arial" w:hAnsi="Arial" w:cs="Arial"/>
        <w:sz w:val="16"/>
        <w:szCs w:val="16"/>
        <w:lang w:val="en-GB" w:eastAsia="en-US"/>
      </w:rPr>
      <w:instrText xml:space="preserve"> PAGE  \* MERGEFORMAT </w:instrText>
    </w:r>
    <w:r w:rsidRPr="004F60A5">
      <w:rPr>
        <w:rFonts w:ascii="Arial" w:hAnsi="Arial" w:cs="Arial"/>
        <w:sz w:val="16"/>
        <w:szCs w:val="16"/>
        <w:lang w:val="en-GB" w:eastAsia="en-US"/>
      </w:rPr>
      <w:fldChar w:fldCharType="separate"/>
    </w:r>
    <w:r w:rsidR="003D5F2D">
      <w:rPr>
        <w:rFonts w:ascii="Arial" w:hAnsi="Arial" w:cs="Arial"/>
        <w:noProof/>
        <w:sz w:val="16"/>
        <w:szCs w:val="16"/>
        <w:lang w:val="en-GB" w:eastAsia="en-US"/>
      </w:rPr>
      <w:t>3</w:t>
    </w:r>
    <w:r w:rsidRPr="004F60A5">
      <w:rPr>
        <w:rFonts w:ascii="Arial" w:hAnsi="Arial" w:cs="Arial"/>
        <w:sz w:val="16"/>
        <w:szCs w:val="16"/>
        <w:lang w:val="en-GB"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22405"/>
    <w:multiLevelType w:val="hybridMultilevel"/>
    <w:tmpl w:val="1BFC1076"/>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 w15:restartNumberingAfterBreak="0">
    <w:nsid w:val="2FB20ADD"/>
    <w:multiLevelType w:val="hybridMultilevel"/>
    <w:tmpl w:val="FAE23972"/>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548627C"/>
    <w:multiLevelType w:val="hybridMultilevel"/>
    <w:tmpl w:val="1772DAB0"/>
    <w:lvl w:ilvl="0" w:tplc="ABC67ACE">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3" w15:restartNumberingAfterBreak="0">
    <w:nsid w:val="6BFC7B11"/>
    <w:multiLevelType w:val="hybridMultilevel"/>
    <w:tmpl w:val="FE906882"/>
    <w:lvl w:ilvl="0" w:tplc="2F32E522">
      <w:start w:val="8"/>
      <w:numFmt w:val="bullet"/>
      <w:lvlText w:val="-"/>
      <w:lvlJc w:val="left"/>
      <w:pPr>
        <w:ind w:left="1116" w:hanging="360"/>
      </w:pPr>
      <w:rPr>
        <w:rFonts w:ascii="Times New Roman" w:eastAsia="Times New Roman" w:hAnsi="Times New Roman" w:cs="Times New Roman"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abstractNum w:abstractNumId="4" w15:restartNumberingAfterBreak="0">
    <w:nsid w:val="7F2E688C"/>
    <w:multiLevelType w:val="hybridMultilevel"/>
    <w:tmpl w:val="174C0024"/>
    <w:lvl w:ilvl="0" w:tplc="ABC67A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00D"/>
    <w:rsid w:val="0009215A"/>
    <w:rsid w:val="000A100D"/>
    <w:rsid w:val="000C6E63"/>
    <w:rsid w:val="001048FB"/>
    <w:rsid w:val="00135EED"/>
    <w:rsid w:val="001D04CD"/>
    <w:rsid w:val="001D4EA7"/>
    <w:rsid w:val="002036D6"/>
    <w:rsid w:val="00282D9E"/>
    <w:rsid w:val="00381F75"/>
    <w:rsid w:val="003D5F2D"/>
    <w:rsid w:val="00403268"/>
    <w:rsid w:val="004221FE"/>
    <w:rsid w:val="004F3526"/>
    <w:rsid w:val="004F60A5"/>
    <w:rsid w:val="00591A7D"/>
    <w:rsid w:val="005A4D75"/>
    <w:rsid w:val="00643AEA"/>
    <w:rsid w:val="00654B8D"/>
    <w:rsid w:val="0066512A"/>
    <w:rsid w:val="007363C1"/>
    <w:rsid w:val="00751575"/>
    <w:rsid w:val="007A0E7A"/>
    <w:rsid w:val="00875D76"/>
    <w:rsid w:val="00897993"/>
    <w:rsid w:val="0090054D"/>
    <w:rsid w:val="009078F3"/>
    <w:rsid w:val="009C616D"/>
    <w:rsid w:val="00A41413"/>
    <w:rsid w:val="00B4533C"/>
    <w:rsid w:val="00C13835"/>
    <w:rsid w:val="00CA7730"/>
    <w:rsid w:val="00CE5EB3"/>
    <w:rsid w:val="00D53DC3"/>
    <w:rsid w:val="00D54645"/>
    <w:rsid w:val="00DB57E7"/>
    <w:rsid w:val="00DE7A06"/>
    <w:rsid w:val="00DF22B9"/>
    <w:rsid w:val="00E45CFC"/>
    <w:rsid w:val="00ED557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FFB0405C-80A6-477F-8AB4-5657CDC1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00D"/>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41413"/>
    <w:pPr>
      <w:overflowPunct/>
      <w:adjustRightInd/>
      <w:spacing w:before="122"/>
      <w:ind w:left="1266" w:right="1337" w:firstLine="0"/>
      <w:jc w:val="left"/>
      <w:textAlignment w:val="auto"/>
    </w:pPr>
    <w:rPr>
      <w:sz w:val="22"/>
      <w:szCs w:val="22"/>
      <w:lang w:val="en-US" w:eastAsia="en-US" w:bidi="en-US"/>
    </w:rPr>
  </w:style>
  <w:style w:type="table" w:styleId="TableGrid">
    <w:name w:val="Table Grid"/>
    <w:basedOn w:val="TableNormal"/>
    <w:rsid w:val="00A41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A41413"/>
    <w:pPr>
      <w:widowControl/>
      <w:suppressAutoHyphens/>
      <w:overflowPunct/>
      <w:autoSpaceDE/>
      <w:autoSpaceDN/>
      <w:adjustRightInd/>
      <w:spacing w:after="120" w:line="240" w:lineRule="atLeast"/>
      <w:ind w:right="1134" w:firstLine="0"/>
      <w:textAlignment w:val="auto"/>
    </w:pPr>
    <w:rPr>
      <w:lang w:val="fr-CH" w:eastAsia="en-US"/>
    </w:rPr>
  </w:style>
  <w:style w:type="character" w:customStyle="1" w:styleId="SingleTxtGChar">
    <w:name w:val="_ Single Txt_G Char"/>
    <w:link w:val="SingleTxtG"/>
    <w:qFormat/>
    <w:locked/>
    <w:rsid w:val="00A41413"/>
    <w:rPr>
      <w:lang w:val="fr-CH" w:eastAsia="en-US"/>
    </w:rPr>
  </w:style>
  <w:style w:type="paragraph" w:customStyle="1" w:styleId="N5">
    <w:name w:val="N5"/>
    <w:basedOn w:val="Normal"/>
    <w:rsid w:val="001048FB"/>
    <w:pPr>
      <w:ind w:left="1418" w:hanging="284"/>
    </w:pPr>
    <w:rPr>
      <w:rFonts w:ascii="Arial" w:hAnsi="Arial"/>
    </w:rPr>
  </w:style>
  <w:style w:type="paragraph" w:styleId="BalloonText">
    <w:name w:val="Balloon Text"/>
    <w:basedOn w:val="Normal"/>
    <w:link w:val="BalloonTextChar"/>
    <w:rsid w:val="00D54645"/>
    <w:rPr>
      <w:rFonts w:ascii="Tahoma" w:hAnsi="Tahoma" w:cs="Tahoma"/>
      <w:sz w:val="16"/>
      <w:szCs w:val="16"/>
    </w:rPr>
  </w:style>
  <w:style w:type="character" w:customStyle="1" w:styleId="BalloonTextChar">
    <w:name w:val="Balloon Text Char"/>
    <w:basedOn w:val="DefaultParagraphFont"/>
    <w:link w:val="BalloonText"/>
    <w:rsid w:val="00D54645"/>
    <w:rPr>
      <w:rFonts w:ascii="Tahoma" w:hAnsi="Tahoma" w:cs="Tahoma"/>
      <w:sz w:val="16"/>
      <w:szCs w:val="16"/>
      <w:lang w:eastAsia="fr-FR"/>
    </w:rPr>
  </w:style>
  <w:style w:type="paragraph" w:styleId="Header">
    <w:name w:val="header"/>
    <w:basedOn w:val="Normal"/>
    <w:link w:val="HeaderChar"/>
    <w:rsid w:val="004221FE"/>
    <w:pPr>
      <w:tabs>
        <w:tab w:val="center" w:pos="4536"/>
        <w:tab w:val="right" w:pos="9072"/>
      </w:tabs>
    </w:pPr>
  </w:style>
  <w:style w:type="character" w:customStyle="1" w:styleId="HeaderChar">
    <w:name w:val="Header Char"/>
    <w:basedOn w:val="DefaultParagraphFont"/>
    <w:link w:val="Header"/>
    <w:rsid w:val="004221FE"/>
    <w:rPr>
      <w:lang w:eastAsia="fr-FR"/>
    </w:rPr>
  </w:style>
  <w:style w:type="paragraph" w:styleId="Footer">
    <w:name w:val="footer"/>
    <w:basedOn w:val="Normal"/>
    <w:link w:val="FooterChar"/>
    <w:rsid w:val="004221FE"/>
    <w:pPr>
      <w:tabs>
        <w:tab w:val="center" w:pos="4536"/>
        <w:tab w:val="right" w:pos="9072"/>
      </w:tabs>
    </w:pPr>
  </w:style>
  <w:style w:type="character" w:customStyle="1" w:styleId="FooterChar">
    <w:name w:val="Footer Char"/>
    <w:basedOn w:val="DefaultParagraphFont"/>
    <w:link w:val="Footer"/>
    <w:rsid w:val="004221FE"/>
    <w:rPr>
      <w:lang w:eastAsia="fr-FR"/>
    </w:rPr>
  </w:style>
  <w:style w:type="character" w:styleId="FootnoteReference">
    <w:name w:val="footnote reference"/>
    <w:aliases w:val="4_G,Footnote Reference/"/>
    <w:rsid w:val="001D04CD"/>
    <w:rPr>
      <w:rFonts w:ascii="Times New Roman" w:hAnsi="Times New Roman" w:cs="Times New Roman"/>
      <w:sz w:val="18"/>
      <w:szCs w:val="18"/>
      <w:vertAlign w:val="superscript"/>
    </w:rPr>
  </w:style>
  <w:style w:type="paragraph" w:styleId="FootnoteText">
    <w:name w:val="footnote text"/>
    <w:aliases w:val="5_G"/>
    <w:basedOn w:val="Normal"/>
    <w:link w:val="FootnoteTextChar"/>
    <w:rsid w:val="001D04CD"/>
    <w:pPr>
      <w:widowControl/>
      <w:overflowPunct/>
      <w:autoSpaceDE/>
      <w:autoSpaceDN/>
      <w:adjustRightInd/>
      <w:ind w:left="0" w:firstLine="0"/>
      <w:jc w:val="left"/>
      <w:textAlignment w:val="auto"/>
    </w:pPr>
    <w:rPr>
      <w:rFonts w:ascii="Arial" w:hAnsi="Arial" w:cs="Arial"/>
      <w:lang w:eastAsia="de-DE"/>
    </w:rPr>
  </w:style>
  <w:style w:type="character" w:customStyle="1" w:styleId="FootnoteTextChar">
    <w:name w:val="Footnote Text Char"/>
    <w:aliases w:val="5_G Char"/>
    <w:basedOn w:val="DefaultParagraphFont"/>
    <w:link w:val="FootnoteText"/>
    <w:rsid w:val="001D04C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8081</Characters>
  <Application>Microsoft Office Word</Application>
  <DocSecurity>4</DocSecurity>
  <Lines>67</Lines>
  <Paragraphs>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Amend.2</cp:lastModifiedBy>
  <cp:revision>2</cp:revision>
  <cp:lastPrinted>2018-09-25T12:45:00Z</cp:lastPrinted>
  <dcterms:created xsi:type="dcterms:W3CDTF">2018-11-09T12:55:00Z</dcterms:created>
  <dcterms:modified xsi:type="dcterms:W3CDTF">2018-11-09T12:55:00Z</dcterms:modified>
</cp:coreProperties>
</file>