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F01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F01DF" w:rsidP="000F01DF">
            <w:pPr>
              <w:jc w:val="right"/>
            </w:pPr>
            <w:r w:rsidRPr="000F01DF">
              <w:rPr>
                <w:sz w:val="40"/>
              </w:rPr>
              <w:t>ECE</w:t>
            </w:r>
            <w:r>
              <w:t>/TRANS/WP.15/AC.2/2019/14</w:t>
            </w:r>
          </w:p>
        </w:tc>
      </w:tr>
      <w:tr w:rsidR="002D5AAC" w:rsidRPr="000C526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F01D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F01DF" w:rsidRDefault="000F01DF" w:rsidP="000F01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October 2018</w:t>
            </w:r>
          </w:p>
          <w:p w:rsidR="000F01DF" w:rsidRDefault="000F01DF" w:rsidP="000F01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F01DF" w:rsidRPr="008D53B6" w:rsidRDefault="000F01DF" w:rsidP="000F01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F01DF" w:rsidRPr="000F01DF" w:rsidRDefault="000F01DF" w:rsidP="000F01DF">
      <w:pPr>
        <w:spacing w:before="120"/>
        <w:rPr>
          <w:sz w:val="28"/>
          <w:szCs w:val="28"/>
        </w:rPr>
      </w:pPr>
      <w:r w:rsidRPr="000F01DF">
        <w:rPr>
          <w:sz w:val="28"/>
          <w:szCs w:val="28"/>
        </w:rPr>
        <w:t>Комитет по внутреннему транспорту</w:t>
      </w:r>
    </w:p>
    <w:p w:rsidR="000F01DF" w:rsidRPr="000F01DF" w:rsidRDefault="000F01DF" w:rsidP="000F01DF">
      <w:pPr>
        <w:spacing w:before="120"/>
        <w:rPr>
          <w:b/>
          <w:sz w:val="24"/>
          <w:szCs w:val="24"/>
        </w:rPr>
      </w:pPr>
      <w:r w:rsidRPr="000F01DF">
        <w:rPr>
          <w:b/>
          <w:bCs/>
          <w:sz w:val="24"/>
          <w:szCs w:val="24"/>
        </w:rPr>
        <w:t>Рабочая группа по перевозкам опасных грузов</w:t>
      </w:r>
    </w:p>
    <w:p w:rsidR="000F01DF" w:rsidRPr="00833478" w:rsidRDefault="000F01DF" w:rsidP="000F01DF">
      <w:pPr>
        <w:spacing w:before="120" w:after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:rsidR="000F01DF" w:rsidRPr="00833478" w:rsidRDefault="000F01DF" w:rsidP="000F01DF">
      <w:pPr>
        <w:spacing w:before="120"/>
        <w:rPr>
          <w:b/>
        </w:rPr>
      </w:pPr>
      <w:r>
        <w:rPr>
          <w:b/>
          <w:bCs/>
        </w:rPr>
        <w:t>Тридцать четвертая сессия</w:t>
      </w:r>
    </w:p>
    <w:p w:rsidR="000F01DF" w:rsidRPr="00833478" w:rsidRDefault="000F01DF" w:rsidP="000F01DF">
      <w:r>
        <w:t>Женева, 21–25 января 2019 года</w:t>
      </w:r>
      <w:r>
        <w:br/>
        <w:t>Пункт 6 предварительной повестки дня</w:t>
      </w:r>
    </w:p>
    <w:p w:rsidR="000F01DF" w:rsidRPr="00833478" w:rsidRDefault="000F01DF" w:rsidP="000F01DF">
      <w:pPr>
        <w:rPr>
          <w:b/>
        </w:rPr>
      </w:pPr>
      <w:r>
        <w:rPr>
          <w:b/>
          <w:bCs/>
        </w:rPr>
        <w:t>Доклады неофициальных рабочих групп</w:t>
      </w:r>
    </w:p>
    <w:p w:rsidR="000F01DF" w:rsidRPr="00833478" w:rsidRDefault="000F01DF" w:rsidP="000F01DF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Доклад неофициальной рабочей группы по мембранным танкам</w:t>
      </w:r>
    </w:p>
    <w:p w:rsidR="000F01DF" w:rsidRPr="00470E53" w:rsidRDefault="000F01DF" w:rsidP="000F01DF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Передано правительствами Бельгии, Германии, Нидерландов и</w:t>
      </w:r>
      <w:r>
        <w:rPr>
          <w:bCs/>
          <w:lang w:val="en-US"/>
        </w:rPr>
        <w:t> </w:t>
      </w:r>
      <w:r>
        <w:rPr>
          <w:bCs/>
          <w:lang w:val="ru-RU"/>
        </w:rPr>
        <w:t>Франции</w:t>
      </w:r>
      <w:r w:rsidRPr="000F01DF">
        <w:rPr>
          <w:b w:val="0"/>
          <w:bCs/>
          <w:sz w:val="20"/>
          <w:lang w:val="ru-RU"/>
        </w:rPr>
        <w:footnoteReference w:customMarkFollows="1" w:id="1"/>
        <w:t xml:space="preserve">* </w:t>
      </w:r>
      <w:r w:rsidRPr="000F01DF">
        <w:rPr>
          <w:b w:val="0"/>
          <w:bCs/>
          <w:sz w:val="20"/>
          <w:lang w:val="ru-RU"/>
        </w:rPr>
        <w:footnoteReference w:customMarkFollows="1" w:id="2"/>
        <w:t>**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5675"/>
      </w:tblGrid>
      <w:tr w:rsidR="000F01DF" w:rsidRPr="003134DF" w:rsidTr="000F01DF">
        <w:trPr>
          <w:jc w:val="center"/>
        </w:trPr>
        <w:tc>
          <w:tcPr>
            <w:tcW w:w="2830" w:type="dxa"/>
          </w:tcPr>
          <w:p w:rsidR="000F01DF" w:rsidRPr="003134DF" w:rsidRDefault="000F01DF" w:rsidP="00B57A3C">
            <w:pPr>
              <w:spacing w:before="240" w:after="120"/>
              <w:ind w:left="255"/>
              <w:rPr>
                <w:b/>
              </w:rPr>
            </w:pPr>
            <w:r>
              <w:rPr>
                <w:i/>
                <w:iCs/>
              </w:rPr>
              <w:t>Резюме</w:t>
            </w:r>
          </w:p>
        </w:tc>
        <w:tc>
          <w:tcPr>
            <w:tcW w:w="5675" w:type="dxa"/>
          </w:tcPr>
          <w:p w:rsidR="000F01DF" w:rsidRDefault="000F01DF" w:rsidP="00B57A3C">
            <w:pPr>
              <w:spacing w:before="240" w:after="120"/>
              <w:ind w:left="255"/>
              <w:rPr>
                <w:bCs/>
                <w:szCs w:val="24"/>
              </w:rPr>
            </w:pPr>
          </w:p>
        </w:tc>
      </w:tr>
      <w:tr w:rsidR="000F01DF" w:rsidRPr="0011126E" w:rsidTr="000F01DF">
        <w:trPr>
          <w:jc w:val="center"/>
        </w:trPr>
        <w:tc>
          <w:tcPr>
            <w:tcW w:w="2830" w:type="dxa"/>
          </w:tcPr>
          <w:p w:rsidR="000F01DF" w:rsidRPr="003134DF" w:rsidRDefault="000F01DF" w:rsidP="00B57A3C">
            <w:pPr>
              <w:tabs>
                <w:tab w:val="left" w:pos="284"/>
              </w:tabs>
              <w:spacing w:after="120"/>
            </w:pPr>
            <w:r>
              <w:tab/>
            </w:r>
            <w:r>
              <w:rPr>
                <w:b/>
                <w:bCs/>
              </w:rPr>
              <w:t>Существо предложения:</w:t>
            </w:r>
          </w:p>
        </w:tc>
        <w:tc>
          <w:tcPr>
            <w:tcW w:w="5675" w:type="dxa"/>
          </w:tcPr>
          <w:p w:rsidR="000F01DF" w:rsidRPr="00833478" w:rsidRDefault="000F01DF" w:rsidP="00B57A3C">
            <w:pPr>
              <w:spacing w:after="120"/>
            </w:pPr>
            <w:r>
              <w:t>В настоящем документе содержится доклад о работе третьего совещания неофициальной рабочей группы по мембранным танкам. В соответствии со своим мандатом, неофициальная рабочая группа обсудила последние изменения, связанные с рынком сжиженного природного газа (СПГ), и перечень веществ, пригодных для перевозки в мембранных танках, и подготовила первый подход к регулированию мембранных танков в Правилах, прилагаемых к ВОПОГ.</w:t>
            </w:r>
          </w:p>
        </w:tc>
      </w:tr>
      <w:tr w:rsidR="000F01DF" w:rsidRPr="0011126E" w:rsidTr="000F01DF">
        <w:trPr>
          <w:trHeight w:val="509"/>
          <w:jc w:val="center"/>
        </w:trPr>
        <w:tc>
          <w:tcPr>
            <w:tcW w:w="2830" w:type="dxa"/>
            <w:tcBorders>
              <w:bottom w:val="nil"/>
            </w:tcBorders>
          </w:tcPr>
          <w:p w:rsidR="000F01DF" w:rsidRPr="003134DF" w:rsidRDefault="000F01DF" w:rsidP="00B57A3C">
            <w:pPr>
              <w:tabs>
                <w:tab w:val="left" w:pos="284"/>
              </w:tabs>
              <w:spacing w:after="120"/>
              <w:rPr>
                <w:b/>
              </w:rPr>
            </w:pPr>
            <w:r>
              <w:tab/>
            </w:r>
            <w:r>
              <w:rPr>
                <w:b/>
                <w:bCs/>
              </w:rPr>
              <w:t>Предлагаемое решение:</w:t>
            </w:r>
          </w:p>
        </w:tc>
        <w:tc>
          <w:tcPr>
            <w:tcW w:w="5675" w:type="dxa"/>
            <w:tcBorders>
              <w:bottom w:val="nil"/>
            </w:tcBorders>
          </w:tcPr>
          <w:p w:rsidR="000F01DF" w:rsidRPr="00833478" w:rsidRDefault="000F01DF" w:rsidP="00B57A3C">
            <w:pPr>
              <w:spacing w:after="120"/>
            </w:pPr>
            <w:r>
              <w:t>Комитету по вопросам безопасности предлагается обсудить доклад неофициальной рабочей группы и представить свои замечания и соображения относительно подхода, выбранного неофициальной рабочей группой.</w:t>
            </w:r>
          </w:p>
        </w:tc>
      </w:tr>
      <w:tr w:rsidR="000F01DF" w:rsidRPr="000C5266" w:rsidTr="000F01DF">
        <w:trPr>
          <w:jc w:val="center"/>
        </w:trPr>
        <w:tc>
          <w:tcPr>
            <w:tcW w:w="2830" w:type="dxa"/>
            <w:tcBorders>
              <w:top w:val="nil"/>
              <w:bottom w:val="nil"/>
            </w:tcBorders>
          </w:tcPr>
          <w:p w:rsidR="000F01DF" w:rsidRPr="003134DF" w:rsidRDefault="000F01DF" w:rsidP="000F01DF">
            <w:pPr>
              <w:pageBreakBefore/>
              <w:tabs>
                <w:tab w:val="left" w:pos="284"/>
              </w:tabs>
              <w:spacing w:after="120"/>
              <w:rPr>
                <w:b/>
              </w:rPr>
            </w:pPr>
            <w:r>
              <w:lastRenderedPageBreak/>
              <w:tab/>
            </w:r>
            <w:r>
              <w:rPr>
                <w:b/>
                <w:bCs/>
              </w:rPr>
              <w:t>Справочные документы:</w:t>
            </w: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0F01DF" w:rsidRPr="00833478" w:rsidRDefault="000F01DF" w:rsidP="00B57A3C">
            <w:r>
              <w:t>Неофициальный документ INF.6 двадцать седьмой сессии;</w:t>
            </w:r>
          </w:p>
          <w:p w:rsidR="000F01DF" w:rsidRPr="00791D38" w:rsidRDefault="000F01DF" w:rsidP="00B57A3C">
            <w:pPr>
              <w:rPr>
                <w:lang w:val="en-US"/>
              </w:rPr>
            </w:pPr>
            <w:r w:rsidRPr="00833478">
              <w:rPr>
                <w:lang w:val="en-US"/>
              </w:rPr>
              <w:t>ECE/TRANS/WP.15/AC.2/56</w:t>
            </w:r>
            <w:r>
              <w:rPr>
                <w:lang w:val="en-US"/>
              </w:rPr>
              <w:t xml:space="preserve"> </w:t>
            </w:r>
            <w:r w:rsidRPr="00833478">
              <w:rPr>
                <w:lang w:val="en-US"/>
              </w:rPr>
              <w:t>(</w:t>
            </w:r>
            <w:r>
              <w:t>пункты</w:t>
            </w:r>
            <w:r>
              <w:rPr>
                <w:lang w:val="en-US"/>
              </w:rPr>
              <w:t xml:space="preserve"> </w:t>
            </w:r>
            <w:r w:rsidRPr="00833478">
              <w:rPr>
                <w:lang w:val="en-US"/>
              </w:rPr>
              <w:t>9–12)</w:t>
            </w:r>
            <w:r w:rsidRPr="00791D38">
              <w:rPr>
                <w:lang w:val="en-US"/>
              </w:rPr>
              <w:t>;</w:t>
            </w:r>
          </w:p>
          <w:p w:rsidR="000F01DF" w:rsidRPr="00833478" w:rsidRDefault="000F01DF" w:rsidP="00B57A3C">
            <w:r>
              <w:t>ECE/ADN/33 (пункт 12 и приложение II);</w:t>
            </w:r>
          </w:p>
          <w:p w:rsidR="000F01DF" w:rsidRPr="00833478" w:rsidRDefault="000F01DF" w:rsidP="00B57A3C">
            <w:r>
              <w:t>неофициальный документ INF.26 тридцать первой сессии;</w:t>
            </w:r>
          </w:p>
          <w:p w:rsidR="000F01DF" w:rsidRPr="00791D38" w:rsidRDefault="000F01DF" w:rsidP="00B57A3C">
            <w:pPr>
              <w:rPr>
                <w:lang w:val="en-US"/>
              </w:rPr>
            </w:pPr>
            <w:r w:rsidRPr="00833478">
              <w:rPr>
                <w:lang w:val="en-US"/>
              </w:rPr>
              <w:t>ECE/TRANS/WP.15/AC.2/64</w:t>
            </w:r>
            <w:r>
              <w:rPr>
                <w:lang w:val="en-US"/>
              </w:rPr>
              <w:t xml:space="preserve"> </w:t>
            </w:r>
            <w:r w:rsidRPr="00833478">
              <w:rPr>
                <w:lang w:val="en-US"/>
              </w:rPr>
              <w:t>(</w:t>
            </w:r>
            <w:r>
              <w:t>пункт</w:t>
            </w:r>
            <w:r>
              <w:rPr>
                <w:lang w:val="en-US"/>
              </w:rPr>
              <w:t xml:space="preserve"> </w:t>
            </w:r>
            <w:r w:rsidRPr="00833478">
              <w:rPr>
                <w:lang w:val="en-US"/>
              </w:rPr>
              <w:t>62)</w:t>
            </w:r>
            <w:r w:rsidRPr="00791D38">
              <w:rPr>
                <w:lang w:val="en-US"/>
              </w:rPr>
              <w:t>;</w:t>
            </w:r>
          </w:p>
          <w:p w:rsidR="000F01DF" w:rsidRPr="00833478" w:rsidRDefault="000F01DF" w:rsidP="00B57A3C">
            <w:r>
              <w:t>ECE/TRANS/WP.15/AC.2/2018/35;</w:t>
            </w:r>
          </w:p>
          <w:p w:rsidR="000F01DF" w:rsidRPr="00833478" w:rsidRDefault="000F01DF" w:rsidP="00B57A3C">
            <w:r>
              <w:t>неофициальный документ INF.25 тридцать третьей сессии;</w:t>
            </w:r>
          </w:p>
          <w:p w:rsidR="000F01DF" w:rsidRPr="009C4661" w:rsidRDefault="000F01DF" w:rsidP="00780984">
            <w:pPr>
              <w:rPr>
                <w:lang w:val="en-US"/>
              </w:rPr>
            </w:pPr>
            <w:r w:rsidRPr="00833478">
              <w:rPr>
                <w:lang w:val="en-US"/>
              </w:rPr>
              <w:t>ECE/TRANS/WP.15/AC.2/68</w:t>
            </w:r>
            <w:r>
              <w:rPr>
                <w:lang w:val="en-US"/>
              </w:rPr>
              <w:t xml:space="preserve"> </w:t>
            </w:r>
            <w:r w:rsidRPr="00833478">
              <w:rPr>
                <w:lang w:val="en-US"/>
              </w:rPr>
              <w:t>(</w:t>
            </w:r>
            <w:r>
              <w:t>пункты</w:t>
            </w:r>
            <w:r>
              <w:rPr>
                <w:lang w:val="en-US"/>
              </w:rPr>
              <w:t xml:space="preserve"> </w:t>
            </w:r>
            <w:r w:rsidRPr="00833478">
              <w:rPr>
                <w:lang w:val="en-US"/>
              </w:rPr>
              <w:t>68–70)</w:t>
            </w:r>
            <w:r w:rsidRPr="009C4661">
              <w:rPr>
                <w:lang w:val="en-US"/>
              </w:rPr>
              <w:t>.</w:t>
            </w:r>
          </w:p>
        </w:tc>
      </w:tr>
      <w:tr w:rsidR="000F01DF" w:rsidRPr="000C5266" w:rsidTr="000F01DF">
        <w:trPr>
          <w:jc w:val="center"/>
        </w:trPr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:rsidR="000F01DF" w:rsidRPr="0062683A" w:rsidRDefault="000F01DF" w:rsidP="000F01DF">
            <w:pPr>
              <w:tabs>
                <w:tab w:val="left" w:pos="284"/>
              </w:tabs>
              <w:spacing w:after="120" w:line="20" w:lineRule="exact"/>
              <w:rPr>
                <w:lang w:val="en-US"/>
              </w:rPr>
            </w:pPr>
          </w:p>
        </w:tc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0F01DF" w:rsidRPr="0062683A" w:rsidRDefault="000F01DF" w:rsidP="000F01DF">
            <w:pPr>
              <w:spacing w:line="20" w:lineRule="exact"/>
              <w:rPr>
                <w:lang w:val="en-US"/>
              </w:rPr>
            </w:pPr>
          </w:p>
        </w:tc>
      </w:tr>
    </w:tbl>
    <w:p w:rsidR="000F01DF" w:rsidRPr="00833478" w:rsidRDefault="000F01DF" w:rsidP="000F01DF">
      <w:pPr>
        <w:pStyle w:val="HChG"/>
        <w:rPr>
          <w:lang w:val="ru-RU"/>
        </w:rPr>
      </w:pPr>
      <w:r w:rsidRPr="00833478">
        <w:rPr>
          <w:lang w:val="en-US"/>
        </w:rPr>
        <w:tab/>
      </w:r>
      <w:r w:rsidRPr="00833478">
        <w:rPr>
          <w:lang w:val="en-US"/>
        </w:rPr>
        <w:tab/>
      </w:r>
      <w:r>
        <w:rPr>
          <w:bCs/>
          <w:lang w:val="ru-RU"/>
        </w:rPr>
        <w:t>Введение</w:t>
      </w:r>
    </w:p>
    <w:p w:rsidR="000F01DF" w:rsidRPr="00833478" w:rsidRDefault="000F01DF" w:rsidP="000F01DF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 xml:space="preserve">11–12 октября 2018 года в Гааге (Нидерланды) в здании </w:t>
      </w:r>
      <w:r w:rsidRPr="009E374E">
        <w:rPr>
          <w:lang w:val="ru-RU"/>
        </w:rPr>
        <w:t>Минист</w:t>
      </w:r>
      <w:r>
        <w:rPr>
          <w:lang w:val="ru-RU"/>
        </w:rPr>
        <w:t xml:space="preserve">ерства </w:t>
      </w:r>
      <w:r w:rsidRPr="009E374E">
        <w:rPr>
          <w:lang w:val="ru-RU"/>
        </w:rPr>
        <w:t>инфраструктуры</w:t>
      </w:r>
      <w:r>
        <w:rPr>
          <w:lang w:val="ru-RU"/>
        </w:rPr>
        <w:t xml:space="preserve"> </w:t>
      </w:r>
      <w:r w:rsidRPr="009E374E">
        <w:rPr>
          <w:lang w:val="ru-RU"/>
        </w:rPr>
        <w:t>и</w:t>
      </w:r>
      <w:r>
        <w:rPr>
          <w:lang w:val="ru-RU"/>
        </w:rPr>
        <w:t xml:space="preserve"> </w:t>
      </w:r>
      <w:r w:rsidRPr="009E374E">
        <w:rPr>
          <w:lang w:val="ru-RU"/>
        </w:rPr>
        <w:t>по</w:t>
      </w:r>
      <w:r>
        <w:rPr>
          <w:lang w:val="ru-RU"/>
        </w:rPr>
        <w:t xml:space="preserve"> </w:t>
      </w:r>
      <w:r w:rsidRPr="009E374E">
        <w:rPr>
          <w:lang w:val="ru-RU"/>
        </w:rPr>
        <w:t>управлению</w:t>
      </w:r>
      <w:r>
        <w:rPr>
          <w:lang w:val="ru-RU"/>
        </w:rPr>
        <w:t xml:space="preserve"> </w:t>
      </w:r>
      <w:r w:rsidRPr="009E374E">
        <w:rPr>
          <w:lang w:val="ru-RU"/>
        </w:rPr>
        <w:t>водными</w:t>
      </w:r>
      <w:r>
        <w:rPr>
          <w:lang w:val="ru-RU"/>
        </w:rPr>
        <w:t xml:space="preserve"> </w:t>
      </w:r>
      <w:r w:rsidRPr="009E374E">
        <w:rPr>
          <w:lang w:val="ru-RU"/>
        </w:rPr>
        <w:t>ресурсами</w:t>
      </w:r>
      <w:r>
        <w:rPr>
          <w:lang w:val="ru-RU"/>
        </w:rPr>
        <w:t xml:space="preserve"> состоялось третье совещание неофициальной рабочей группы по мембранным танкам. На совещании присутствовали делегаты из Бельгии, Германии, Нидерландов и Франции, а также представители Бюро «</w:t>
      </w:r>
      <w:proofErr w:type="spellStart"/>
      <w:r>
        <w:rPr>
          <w:lang w:val="ru-RU"/>
        </w:rPr>
        <w:t>Веритас</w:t>
      </w:r>
      <w:proofErr w:type="spellEnd"/>
      <w:r>
        <w:rPr>
          <w:lang w:val="ru-RU"/>
        </w:rPr>
        <w:t>», промышленности и Центра развития судовых технологий и транспортных систем. К сожалению, представители индустрии судоходства были вынуждены в последний момент отменить запланированное ими участие.</w:t>
      </w:r>
    </w:p>
    <w:p w:rsidR="000F01DF" w:rsidRPr="00833478" w:rsidRDefault="000F01DF" w:rsidP="000F01DF">
      <w:pPr>
        <w:pStyle w:val="SingleTxtG"/>
        <w:rPr>
          <w:lang w:val="ru-RU"/>
        </w:rPr>
      </w:pPr>
      <w:proofErr w:type="gramStart"/>
      <w:r>
        <w:rPr>
          <w:lang w:val="ru-RU"/>
        </w:rPr>
        <w:t>2.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начале совещания представитель Франции представил краткое резюме выступления и дискуссии по вопросу об использовании мембранных танков, состоявшихся на последнем совещании Комитета по вопросам безопасности ВОПОГ (ECE/TRANS/WP.15/AC.2/2018/35 и неофициальный документ INF.25). Рабочая группа приняла к сведению пункты 68–70 доклада Комитета по вопросам безопасности ВОПОГ о работе его тридцать третьей сессии (ECE/TRANS/</w:t>
      </w:r>
      <w:r w:rsidR="006A2534">
        <w:rPr>
          <w:lang w:val="ru-RU"/>
        </w:rPr>
        <w:br/>
      </w:r>
      <w:r>
        <w:rPr>
          <w:lang w:val="ru-RU"/>
        </w:rPr>
        <w:t>WP.15/AC.2/68) и пришла к выводу о том, что в них содержится четкий мандат для продолжения ее работы.</w:t>
      </w:r>
    </w:p>
    <w:p w:rsidR="000F01DF" w:rsidRPr="00833478" w:rsidRDefault="000F01DF" w:rsidP="000F01DF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Участники согласились также с тем, что нынешнее третье совещание рабочей группы следует рассматривать в качестве подготовительного: его цель заключается в том, чтобы принять решение относительно подхода к изменению Правил, прилагаемых к ВОПОГ, с тем чтобы облегчить перевозку некоторых веществ в мембранных танках и выработать более четкое представление о том, какие вещества будут пригодны для перевозки в мембранных танках судами внутреннего плавания. Рабочая группа приступит к разработке проекта фактических поправок к ВОПОГ 2019</w:t>
      </w:r>
      <w:r w:rsidR="00F0474F">
        <w:rPr>
          <w:lang w:val="ru-RU"/>
        </w:rPr>
        <w:t> </w:t>
      </w:r>
      <w:r>
        <w:rPr>
          <w:lang w:val="ru-RU"/>
        </w:rPr>
        <w:t>года только на своем следующем совещании.</w:t>
      </w:r>
    </w:p>
    <w:p w:rsidR="000F01DF" w:rsidRPr="00833478" w:rsidRDefault="000F01DF" w:rsidP="000F01DF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Изменения, связанные с рынком</w:t>
      </w:r>
    </w:p>
    <w:p w:rsidR="000F01DF" w:rsidRPr="00833478" w:rsidRDefault="000F01DF" w:rsidP="000F01DF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Что касается просьбы Комитета по вопросам безопасности ВОПОГ представить соответствующую информацию о развитии рынка СПГ и мембранных танков, то участники в принципе согласились с тем, что главная задача Комитета по вопросам безопасности ВОПОГ заключается в обеспечении безопасности перевозки опасных грузов. Ответы на вопросы, касающиеся экономической целесообразности возможной перевозки в мембранных танках, даст сам рынок. Рабочая группа вновь подчеркивает, что в 2017 году Европейский союз речного судоходства (ЕСРС) уже обращался в Комитет по вопросам безопасности ВОПОГ с просьбой разрешить использование мембранных танков для перевозки некоторых веществ.</w:t>
      </w:r>
    </w:p>
    <w:p w:rsidR="000F01DF" w:rsidRPr="00833478" w:rsidRDefault="000F01DF" w:rsidP="000F01DF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Представитель Франции заявил, что СПГ представляет собой одну из всего лишь нескольких жизнеспособных альтернатив сокращению выбросов серы в индустрии морских перевозок (см. Директиву (ЕС) 2016/802). Благодаря своей широкой доступности СПГ играет важную роль в достижении целей использования альтернативных источников энергии.</w:t>
      </w:r>
    </w:p>
    <w:p w:rsidR="000F01DF" w:rsidRPr="00833478" w:rsidRDefault="000F01DF" w:rsidP="000F01DF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 xml:space="preserve">Вместе с тем, поскольку использование мембранных танков может вызвать рост объемов перевозки некоторых веществ танкерами, что может сказаться на уровнях рисков на европейских внутренних водных путях, рабочая группа изучила несколько </w:t>
      </w:r>
      <w:r>
        <w:rPr>
          <w:lang w:val="ru-RU"/>
        </w:rPr>
        <w:lastRenderedPageBreak/>
        <w:t>имеющихся в открытом доступе документов/брошюр некоторых крупных нефтяных компаний, в которых представлена информация о динамике и прогнозируемых тенденциях перевозок СПГ и использо</w:t>
      </w:r>
      <w:r w:rsidR="006A2534">
        <w:rPr>
          <w:lang w:val="ru-RU"/>
        </w:rPr>
        <w:t>вания мембранных танков</w:t>
      </w:r>
      <w:r w:rsidRPr="006A2534">
        <w:rPr>
          <w:sz w:val="18"/>
          <w:szCs w:val="18"/>
          <w:vertAlign w:val="superscript"/>
          <w:lang w:val="ru-RU"/>
        </w:rPr>
        <w:footnoteReference w:id="3"/>
      </w:r>
      <w:r>
        <w:rPr>
          <w:lang w:val="ru-RU"/>
        </w:rPr>
        <w:t>. Согласно этим брошюрам, можно ожидать устойчивого роста спроса на СПГ, особенно в качестве источника энергии для домашних хозяйств и промышленности.</w:t>
      </w:r>
    </w:p>
    <w:p w:rsidR="000F01DF" w:rsidRPr="00833478" w:rsidRDefault="000F01DF" w:rsidP="000F01DF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>Участники согласились с тем, что изученные цифровые данные не требуют от Комитета по вопросам безопасности ВОПОГ принятия поправок на его следующих совещаниях, но</w:t>
      </w:r>
      <w:r w:rsidR="004E7681">
        <w:rPr>
          <w:lang w:val="ru-RU"/>
        </w:rPr>
        <w:t>,</w:t>
      </w:r>
      <w:r>
        <w:rPr>
          <w:lang w:val="ru-RU"/>
        </w:rPr>
        <w:t xml:space="preserve"> тем не менее</w:t>
      </w:r>
      <w:r w:rsidR="004E7681">
        <w:rPr>
          <w:lang w:val="ru-RU"/>
        </w:rPr>
        <w:t>,</w:t>
      </w:r>
      <w:r>
        <w:rPr>
          <w:lang w:val="ru-RU"/>
        </w:rPr>
        <w:t xml:space="preserve"> свидетельствуют о наличии определенного импульса и обоснования для корректировки прилагаемых к ВОПОГ Правил с учетом технологии мембранных танков, с тем чтобы облегчить торговлю СПГ и аналогичными продуктами, объем которой, как ожидается, будет расти.</w:t>
      </w:r>
    </w:p>
    <w:p w:rsidR="000F01DF" w:rsidRPr="00833478" w:rsidRDefault="000F01DF" w:rsidP="000F01DF">
      <w:pPr>
        <w:pStyle w:val="SingleTxtG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Наконец</w:t>
      </w:r>
      <w:r w:rsidR="004E7681">
        <w:rPr>
          <w:lang w:val="ru-RU"/>
        </w:rPr>
        <w:t>,</w:t>
      </w:r>
      <w:r>
        <w:rPr>
          <w:lang w:val="ru-RU"/>
        </w:rPr>
        <w:t xml:space="preserve"> участникам было предложено собрать дополнительную информацию об изменениях, касающихся СПГ и мембранных танков, которая в большей степени отражала бы аспекты, связанные с навигацией и окружающей средой, и при желании представить эту информацию в ходе следующего совещания рабочей группы.</w:t>
      </w:r>
    </w:p>
    <w:p w:rsidR="000F01DF" w:rsidRPr="00833478" w:rsidRDefault="000F01DF" w:rsidP="000F01DF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Перечень веществ, пригодных для перевозки в мембранных танках</w:t>
      </w:r>
    </w:p>
    <w:p w:rsidR="000F01DF" w:rsidRPr="00833478" w:rsidRDefault="000F01DF" w:rsidP="000F01DF">
      <w:pPr>
        <w:pStyle w:val="SingleTxtG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 xml:space="preserve">Рабочая группа весьма обстоятельно обсудила надлежащий метод определения перечня веществ, пригодных для перевозки в мембранных танках. После продолжительного обсуждения было решено использовать Международный кодекс постройки и оборудования судов, перевозящих сжиженные газы наливом (МКГ), в качестве источника для определения того, какие вещества, содержащиеся в таблице С ВОПОГ, пригодны для перевозки в мембранных танках. Данное решение было принято потому, что в главе 19 МКГ содержится перечень веществ, большинство из которых пригодны для перевозки в мембранных танках. Этот перечень был составлен </w:t>
      </w:r>
      <w:r w:rsidRPr="00613AB5">
        <w:rPr>
          <w:lang w:val="ru-RU"/>
        </w:rPr>
        <w:t>государственны</w:t>
      </w:r>
      <w:r>
        <w:rPr>
          <w:lang w:val="ru-RU"/>
        </w:rPr>
        <w:t xml:space="preserve">м </w:t>
      </w:r>
      <w:r w:rsidRPr="00613AB5">
        <w:rPr>
          <w:lang w:val="ru-RU"/>
        </w:rPr>
        <w:t>международны</w:t>
      </w:r>
      <w:r>
        <w:rPr>
          <w:lang w:val="ru-RU"/>
        </w:rPr>
        <w:t>м органом, и в то же время его приемлемость для использования в морском судоходстве была доказана многолетним опытом безопасных перевозок этих продуктов в мембранных танках морскими судами.</w:t>
      </w:r>
    </w:p>
    <w:p w:rsidR="000F01DF" w:rsidRPr="00470E53" w:rsidRDefault="000F01DF" w:rsidP="000F01DF">
      <w:pPr>
        <w:pStyle w:val="SingleTxtG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>Вещества, перечисленные в главе 19 МКГ (и пригодные, в соответствии с этим Кодексом, для перевозки в мембранных танках), были сопоставлены с веществами, содержащимися в таблицах A и С ВОПОГ. Для включения в перечень веществ, пригодных для перевозки в мембранных танках, были отобраны только те вещества, которые, в соответствии с таблицей A, разрешено перевозить в танкерах и которые, согласно таблице C, подлежат перевозке танкерами типа G.1.1. Этот последний критерий был выбран ввиду того, что рабочая группа согласовала основной момент, который заключается в том, что закрытые мембранные танки следует рассматривать в качестве альтернативы вкладным танкам высокого давления, а разумеется, не в качестве их замены:</w:t>
      </w:r>
    </w:p>
    <w:p w:rsidR="000F01DF" w:rsidRPr="00FF2DB1" w:rsidRDefault="000F01DF" w:rsidP="000F01DF">
      <w:pPr>
        <w:pStyle w:val="Bullet1GR"/>
        <w:tabs>
          <w:tab w:val="left" w:pos="3119"/>
        </w:tabs>
      </w:pPr>
      <w:r>
        <w:t>№ ООН 1005</w:t>
      </w:r>
      <w:r>
        <w:tab/>
        <w:t>АММИАК БЕЗВОДНЫЙ</w:t>
      </w:r>
    </w:p>
    <w:p w:rsidR="000F01DF" w:rsidRPr="00FF2DB1" w:rsidRDefault="000F01DF" w:rsidP="000F01DF">
      <w:pPr>
        <w:pStyle w:val="Bullet1GR"/>
        <w:tabs>
          <w:tab w:val="left" w:pos="3119"/>
        </w:tabs>
      </w:pPr>
      <w:r>
        <w:t>№ ООН 1010</w:t>
      </w:r>
      <w:r>
        <w:tab/>
        <w:t>БУТАДИЕНЫ (четыре позиции)</w:t>
      </w:r>
    </w:p>
    <w:p w:rsidR="000F01DF" w:rsidRPr="00FF2DB1" w:rsidRDefault="000F01DF" w:rsidP="000F01DF">
      <w:pPr>
        <w:pStyle w:val="Bullet1GR"/>
        <w:tabs>
          <w:tab w:val="left" w:pos="3119"/>
        </w:tabs>
      </w:pPr>
      <w:r>
        <w:t>№ ООН 1011</w:t>
      </w:r>
      <w:r>
        <w:tab/>
        <w:t>БУТАН (две позиции)</w:t>
      </w:r>
    </w:p>
    <w:p w:rsidR="000F01DF" w:rsidRPr="00FF2DB1" w:rsidRDefault="000F01DF" w:rsidP="000F01DF">
      <w:pPr>
        <w:pStyle w:val="Bullet1GR"/>
        <w:tabs>
          <w:tab w:val="left" w:pos="3119"/>
        </w:tabs>
      </w:pPr>
      <w:r>
        <w:t>№ ООН 1012</w:t>
      </w:r>
      <w:r>
        <w:tab/>
        <w:t>1-БУТИЛЕН</w:t>
      </w:r>
    </w:p>
    <w:p w:rsidR="000F01DF" w:rsidRPr="00833478" w:rsidRDefault="000F01DF" w:rsidP="000F01DF">
      <w:pPr>
        <w:pStyle w:val="Bullet1GR"/>
        <w:tabs>
          <w:tab w:val="left" w:pos="3119"/>
        </w:tabs>
      </w:pPr>
      <w:r>
        <w:t>№ ООН 1020</w:t>
      </w:r>
      <w:r>
        <w:tab/>
        <w:t xml:space="preserve">ХЛОРПЕНТАФТОРЭТАН (ГАЗ РЕФРИЖЕРАТОРНЫЙ </w:t>
      </w:r>
      <w:r w:rsidR="006A2534">
        <w:br/>
      </w:r>
      <w:r w:rsidR="006A2534">
        <w:tab/>
      </w:r>
      <w:r>
        <w:t>R 115)</w:t>
      </w:r>
    </w:p>
    <w:p w:rsidR="000F01DF" w:rsidRPr="00833478" w:rsidRDefault="000F01DF" w:rsidP="000F01DF">
      <w:pPr>
        <w:pStyle w:val="Bullet1GR"/>
        <w:tabs>
          <w:tab w:val="left" w:pos="3119"/>
        </w:tabs>
      </w:pPr>
      <w:r>
        <w:t>№ ООН 1030</w:t>
      </w:r>
      <w:r>
        <w:tab/>
        <w:t>1,1-ДИФТОРЭТАН (ГАЗ РЕФРИЖЕРАТОРНЫЙ R 152a)</w:t>
      </w:r>
    </w:p>
    <w:p w:rsidR="000F01DF" w:rsidRPr="00FF2DB1" w:rsidRDefault="000F01DF" w:rsidP="000F01DF">
      <w:pPr>
        <w:pStyle w:val="Bullet1GR"/>
        <w:tabs>
          <w:tab w:val="left" w:pos="3119"/>
        </w:tabs>
      </w:pPr>
      <w:r>
        <w:lastRenderedPageBreak/>
        <w:t>№ ООН 1033</w:t>
      </w:r>
      <w:r>
        <w:tab/>
        <w:t>ЭФИР ДИМЕТИЛОВЫЙ</w:t>
      </w:r>
    </w:p>
    <w:p w:rsidR="000F01DF" w:rsidRPr="00FF2DB1" w:rsidRDefault="000F01DF" w:rsidP="000F01DF">
      <w:pPr>
        <w:pStyle w:val="Bullet1GR"/>
        <w:tabs>
          <w:tab w:val="left" w:pos="3119"/>
        </w:tabs>
      </w:pPr>
      <w:r>
        <w:t>№ ООН 1038</w:t>
      </w:r>
      <w:r>
        <w:tab/>
        <w:t>ЭТИЛЕН ОХЛАЖДЕННЫЙ ЖИДКИЙ</w:t>
      </w:r>
    </w:p>
    <w:p w:rsidR="000F01DF" w:rsidRPr="00FF2DB1" w:rsidRDefault="000F01DF" w:rsidP="000F01DF">
      <w:pPr>
        <w:pStyle w:val="Bullet1GR"/>
        <w:tabs>
          <w:tab w:val="left" w:pos="3119"/>
        </w:tabs>
      </w:pPr>
      <w:r>
        <w:t>№ ООН 1055</w:t>
      </w:r>
      <w:r>
        <w:tab/>
        <w:t>ИЗОБУТИЛЕН</w:t>
      </w:r>
    </w:p>
    <w:p w:rsidR="000F01DF" w:rsidRPr="00833478" w:rsidRDefault="000F01DF" w:rsidP="000F01DF">
      <w:pPr>
        <w:pStyle w:val="Bullet1GR"/>
        <w:tabs>
          <w:tab w:val="left" w:pos="3119"/>
        </w:tabs>
      </w:pPr>
      <w:r>
        <w:t>№ ООН 1063</w:t>
      </w:r>
      <w:r>
        <w:tab/>
        <w:t>МЕТИЛХЛОРИД (ГАЗ РЕФРИЖЕРАТОРНЫЙ R</w:t>
      </w:r>
      <w:r w:rsidR="004E7681">
        <w:t>-</w:t>
      </w:r>
      <w:r>
        <w:t>40)</w:t>
      </w:r>
    </w:p>
    <w:p w:rsidR="000F01DF" w:rsidRPr="00FF2DB1" w:rsidRDefault="000F01DF" w:rsidP="000F01DF">
      <w:pPr>
        <w:pStyle w:val="Bullet1GR"/>
        <w:tabs>
          <w:tab w:val="left" w:pos="3119"/>
        </w:tabs>
      </w:pPr>
      <w:r>
        <w:t>№ ООН 1077</w:t>
      </w:r>
      <w:r>
        <w:tab/>
        <w:t>ПРОПИЛЕН</w:t>
      </w:r>
    </w:p>
    <w:p w:rsidR="000F01DF" w:rsidRPr="00FF2DB1" w:rsidRDefault="000F01DF" w:rsidP="000F01DF">
      <w:pPr>
        <w:pStyle w:val="Bullet1GR"/>
        <w:tabs>
          <w:tab w:val="left" w:pos="3119"/>
        </w:tabs>
      </w:pPr>
      <w:r>
        <w:t>№ ООН 1086</w:t>
      </w:r>
      <w:r>
        <w:tab/>
        <w:t>ВИНИЛХЛОРИД СТАБИЛИЗИРОВАННЫЙ</w:t>
      </w:r>
    </w:p>
    <w:p w:rsidR="000F01DF" w:rsidRPr="00833478" w:rsidRDefault="000F01DF" w:rsidP="000F01DF">
      <w:pPr>
        <w:pStyle w:val="Bullet1GR"/>
        <w:tabs>
          <w:tab w:val="left" w:pos="3119"/>
        </w:tabs>
      </w:pPr>
      <w:r>
        <w:tab/>
        <w:t>№ ООН 1965</w:t>
      </w:r>
      <w:r>
        <w:tab/>
        <w:t xml:space="preserve">ГАЗОВ УГЛЕВОДОРОДНЫХ СМЕСЬ </w:t>
      </w:r>
      <w:r>
        <w:br/>
      </w:r>
      <w:r>
        <w:tab/>
        <w:t>СЖИЖЕННАЯ, Н.У.К. (девять позиций)</w:t>
      </w:r>
    </w:p>
    <w:p w:rsidR="000F01DF" w:rsidRPr="00833478" w:rsidRDefault="000F01DF" w:rsidP="000F01DF">
      <w:pPr>
        <w:pStyle w:val="Bullet1GR"/>
        <w:tabs>
          <w:tab w:val="left" w:pos="3119"/>
        </w:tabs>
      </w:pPr>
      <w:r>
        <w:tab/>
        <w:t>№ ООН 1972</w:t>
      </w:r>
      <w:r>
        <w:tab/>
        <w:t xml:space="preserve">МЕТАН ОХЛАЖДЕННЫЙ ЖИДКИЙ </w:t>
      </w:r>
      <w:r>
        <w:br/>
      </w:r>
      <w:r>
        <w:tab/>
        <w:t xml:space="preserve">или ГАЗ ПРИРОДНЫЙ ОХЛАЖДЕННЫЙ ЖИДКИЙ </w:t>
      </w:r>
      <w:r>
        <w:br/>
      </w:r>
      <w:r>
        <w:tab/>
        <w:t>с высоким содержанием метана</w:t>
      </w:r>
    </w:p>
    <w:p w:rsidR="000F01DF" w:rsidRPr="00FF2DB1" w:rsidRDefault="000F01DF" w:rsidP="000F01DF">
      <w:pPr>
        <w:pStyle w:val="Bullet1GR"/>
        <w:tabs>
          <w:tab w:val="left" w:pos="3119"/>
        </w:tabs>
      </w:pPr>
      <w:r>
        <w:t>№ ООН 1978</w:t>
      </w:r>
      <w:r>
        <w:tab/>
        <w:t>ПРОПАН</w:t>
      </w:r>
    </w:p>
    <w:p w:rsidR="000F01DF" w:rsidRPr="00337833" w:rsidRDefault="000F01DF" w:rsidP="000F01DF">
      <w:pPr>
        <w:pStyle w:val="Bullet1GR"/>
        <w:tabs>
          <w:tab w:val="left" w:pos="3119"/>
        </w:tabs>
      </w:pPr>
      <w:r>
        <w:t>№ ООН 2187</w:t>
      </w:r>
      <w:r>
        <w:tab/>
        <w:t>УГЛЕРОДА ДИОКСИД ОХЛАЖДЕННЫЙ ЖИДКИЙ</w:t>
      </w:r>
    </w:p>
    <w:p w:rsidR="000F01DF" w:rsidRPr="00833478" w:rsidRDefault="000F01DF" w:rsidP="004E7681">
      <w:pPr>
        <w:pStyle w:val="SingleTxtG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>Другие газы, перечисленные в главе 19 МКГ и пригодные для перевозки в мембранных танках, и их связь с таблицей C:</w:t>
      </w:r>
    </w:p>
    <w:tbl>
      <w:tblPr>
        <w:tblW w:w="7366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720"/>
        <w:gridCol w:w="3063"/>
        <w:gridCol w:w="1842"/>
      </w:tblGrid>
      <w:tr w:rsidR="000F01DF" w:rsidRPr="00024DE8" w:rsidTr="006A2534">
        <w:trPr>
          <w:trHeight w:val="683"/>
          <w:tblHeader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3C1910" w:rsidRDefault="000F01DF" w:rsidP="000F01DF">
            <w:pPr>
              <w:spacing w:before="80" w:after="80" w:line="200" w:lineRule="exact"/>
              <w:ind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Глава 19</w:t>
            </w:r>
          </w:p>
          <w:p w:rsidR="000F01DF" w:rsidRPr="00FF2DB1" w:rsidRDefault="000F01DF" w:rsidP="000F01DF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bCs/>
              </w:rPr>
              <w:t>МКГ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bCs/>
              </w:rPr>
              <w:t>ВОПОГ</w:t>
            </w:r>
          </w:p>
        </w:tc>
      </w:tr>
      <w:tr w:rsidR="000F01DF" w:rsidRPr="006A2534" w:rsidTr="006A2534">
        <w:trPr>
          <w:trHeight w:val="495"/>
          <w:tblHeader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6A2534" w:rsidRDefault="000F01DF" w:rsidP="000F01DF">
            <w:pPr>
              <w:spacing w:before="80" w:after="80" w:line="200" w:lineRule="exact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01DF" w:rsidRPr="006A2534" w:rsidRDefault="000F01DF" w:rsidP="000F01DF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6A2534">
              <w:rPr>
                <w:i/>
                <w:iCs/>
                <w:sz w:val="16"/>
                <w:szCs w:val="16"/>
              </w:rPr>
              <w:t>Номер ООН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01DF" w:rsidRPr="006A2534" w:rsidRDefault="000F01DF" w:rsidP="000F01DF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6A2534">
              <w:rPr>
                <w:i/>
                <w:iCs/>
                <w:sz w:val="16"/>
                <w:szCs w:val="16"/>
              </w:rPr>
              <w:t>Наименование и описание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6A2534" w:rsidRDefault="000F01DF" w:rsidP="000F01DF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6A2534">
              <w:rPr>
                <w:i/>
                <w:iCs/>
                <w:sz w:val="16"/>
                <w:szCs w:val="16"/>
              </w:rPr>
              <w:t>Примечания</w:t>
            </w:r>
          </w:p>
        </w:tc>
      </w:tr>
      <w:tr w:rsidR="000F01DF" w:rsidRPr="00024DE8" w:rsidTr="006A2534"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Ацетальдегид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1089</w:t>
            </w:r>
          </w:p>
        </w:tc>
        <w:tc>
          <w:tcPr>
            <w:tcW w:w="30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АЦЕТАЛЬДЕГИД (</w:t>
            </w:r>
            <w:proofErr w:type="spellStart"/>
            <w:r>
              <w:t>этаналь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Перевозка танкерами типа С.</w:t>
            </w:r>
          </w:p>
        </w:tc>
      </w:tr>
      <w:tr w:rsidR="000F01DF" w:rsidRPr="0011126E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Бутан-</w:t>
            </w:r>
            <w:proofErr w:type="spellStart"/>
            <w:r>
              <w:t>пропановая</w:t>
            </w:r>
            <w:proofErr w:type="spellEnd"/>
            <w:r>
              <w:t xml:space="preserve"> смесь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4E7681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–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4E7681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833478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В таблицы А и С ВОПОГ не включена.</w:t>
            </w:r>
          </w:p>
          <w:p w:rsidR="000F01DF" w:rsidRPr="00833478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Подпадает под действие главы 2.1 ВОПОГ.</w:t>
            </w:r>
          </w:p>
        </w:tc>
      </w:tr>
      <w:tr w:rsidR="000F01DF" w:rsidRPr="00024DE8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Эфир диэтиловый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1155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ЭФИР ДИЭТИЛОВЫЙ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Перевозка танкерами типа С.</w:t>
            </w:r>
          </w:p>
        </w:tc>
      </w:tr>
      <w:tr w:rsidR="000F01DF" w:rsidRPr="00024DE8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Диметиламин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1160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ДИМЕТИЛАМИНА ВОДНЫЙ РАСТВОР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Перевозка танкерами типа С.</w:t>
            </w:r>
          </w:p>
        </w:tc>
      </w:tr>
      <w:tr w:rsidR="000F01DF" w:rsidRPr="0011126E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Этан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1035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ЭТАН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833478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В ВОПОГ перевозка танкерами не допускается.</w:t>
            </w:r>
          </w:p>
        </w:tc>
      </w:tr>
      <w:tr w:rsidR="000F01DF" w:rsidRPr="0011126E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proofErr w:type="spellStart"/>
            <w:r>
              <w:t>Этилхлорид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1037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rFonts w:eastAsia="MS Mincho"/>
                <w:szCs w:val="18"/>
              </w:rPr>
            </w:pPr>
            <w:r>
              <w:t>ЭТИЛХЛОРИД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833478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В ВОПОГ перевозка танкерами не допускается.</w:t>
            </w:r>
          </w:p>
        </w:tc>
      </w:tr>
      <w:tr w:rsidR="000F01DF" w:rsidRPr="00024DE8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833478" w:rsidRDefault="000F01DF" w:rsidP="004E7681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Этилена оксида и</w:t>
            </w:r>
            <w:r w:rsidR="004E7681">
              <w:t> </w:t>
            </w:r>
            <w:r>
              <w:t>пропилена оксид</w:t>
            </w:r>
            <w:r w:rsidR="004E7681">
              <w:t>а смеси, содержащие не более 30</w:t>
            </w:r>
            <w:r>
              <w:t>% этилена оксида по весу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2983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833478" w:rsidRDefault="000F01DF" w:rsidP="004E7681">
            <w:pPr>
              <w:spacing w:before="40" w:after="120" w:line="220" w:lineRule="exact"/>
              <w:ind w:right="113"/>
              <w:jc w:val="center"/>
              <w:rPr>
                <w:rFonts w:eastAsia="MS Mincho"/>
                <w:szCs w:val="18"/>
              </w:rPr>
            </w:pPr>
            <w:r>
              <w:t>ЭТИЛЕНА ОКСИДА И</w:t>
            </w:r>
            <w:r w:rsidR="004E7681">
              <w:t> </w:t>
            </w:r>
            <w:r>
              <w:t>ПРОПИЛЕНА ОКСИД</w:t>
            </w:r>
            <w:r w:rsidR="004E7681">
              <w:t>А СМЕСЬ, содержащая не более 30</w:t>
            </w:r>
            <w:r>
              <w:t>% этилена оксида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Перевозка танкерами типа С.</w:t>
            </w:r>
          </w:p>
        </w:tc>
      </w:tr>
      <w:tr w:rsidR="000F01DF" w:rsidRPr="00024DE8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 xml:space="preserve">Изопрен </w:t>
            </w:r>
            <w:r w:rsidR="004E7681">
              <w:br/>
            </w:r>
            <w:r>
              <w:t>(все изомеры)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1218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rFonts w:eastAsia="MS Mincho"/>
                <w:szCs w:val="18"/>
              </w:rPr>
            </w:pPr>
            <w:r>
              <w:t>ИЗОПРЕН СТАБИЛИЗИРОВАННЫЙ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Перевозка танкерами типа N.</w:t>
            </w:r>
          </w:p>
        </w:tc>
      </w:tr>
      <w:tr w:rsidR="000F01DF" w:rsidRPr="00024DE8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lastRenderedPageBreak/>
              <w:t>Изопрен (рафинированная часть)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1218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rFonts w:eastAsia="MS Mincho"/>
                <w:szCs w:val="18"/>
              </w:rPr>
            </w:pPr>
            <w:r>
              <w:t>ИЗОПРЕН СТАБИЛИЗИРОВАННЫЙ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Перевозка танкерами типа N.</w:t>
            </w:r>
          </w:p>
        </w:tc>
      </w:tr>
      <w:tr w:rsidR="000F01DF" w:rsidRPr="00024DE8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proofErr w:type="spellStart"/>
            <w:r>
              <w:t>Изопропиламин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1221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rFonts w:eastAsia="MS Mincho"/>
                <w:szCs w:val="18"/>
              </w:rPr>
            </w:pPr>
            <w:r>
              <w:t>ИЗОПРОПИЛАМИН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Перевозка танкерами типа С.</w:t>
            </w:r>
          </w:p>
        </w:tc>
      </w:tr>
      <w:tr w:rsidR="000F01DF" w:rsidRPr="0011126E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4E7681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proofErr w:type="spellStart"/>
            <w:r>
              <w:t>Метилацетилена</w:t>
            </w:r>
            <w:proofErr w:type="spellEnd"/>
            <w:r>
              <w:t xml:space="preserve"> и</w:t>
            </w:r>
            <w:r w:rsidR="004E7681">
              <w:t> </w:t>
            </w:r>
            <w:proofErr w:type="spellStart"/>
            <w:r>
              <w:t>пропадиена</w:t>
            </w:r>
            <w:proofErr w:type="spellEnd"/>
            <w:r>
              <w:t xml:space="preserve"> смеси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1060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833478" w:rsidRDefault="000F01DF" w:rsidP="004E7681">
            <w:pPr>
              <w:spacing w:before="40" w:after="120" w:line="220" w:lineRule="exact"/>
              <w:ind w:right="113"/>
              <w:jc w:val="center"/>
              <w:rPr>
                <w:rFonts w:eastAsia="MS Mincho"/>
                <w:szCs w:val="18"/>
              </w:rPr>
            </w:pPr>
            <w:r>
              <w:t>МЕТИЛАЦЕТИЛЕНА И</w:t>
            </w:r>
            <w:r w:rsidR="004E7681">
              <w:t> </w:t>
            </w:r>
            <w:r>
              <w:t>ПРОПАДИЕНА СМЕСЬ СТАБИЛИЗИРОВАННАЯ, такая как смесь Р1 или смесь Р2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833478" w:rsidRDefault="000F01DF" w:rsidP="00EB2669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В ВОПОГ перевозка танкерами не</w:t>
            </w:r>
            <w:r w:rsidR="00EB2669">
              <w:t> </w:t>
            </w:r>
            <w:r>
              <w:t>допускается.</w:t>
            </w:r>
          </w:p>
        </w:tc>
      </w:tr>
      <w:tr w:rsidR="000F01DF" w:rsidRPr="0011126E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 xml:space="preserve">Смешанные </w:t>
            </w:r>
            <w:r w:rsidR="004E7681">
              <w:br/>
            </w:r>
            <w:r>
              <w:t>грузы C4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4E7681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–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4E7681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833478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В таблицы А и С ВОПОГ не</w:t>
            </w:r>
            <w:r w:rsidR="00EB2669">
              <w:t> </w:t>
            </w:r>
            <w:r>
              <w:t>включены.</w:t>
            </w:r>
          </w:p>
          <w:p w:rsidR="000F01DF" w:rsidRPr="00833478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Возможно, подпадают под действие главы 2.1 ВОПОГ.</w:t>
            </w:r>
          </w:p>
          <w:p w:rsidR="000F01DF" w:rsidRPr="00833478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Упоминаются в документах ИМО BLG 15/10/3 и BLG.1/Circ.32.</w:t>
            </w:r>
          </w:p>
        </w:tc>
      </w:tr>
      <w:tr w:rsidR="000F01DF" w:rsidRPr="0011126E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proofErr w:type="spellStart"/>
            <w:r>
              <w:t>Моноэтиламин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1036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rFonts w:eastAsia="MS Mincho"/>
                <w:szCs w:val="18"/>
              </w:rPr>
            </w:pPr>
            <w:r>
              <w:t>ЭТИЛАМИН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833478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proofErr w:type="spellStart"/>
            <w:r>
              <w:t>Моноэтиламин</w:t>
            </w:r>
            <w:proofErr w:type="spellEnd"/>
            <w:r>
              <w:t xml:space="preserve"> указан в таблице B ВОПОГ в качестве синонима.</w:t>
            </w:r>
          </w:p>
          <w:p w:rsidR="000F01DF" w:rsidRPr="00833478" w:rsidRDefault="000F01DF" w:rsidP="00EB2669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В ВОПОГ перевозка танкерами не</w:t>
            </w:r>
            <w:r w:rsidR="00EB2669">
              <w:t> </w:t>
            </w:r>
            <w:r>
              <w:t>допускается.</w:t>
            </w:r>
          </w:p>
        </w:tc>
      </w:tr>
      <w:tr w:rsidR="000F01DF" w:rsidRPr="0011126E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Азот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1977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rFonts w:eastAsia="MS Mincho"/>
                <w:szCs w:val="18"/>
              </w:rPr>
            </w:pPr>
            <w:r>
              <w:t>АЗОТ ОХЛАЖДЕННЫЙ ЖИДКИЙ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833478" w:rsidRDefault="000F01DF" w:rsidP="00EB2669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В ВОПОГ перевозка танкерами не</w:t>
            </w:r>
            <w:r w:rsidR="00EB2669">
              <w:t> </w:t>
            </w:r>
            <w:r>
              <w:t>допускается.</w:t>
            </w:r>
          </w:p>
        </w:tc>
      </w:tr>
      <w:tr w:rsidR="000F01DF" w:rsidRPr="00B35C89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 xml:space="preserve">Пентан </w:t>
            </w:r>
            <w:r w:rsidR="004E7681">
              <w:br/>
            </w:r>
            <w:r>
              <w:t>(все изомеры)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1265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rFonts w:eastAsia="MS Mincho"/>
                <w:szCs w:val="18"/>
              </w:rPr>
            </w:pPr>
            <w:r>
              <w:t>ПЕНТАНЫ, жидкие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833478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Пять позиций в таблице С ВОПОГ.</w:t>
            </w:r>
          </w:p>
          <w:p w:rsidR="000F01DF" w:rsidRPr="00B35C89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 xml:space="preserve">Перевозка танкерами типа N или см. Схему </w:t>
            </w:r>
            <w:r w:rsidR="006A2534">
              <w:br/>
            </w:r>
            <w:r>
              <w:t>(ВОПОГ 3.2.3.3).</w:t>
            </w:r>
          </w:p>
        </w:tc>
      </w:tr>
      <w:tr w:rsidR="000F01DF" w:rsidRPr="00024DE8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proofErr w:type="spellStart"/>
            <w:r>
              <w:t>Пентен</w:t>
            </w:r>
            <w:proofErr w:type="spellEnd"/>
            <w:r>
              <w:t xml:space="preserve"> </w:t>
            </w:r>
            <w:r w:rsidR="004E7681">
              <w:br/>
            </w:r>
            <w:r>
              <w:t>(все изомеры)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1108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rFonts w:eastAsia="MS Mincho"/>
                <w:szCs w:val="18"/>
              </w:rPr>
            </w:pPr>
            <w:r>
              <w:t>1-ПЕНТЕН (н-АМИЛЕН)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 xml:space="preserve">Перевозка танкерами </w:t>
            </w:r>
            <w:r w:rsidR="006A2534">
              <w:br/>
            </w:r>
            <w:r>
              <w:t>типа N.</w:t>
            </w:r>
          </w:p>
        </w:tc>
      </w:tr>
      <w:tr w:rsidR="000F01DF" w:rsidRPr="00024DE8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Пропилена оксид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1280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rFonts w:eastAsia="MS Mincho"/>
                <w:szCs w:val="18"/>
              </w:rPr>
            </w:pPr>
            <w:r>
              <w:t>ПРОПИЛЕНА ОКСИД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 xml:space="preserve">Перевозка танкерами </w:t>
            </w:r>
            <w:r w:rsidR="006A2534">
              <w:br/>
            </w:r>
            <w:r>
              <w:t>типа С.</w:t>
            </w:r>
          </w:p>
        </w:tc>
      </w:tr>
      <w:tr w:rsidR="000F01DF" w:rsidRPr="0011126E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6A2534">
            <w:pPr>
              <w:pageBreakBefore/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lastRenderedPageBreak/>
              <w:t>Газы рефрижераторные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1009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833478" w:rsidRDefault="000F01DF" w:rsidP="000F01DF">
            <w:pPr>
              <w:spacing w:before="40" w:after="120" w:line="220" w:lineRule="exact"/>
              <w:ind w:right="113"/>
              <w:jc w:val="center"/>
              <w:rPr>
                <w:rFonts w:eastAsia="MS Mincho"/>
                <w:szCs w:val="18"/>
              </w:rPr>
            </w:pPr>
            <w:r>
              <w:t>БРОМТРИФТОРМЕТАН (ГАЗ РЕФРИЖЕРАТОРНЫЙ R 13B1)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833478" w:rsidRDefault="000F01DF" w:rsidP="004E7681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В ВОПОГ перевозка танкерами не</w:t>
            </w:r>
            <w:r w:rsidR="004E7681">
              <w:t> </w:t>
            </w:r>
            <w:r>
              <w:t>допускается.</w:t>
            </w:r>
          </w:p>
        </w:tc>
      </w:tr>
      <w:tr w:rsidR="000F01DF" w:rsidRPr="0011126E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Газы рефрижераторные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1018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rFonts w:eastAsia="MS Mincho"/>
                <w:szCs w:val="18"/>
              </w:rPr>
            </w:pPr>
            <w:r>
              <w:t>ХЛОРДИФТОРМЕТАН (ГАЗ РЕФРИЖЕРАТОРНЫЙ R 22)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833478" w:rsidRDefault="000F01DF" w:rsidP="004E7681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В ВОПОГ перевозка танкерами не</w:t>
            </w:r>
            <w:r w:rsidR="004E7681">
              <w:t> </w:t>
            </w:r>
            <w:r>
              <w:t>допускается.</w:t>
            </w:r>
          </w:p>
        </w:tc>
      </w:tr>
      <w:tr w:rsidR="000F01DF" w:rsidRPr="0011126E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Газы рефрижераторные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1021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833478" w:rsidRDefault="000F01DF" w:rsidP="006A2534">
            <w:pPr>
              <w:spacing w:before="40" w:after="120" w:line="220" w:lineRule="exact"/>
              <w:ind w:right="113"/>
              <w:jc w:val="center"/>
              <w:rPr>
                <w:rFonts w:eastAsia="MS Mincho"/>
                <w:szCs w:val="18"/>
              </w:rPr>
            </w:pPr>
            <w:r>
              <w:t>1-ХЛОР-1,2,2,2-ТЕТРАФТОРЭТАН (ГАЗ РЕФРИЖЕРАТОРНЫЙ R</w:t>
            </w:r>
            <w:r w:rsidR="006A2534">
              <w:t> </w:t>
            </w:r>
            <w:r>
              <w:t>124)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833478" w:rsidRDefault="000F01DF" w:rsidP="004E7681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В ВОПОГ перевозка танкерами не</w:t>
            </w:r>
            <w:r w:rsidR="004E7681">
              <w:t> </w:t>
            </w:r>
            <w:r>
              <w:t>допускается.</w:t>
            </w:r>
          </w:p>
        </w:tc>
      </w:tr>
      <w:tr w:rsidR="000F01DF" w:rsidRPr="0011126E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Газы рефрижераторные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1022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rFonts w:eastAsia="MS Mincho"/>
                <w:szCs w:val="18"/>
              </w:rPr>
            </w:pPr>
            <w:r>
              <w:t>ХЛОРТРИФТОРМЕТАН (ГАЗ РЕФРИЖЕРАТОРНЫЙ R 13)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833478" w:rsidRDefault="000F01DF" w:rsidP="004E7681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В ВОПОГ перевозка танкерами не</w:t>
            </w:r>
            <w:r w:rsidR="004E7681">
              <w:t> </w:t>
            </w:r>
            <w:r>
              <w:t>допускается.</w:t>
            </w:r>
          </w:p>
        </w:tc>
      </w:tr>
      <w:tr w:rsidR="000F01DF" w:rsidRPr="0011126E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Газы рефрижераторные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1028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rFonts w:eastAsia="MS Mincho"/>
                <w:szCs w:val="18"/>
              </w:rPr>
            </w:pPr>
            <w:r>
              <w:t>ДИХЛОРДИФТОРМЕТАН (ГАЗ РЕФРИЖЕРАТОРНЫЙ R 12)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833478" w:rsidRDefault="000F01DF" w:rsidP="004E7681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В ВОПОГ перевозка танкерами не</w:t>
            </w:r>
            <w:r w:rsidR="004E7681">
              <w:t> </w:t>
            </w:r>
            <w:r>
              <w:t>допускается.</w:t>
            </w:r>
          </w:p>
        </w:tc>
      </w:tr>
      <w:tr w:rsidR="000F01DF" w:rsidRPr="0011126E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Газы рефрижераторные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1029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rFonts w:eastAsia="MS Mincho"/>
                <w:szCs w:val="18"/>
              </w:rPr>
            </w:pPr>
            <w:r>
              <w:t>ДИХЛОРФТОРМЕТАН (ГАЗ РЕФРИЖЕРАТОРНЫЙ R 21)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833478" w:rsidRDefault="000F01DF" w:rsidP="004E7681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В ВОПОГ перевозка танкерами не</w:t>
            </w:r>
            <w:r w:rsidR="004E7681">
              <w:t> </w:t>
            </w:r>
            <w:r>
              <w:t>допускается.</w:t>
            </w:r>
          </w:p>
        </w:tc>
      </w:tr>
      <w:tr w:rsidR="000F01DF" w:rsidRPr="0011126E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Газы рефрижераторные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1078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833478" w:rsidRDefault="000F01DF" w:rsidP="000F01DF">
            <w:pPr>
              <w:spacing w:before="40" w:after="120" w:line="220" w:lineRule="exact"/>
              <w:ind w:right="113"/>
              <w:jc w:val="center"/>
              <w:rPr>
                <w:rFonts w:eastAsia="MS Mincho"/>
                <w:szCs w:val="18"/>
              </w:rPr>
            </w:pPr>
            <w:r>
              <w:t xml:space="preserve">ГАЗ РЕФРИЖЕРАТОРНЫЙ, Н.У.К., такой как смесь F1, </w:t>
            </w:r>
            <w:r w:rsidR="006A2534">
              <w:br/>
            </w:r>
            <w:r>
              <w:t>смесь F2 или смесь F3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833478" w:rsidRDefault="000F01DF" w:rsidP="004E7681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В ВОПОГ перевозка танкерами не</w:t>
            </w:r>
            <w:r w:rsidR="004E7681">
              <w:t> </w:t>
            </w:r>
            <w:r>
              <w:t>допускается.</w:t>
            </w:r>
          </w:p>
        </w:tc>
      </w:tr>
      <w:tr w:rsidR="000F01DF" w:rsidRPr="0011126E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 xml:space="preserve">Эфир </w:t>
            </w:r>
            <w:proofErr w:type="spellStart"/>
            <w:r>
              <w:t>винилэтиловый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1302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rFonts w:eastAsia="MS Mincho"/>
                <w:szCs w:val="18"/>
              </w:rPr>
            </w:pPr>
            <w:r>
              <w:t>ЭФИР ВИНИЛЭТИЛОВЫЙ СТАБИЛИЗИРОВАННЫЙ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833478" w:rsidRDefault="000F01DF" w:rsidP="004E7681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В ВОПОГ перевозка танкерами не</w:t>
            </w:r>
            <w:r w:rsidR="004E7681">
              <w:t> </w:t>
            </w:r>
            <w:r>
              <w:t>допускается.</w:t>
            </w:r>
          </w:p>
        </w:tc>
      </w:tr>
      <w:tr w:rsidR="000F01DF" w:rsidRPr="0011126E" w:rsidTr="006A253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proofErr w:type="spellStart"/>
            <w:r>
              <w:t>Винилиденхлорид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1303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  <w:jc w:val="center"/>
              <w:rPr>
                <w:rFonts w:eastAsia="MS Mincho"/>
                <w:szCs w:val="18"/>
              </w:rPr>
            </w:pPr>
            <w:r>
              <w:t>ВИНИЛИДЕНХЛОРИД СТАБИЛИЗИРОВАННЫЙ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DF" w:rsidRPr="00833478" w:rsidRDefault="000F01DF" w:rsidP="004E7681">
            <w:pPr>
              <w:spacing w:before="40" w:after="120" w:line="220" w:lineRule="exact"/>
              <w:ind w:right="113"/>
              <w:jc w:val="center"/>
              <w:rPr>
                <w:szCs w:val="18"/>
              </w:rPr>
            </w:pPr>
            <w:r>
              <w:t>В ВОПОГ перевозка танкерами не</w:t>
            </w:r>
            <w:r w:rsidR="004E7681">
              <w:t> </w:t>
            </w:r>
            <w:r>
              <w:t>допускается.</w:t>
            </w:r>
          </w:p>
        </w:tc>
      </w:tr>
    </w:tbl>
    <w:p w:rsidR="000F01DF" w:rsidRPr="00833478" w:rsidRDefault="000F01DF" w:rsidP="000F01DF">
      <w:pPr>
        <w:pStyle w:val="SingleTxtG"/>
        <w:spacing w:before="120"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  <w:t>Вместе с тем участники пришли к выводу о том, что требуется дополнительная оценка перечня веществ, содержащегося в пункте 10, в первую очередь для того, чтобы удостовериться в том, что в других предписанных условиях перевозки, указанных в таблице С, в замечаниях, содержащихся в колонке 20 таблицы С, и в особых предписаниях, указанных в колонке i главы 19 МКГ, не содержится положений, препятствующих использованию мембранных танков для перевозки этих веществ. В</w:t>
      </w:r>
      <w:r w:rsidR="00B57A3C">
        <w:rPr>
          <w:lang w:val="ru-RU"/>
        </w:rPr>
        <w:t> </w:t>
      </w:r>
      <w:r>
        <w:rPr>
          <w:lang w:val="ru-RU"/>
        </w:rPr>
        <w:t>частности, был поднят вопрос о том, насколько вещества, подлежащие, в соответствии с ВОПОГ, перевозке в стабилизированном состоянии, а не только в режиме регулирования температуры, пригодны для перевозки в мембранных танках, как на морских судах. Эта оценка будет проведена в ходе следующего совещания рабочей группы. Рабочая группа решила обратиться к неофициальной рабочей группе по веществам с просьбой проверить предварительный перечень веществ, пригодных для перевозки в мембранных танках.</w:t>
      </w:r>
    </w:p>
    <w:p w:rsidR="000F01DF" w:rsidRPr="00833478" w:rsidRDefault="000F01DF" w:rsidP="000F01DF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Cs/>
          <w:lang w:val="ru-RU"/>
        </w:rPr>
        <w:t>Поправки к ВОПОГ 2019 года</w:t>
      </w:r>
    </w:p>
    <w:p w:rsidR="000F01DF" w:rsidRPr="00833478" w:rsidRDefault="000F01DF" w:rsidP="000F01DF">
      <w:pPr>
        <w:pStyle w:val="SingleTxtG"/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  <w:t xml:space="preserve">После определения предварительного перечня веществ, пригодных для перевозки в мембранных танках, рабочая группа обсудила предпочтительный подход для регулирования мембранных танков в Правилах, прилагаемых к ВОПОГ. Участники поддержали предложение, сделанное делегатом от Франции, относительно включения в таблицу С строк с альтернативными требованиями к перевозке </w:t>
      </w:r>
      <w:r>
        <w:rPr>
          <w:lang w:val="ru-RU"/>
        </w:rPr>
        <w:br/>
        <w:t>(в мембранных танках) соответствующих идентифицированных веществ. Такой подход позволяет весьма четко указать, что для некоторых веществ перевозка в мембранных танках является альтернативой перевозке во вкладных танках высокого давления.</w:t>
      </w:r>
    </w:p>
    <w:p w:rsidR="000F01DF" w:rsidRPr="00833478" w:rsidRDefault="000F01DF" w:rsidP="004E7681">
      <w:pPr>
        <w:pStyle w:val="SingleTxtG"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  <w:t>На тот случай, если Комитет по вопросам безопасности ВОПОГ поддержит подход, изложенный в пункте 13, рабочая группа составила предварительный перечень положений, требующих дальнейшего изучения и, возможно, изменения: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3352"/>
        <w:gridCol w:w="2794"/>
      </w:tblGrid>
      <w:tr w:rsidR="000F01DF" w:rsidRPr="000F01DF" w:rsidTr="00B57A3C">
        <w:trPr>
          <w:tblHeader/>
        </w:trPr>
        <w:tc>
          <w:tcPr>
            <w:tcW w:w="12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F01DF" w:rsidRPr="000F01DF" w:rsidRDefault="000F01DF" w:rsidP="000F01DF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0F01DF">
              <w:rPr>
                <w:i/>
                <w:iCs/>
                <w:sz w:val="16"/>
                <w:szCs w:val="16"/>
              </w:rPr>
              <w:t>Пункт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F01DF" w:rsidRPr="000F01DF" w:rsidRDefault="000F01DF" w:rsidP="000F01DF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0F01DF">
              <w:rPr>
                <w:i/>
                <w:iCs/>
                <w:sz w:val="16"/>
                <w:szCs w:val="16"/>
              </w:rPr>
              <w:t>Вопрос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F01DF" w:rsidRPr="000F01DF" w:rsidRDefault="000F01DF" w:rsidP="000F01DF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0F01DF">
              <w:rPr>
                <w:i/>
                <w:iCs/>
                <w:sz w:val="16"/>
                <w:szCs w:val="16"/>
              </w:rPr>
              <w:t>Дополнительные комментарии</w:t>
            </w:r>
          </w:p>
        </w:tc>
      </w:tr>
      <w:tr w:rsidR="000F01DF" w:rsidRPr="00FF2DB1" w:rsidTr="00B57A3C"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</w:tcPr>
          <w:p w:rsidR="000F01DF" w:rsidRPr="00FF2DB1" w:rsidRDefault="000F01DF" w:rsidP="0062683A">
            <w:pPr>
              <w:spacing w:before="80" w:after="120" w:line="220" w:lineRule="exact"/>
              <w:ind w:right="113"/>
            </w:pPr>
            <w:r>
              <w:t>1.2.1</w:t>
            </w:r>
          </w:p>
        </w:tc>
        <w:tc>
          <w:tcPr>
            <w:tcW w:w="3352" w:type="dxa"/>
            <w:tcBorders>
              <w:top w:val="single" w:sz="12" w:space="0" w:color="auto"/>
            </w:tcBorders>
            <w:shd w:val="clear" w:color="auto" w:fill="auto"/>
          </w:tcPr>
          <w:p w:rsidR="000F01DF" w:rsidRPr="00833478" w:rsidRDefault="000F01DF" w:rsidP="0062683A">
            <w:pPr>
              <w:spacing w:before="80" w:after="120" w:line="220" w:lineRule="exact"/>
              <w:ind w:right="113"/>
            </w:pPr>
            <w:r>
              <w:t xml:space="preserve">Определение мембранных танков как четвертого </w:t>
            </w:r>
            <w:r>
              <w:rPr>
                <w:i/>
                <w:iCs/>
              </w:rPr>
              <w:t>Типа грузового танка.</w:t>
            </w:r>
          </w:p>
        </w:tc>
        <w:tc>
          <w:tcPr>
            <w:tcW w:w="2794" w:type="dxa"/>
            <w:tcBorders>
              <w:top w:val="single" w:sz="12" w:space="0" w:color="auto"/>
            </w:tcBorders>
            <w:shd w:val="clear" w:color="auto" w:fill="auto"/>
          </w:tcPr>
          <w:p w:rsidR="000F01DF" w:rsidRPr="00FF2DB1" w:rsidRDefault="000F01DF" w:rsidP="0062683A">
            <w:pPr>
              <w:spacing w:before="80" w:after="120" w:line="220" w:lineRule="exact"/>
              <w:ind w:right="113"/>
            </w:pPr>
            <w:r>
              <w:t>См. разделы 4.1.5, 4.24.1.1, 4.24.1.3, 4.24.1.4 и 4.24.1.7 МКГ.</w:t>
            </w:r>
          </w:p>
        </w:tc>
      </w:tr>
      <w:tr w:rsidR="000F01DF" w:rsidRPr="0011126E" w:rsidTr="00B57A3C">
        <w:tc>
          <w:tcPr>
            <w:tcW w:w="1224" w:type="dxa"/>
            <w:shd w:val="clear" w:color="auto" w:fill="auto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</w:pPr>
            <w:r>
              <w:t>1.2.1</w:t>
            </w:r>
          </w:p>
        </w:tc>
        <w:tc>
          <w:tcPr>
            <w:tcW w:w="3352" w:type="dxa"/>
            <w:shd w:val="clear" w:color="auto" w:fill="auto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</w:pPr>
            <w:r>
              <w:t>Определение МКГ.</w:t>
            </w:r>
          </w:p>
        </w:tc>
        <w:tc>
          <w:tcPr>
            <w:tcW w:w="2794" w:type="dxa"/>
            <w:shd w:val="clear" w:color="auto" w:fill="auto"/>
          </w:tcPr>
          <w:p w:rsidR="000F01DF" w:rsidRPr="00833478" w:rsidRDefault="000F01DF" w:rsidP="000F01DF">
            <w:pPr>
              <w:spacing w:before="40" w:after="120" w:line="220" w:lineRule="exact"/>
              <w:ind w:right="113"/>
            </w:pPr>
            <w:r>
              <w:t>«МКГ» означает Международный кодекс постройки и оборудования судов, перевозящих сжиженные газы наливом, опубликованный Международной морской организацией (ИМО).</w:t>
            </w:r>
          </w:p>
        </w:tc>
      </w:tr>
      <w:tr w:rsidR="000F01DF" w:rsidRPr="0011126E" w:rsidTr="00B57A3C">
        <w:tc>
          <w:tcPr>
            <w:tcW w:w="1224" w:type="dxa"/>
            <w:shd w:val="clear" w:color="auto" w:fill="auto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</w:pPr>
            <w:r>
              <w:t>1.2.1</w:t>
            </w:r>
          </w:p>
        </w:tc>
        <w:tc>
          <w:tcPr>
            <w:tcW w:w="3352" w:type="dxa"/>
            <w:shd w:val="clear" w:color="auto" w:fill="auto"/>
          </w:tcPr>
          <w:p w:rsidR="000F01DF" w:rsidRPr="00833478" w:rsidRDefault="000F01DF" w:rsidP="000F01DF">
            <w:pPr>
              <w:spacing w:before="40" w:after="120" w:line="220" w:lineRule="exact"/>
              <w:ind w:right="113"/>
              <w:rPr>
                <w:i/>
              </w:rPr>
            </w:pPr>
            <w:r>
              <w:t>В раздел «</w:t>
            </w:r>
            <w:r>
              <w:rPr>
                <w:i/>
                <w:iCs/>
              </w:rPr>
              <w:t>Типы судо</w:t>
            </w:r>
            <w:r w:rsidRPr="004E7681">
              <w:rPr>
                <w:i/>
                <w:iCs/>
              </w:rPr>
              <w:t>в: Тип G</w:t>
            </w:r>
            <w:r>
              <w:rPr>
                <w:iCs/>
              </w:rPr>
              <w:t>»</w:t>
            </w:r>
            <w:r>
              <w:t xml:space="preserve"> включить в качестве альтернативы G.2.4.</w:t>
            </w:r>
          </w:p>
        </w:tc>
        <w:tc>
          <w:tcPr>
            <w:tcW w:w="2794" w:type="dxa"/>
            <w:shd w:val="clear" w:color="auto" w:fill="auto"/>
          </w:tcPr>
          <w:p w:rsidR="000F01DF" w:rsidRPr="00833478" w:rsidRDefault="000F01DF" w:rsidP="004E7681">
            <w:pPr>
              <w:spacing w:before="40" w:after="120" w:line="220" w:lineRule="exact"/>
              <w:ind w:right="113"/>
            </w:pPr>
            <w:r>
              <w:t>Добавить рисунок «Тип G, Конструкция грузовых танков</w:t>
            </w:r>
            <w:r w:rsidR="004E7681">
              <w:t> </w:t>
            </w:r>
            <w:r>
              <w:t>2, Тип грузовых танков</w:t>
            </w:r>
            <w:r w:rsidR="004E7681">
              <w:t> </w:t>
            </w:r>
            <w:r>
              <w:t>4 (мембранный танк)».</w:t>
            </w:r>
          </w:p>
        </w:tc>
      </w:tr>
      <w:tr w:rsidR="000F01DF" w:rsidRPr="0011126E" w:rsidTr="00B57A3C">
        <w:tc>
          <w:tcPr>
            <w:tcW w:w="1224" w:type="dxa"/>
            <w:shd w:val="clear" w:color="auto" w:fill="auto"/>
          </w:tcPr>
          <w:p w:rsidR="000F01DF" w:rsidRPr="00382F36" w:rsidRDefault="000F01DF" w:rsidP="000F01DF">
            <w:pPr>
              <w:spacing w:before="40" w:after="120" w:line="220" w:lineRule="exact"/>
              <w:ind w:right="113"/>
            </w:pPr>
            <w:r>
              <w:t>3.2</w:t>
            </w:r>
          </w:p>
        </w:tc>
        <w:tc>
          <w:tcPr>
            <w:tcW w:w="3352" w:type="dxa"/>
            <w:shd w:val="clear" w:color="auto" w:fill="auto"/>
          </w:tcPr>
          <w:p w:rsidR="000F01DF" w:rsidRPr="00833478" w:rsidRDefault="000F01DF" w:rsidP="000F01DF">
            <w:pPr>
              <w:spacing w:before="40" w:after="120" w:line="220" w:lineRule="exact"/>
              <w:ind w:right="113"/>
            </w:pPr>
            <w:r>
              <w:t>В таблицу C включить дополнительные строки для некоторых номеров ООН.</w:t>
            </w:r>
          </w:p>
        </w:tc>
        <w:tc>
          <w:tcPr>
            <w:tcW w:w="2794" w:type="dxa"/>
            <w:shd w:val="clear" w:color="auto" w:fill="auto"/>
          </w:tcPr>
          <w:p w:rsidR="000F01DF" w:rsidRPr="00833478" w:rsidRDefault="000F01DF" w:rsidP="000F01DF">
            <w:pPr>
              <w:spacing w:before="40" w:after="120" w:line="220" w:lineRule="exact"/>
              <w:ind w:right="113"/>
            </w:pPr>
          </w:p>
        </w:tc>
      </w:tr>
      <w:tr w:rsidR="000F01DF" w:rsidRPr="00795878" w:rsidTr="00B57A3C">
        <w:tc>
          <w:tcPr>
            <w:tcW w:w="1224" w:type="dxa"/>
            <w:shd w:val="clear" w:color="auto" w:fill="auto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</w:pPr>
            <w:r>
              <w:t>7.2 (в целом)</w:t>
            </w:r>
          </w:p>
        </w:tc>
        <w:tc>
          <w:tcPr>
            <w:tcW w:w="3352" w:type="dxa"/>
            <w:shd w:val="clear" w:color="auto" w:fill="auto"/>
          </w:tcPr>
          <w:p w:rsidR="000F01DF" w:rsidRPr="00470E53" w:rsidRDefault="000F01DF" w:rsidP="004E7681">
            <w:pPr>
              <w:spacing w:before="40" w:after="120" w:line="220" w:lineRule="exact"/>
              <w:ind w:right="113"/>
            </w:pPr>
            <w:r>
              <w:t>Проверить, какие предписания, касающиеся погрузки, перевозки, выгрузки и обработки груза, применимы к перевозке в</w:t>
            </w:r>
            <w:r w:rsidR="004E7681">
              <w:t> </w:t>
            </w:r>
            <w:r>
              <w:t xml:space="preserve">мембранных танках и/или </w:t>
            </w:r>
            <w:r w:rsidR="004E7681">
              <w:br/>
            </w:r>
            <w:r>
              <w:t>подлежат корректировке.</w:t>
            </w:r>
          </w:p>
        </w:tc>
        <w:tc>
          <w:tcPr>
            <w:tcW w:w="2794" w:type="dxa"/>
            <w:shd w:val="clear" w:color="auto" w:fill="auto"/>
          </w:tcPr>
          <w:p w:rsidR="000F01DF" w:rsidRPr="00470E53" w:rsidRDefault="000F01DF" w:rsidP="000F01DF">
            <w:pPr>
              <w:spacing w:before="40" w:after="120" w:line="220" w:lineRule="exact"/>
              <w:ind w:right="113"/>
            </w:pPr>
            <w:r>
              <w:t>Например, условия наполнения.</w:t>
            </w:r>
          </w:p>
        </w:tc>
      </w:tr>
      <w:tr w:rsidR="000F01DF" w:rsidRPr="0011126E" w:rsidTr="00B57A3C">
        <w:tc>
          <w:tcPr>
            <w:tcW w:w="1224" w:type="dxa"/>
            <w:shd w:val="clear" w:color="auto" w:fill="auto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</w:pPr>
            <w:r>
              <w:t>7.2.1.21</w:t>
            </w:r>
          </w:p>
        </w:tc>
        <w:tc>
          <w:tcPr>
            <w:tcW w:w="3352" w:type="dxa"/>
            <w:shd w:val="clear" w:color="auto" w:fill="auto"/>
          </w:tcPr>
          <w:p w:rsidR="000F01DF" w:rsidRPr="00833478" w:rsidRDefault="000F01DF" w:rsidP="000F01DF">
            <w:pPr>
              <w:spacing w:before="40" w:after="120" w:line="220" w:lineRule="exact"/>
              <w:ind w:right="113"/>
            </w:pPr>
            <w:r>
              <w:t xml:space="preserve">Указать, что мембранные танки являются альтернативой только </w:t>
            </w:r>
            <w:r w:rsidR="004E7681">
              <w:br/>
            </w:r>
            <w:r>
              <w:t xml:space="preserve">для некоторых веществ, которые </w:t>
            </w:r>
            <w:r w:rsidR="004E7681">
              <w:br/>
            </w:r>
            <w:r>
              <w:t>в настоящее время перевозятся танкерами типа G.1.1.</w:t>
            </w:r>
          </w:p>
        </w:tc>
        <w:tc>
          <w:tcPr>
            <w:tcW w:w="2794" w:type="dxa"/>
            <w:shd w:val="clear" w:color="auto" w:fill="auto"/>
          </w:tcPr>
          <w:p w:rsidR="000F01DF" w:rsidRPr="00833478" w:rsidRDefault="000F01DF" w:rsidP="000F01DF">
            <w:pPr>
              <w:spacing w:before="40" w:after="120" w:line="220" w:lineRule="exact"/>
              <w:ind w:right="113"/>
            </w:pPr>
          </w:p>
        </w:tc>
      </w:tr>
      <w:tr w:rsidR="000F01DF" w:rsidRPr="0011126E" w:rsidTr="00B57A3C">
        <w:tc>
          <w:tcPr>
            <w:tcW w:w="1224" w:type="dxa"/>
            <w:shd w:val="clear" w:color="auto" w:fill="auto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</w:pPr>
            <w:r>
              <w:t xml:space="preserve">7.2.4.16.16 </w:t>
            </w:r>
          </w:p>
        </w:tc>
        <w:tc>
          <w:tcPr>
            <w:tcW w:w="3352" w:type="dxa"/>
            <w:shd w:val="clear" w:color="auto" w:fill="auto"/>
          </w:tcPr>
          <w:p w:rsidR="000F01DF" w:rsidRPr="00833478" w:rsidRDefault="000F01DF" w:rsidP="000F01DF">
            <w:pPr>
              <w:spacing w:before="40" w:after="120" w:line="220" w:lineRule="exact"/>
              <w:ind w:right="113"/>
            </w:pPr>
            <w:r>
              <w:t>Меры, принимаемые перед погрузкой охлажденных сжиженных газов.</w:t>
            </w:r>
          </w:p>
        </w:tc>
        <w:tc>
          <w:tcPr>
            <w:tcW w:w="2794" w:type="dxa"/>
            <w:shd w:val="clear" w:color="auto" w:fill="auto"/>
          </w:tcPr>
          <w:p w:rsidR="000F01DF" w:rsidRPr="00833478" w:rsidRDefault="000F01DF" w:rsidP="000F01DF">
            <w:pPr>
              <w:spacing w:before="40" w:after="120" w:line="220" w:lineRule="exact"/>
              <w:ind w:right="113"/>
            </w:pPr>
          </w:p>
        </w:tc>
      </w:tr>
      <w:tr w:rsidR="000F01DF" w:rsidRPr="00FF2DB1" w:rsidTr="004E7681">
        <w:tc>
          <w:tcPr>
            <w:tcW w:w="1224" w:type="dxa"/>
            <w:tcBorders>
              <w:bottom w:val="nil"/>
            </w:tcBorders>
            <w:shd w:val="clear" w:color="auto" w:fill="auto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</w:pPr>
            <w:r>
              <w:t>7.2.4.16.17</w:t>
            </w:r>
          </w:p>
        </w:tc>
        <w:tc>
          <w:tcPr>
            <w:tcW w:w="3352" w:type="dxa"/>
            <w:tcBorders>
              <w:bottom w:val="nil"/>
            </w:tcBorders>
            <w:shd w:val="clear" w:color="auto" w:fill="auto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</w:pPr>
            <w:r>
              <w:t>Определение времени удержания.</w:t>
            </w:r>
          </w:p>
        </w:tc>
        <w:tc>
          <w:tcPr>
            <w:tcW w:w="2794" w:type="dxa"/>
            <w:tcBorders>
              <w:bottom w:val="nil"/>
            </w:tcBorders>
            <w:shd w:val="clear" w:color="auto" w:fill="auto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</w:pPr>
          </w:p>
        </w:tc>
      </w:tr>
      <w:tr w:rsidR="000F01DF" w:rsidRPr="0011126E" w:rsidTr="004E7681"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</w:pPr>
            <w:r>
              <w:t>8.2.2.3.3.1</w:t>
            </w:r>
          </w:p>
        </w:tc>
        <w:tc>
          <w:tcPr>
            <w:tcW w:w="3352" w:type="dxa"/>
            <w:tcBorders>
              <w:top w:val="nil"/>
              <w:bottom w:val="nil"/>
            </w:tcBorders>
            <w:shd w:val="clear" w:color="auto" w:fill="auto"/>
          </w:tcPr>
          <w:p w:rsidR="000F01DF" w:rsidRPr="00833478" w:rsidRDefault="000F01DF" w:rsidP="000F01DF">
            <w:pPr>
              <w:spacing w:before="40" w:after="120" w:line="220" w:lineRule="exact"/>
              <w:ind w:right="113"/>
            </w:pPr>
            <w:r>
              <w:t>Добавить к целевым программам специализированных курсов по газам знания о мембранных танках.</w:t>
            </w:r>
          </w:p>
        </w:tc>
        <w:tc>
          <w:tcPr>
            <w:tcW w:w="2794" w:type="dxa"/>
            <w:tcBorders>
              <w:top w:val="nil"/>
              <w:bottom w:val="nil"/>
            </w:tcBorders>
            <w:shd w:val="clear" w:color="auto" w:fill="auto"/>
          </w:tcPr>
          <w:p w:rsidR="000F01DF" w:rsidRPr="00833478" w:rsidRDefault="000F01DF" w:rsidP="000F01DF">
            <w:pPr>
              <w:spacing w:before="40" w:after="120" w:line="220" w:lineRule="exact"/>
              <w:ind w:right="113"/>
            </w:pPr>
          </w:p>
        </w:tc>
      </w:tr>
      <w:tr w:rsidR="000F01DF" w:rsidRPr="0011126E" w:rsidTr="004E7681">
        <w:tc>
          <w:tcPr>
            <w:tcW w:w="1224" w:type="dxa"/>
            <w:tcBorders>
              <w:top w:val="nil"/>
            </w:tcBorders>
            <w:shd w:val="clear" w:color="auto" w:fill="auto"/>
          </w:tcPr>
          <w:p w:rsidR="000F01DF" w:rsidRPr="00FF2DB1" w:rsidRDefault="000F01DF" w:rsidP="0062683A">
            <w:pPr>
              <w:pageBreakBefore/>
              <w:spacing w:before="80" w:after="120" w:line="220" w:lineRule="exact"/>
              <w:ind w:right="113"/>
            </w:pPr>
            <w:r>
              <w:lastRenderedPageBreak/>
              <w:t xml:space="preserve">9.3.1 </w:t>
            </w:r>
            <w:r>
              <w:br/>
              <w:t>(в целом)</w:t>
            </w:r>
          </w:p>
        </w:tc>
        <w:tc>
          <w:tcPr>
            <w:tcW w:w="3352" w:type="dxa"/>
            <w:tcBorders>
              <w:top w:val="nil"/>
            </w:tcBorders>
            <w:shd w:val="clear" w:color="auto" w:fill="auto"/>
          </w:tcPr>
          <w:p w:rsidR="000F01DF" w:rsidRPr="00833478" w:rsidRDefault="000F01DF" w:rsidP="0062683A">
            <w:pPr>
              <w:spacing w:before="80" w:after="120" w:line="220" w:lineRule="exact"/>
              <w:ind w:right="113"/>
            </w:pPr>
            <w:r>
              <w:t>Проверить, какие предписания, касающиеся постройки, требуют внесения поправок для внедрения мембранных танков</w:t>
            </w:r>
            <w:r w:rsidR="004E7681">
              <w:t>.</w:t>
            </w:r>
          </w:p>
        </w:tc>
        <w:tc>
          <w:tcPr>
            <w:tcW w:w="2794" w:type="dxa"/>
            <w:tcBorders>
              <w:top w:val="nil"/>
            </w:tcBorders>
            <w:shd w:val="clear" w:color="auto" w:fill="auto"/>
          </w:tcPr>
          <w:p w:rsidR="000F01DF" w:rsidRPr="00470E53" w:rsidRDefault="000F01DF" w:rsidP="0062683A">
            <w:pPr>
              <w:spacing w:before="80" w:after="120" w:line="220" w:lineRule="exact"/>
              <w:ind w:right="113"/>
            </w:pPr>
            <w:r>
              <w:t>Например, предписания относительно остойчивости, испарения, плескания.</w:t>
            </w:r>
          </w:p>
        </w:tc>
      </w:tr>
      <w:tr w:rsidR="000F01DF" w:rsidRPr="0011126E" w:rsidTr="00B57A3C">
        <w:tc>
          <w:tcPr>
            <w:tcW w:w="1224" w:type="dxa"/>
            <w:shd w:val="clear" w:color="auto" w:fill="auto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</w:pPr>
            <w:r>
              <w:t>9.3.1.0</w:t>
            </w:r>
          </w:p>
        </w:tc>
        <w:tc>
          <w:tcPr>
            <w:tcW w:w="3352" w:type="dxa"/>
            <w:shd w:val="clear" w:color="auto" w:fill="auto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</w:pPr>
            <w:r>
              <w:t>Конструкционные материалы.</w:t>
            </w:r>
          </w:p>
        </w:tc>
        <w:tc>
          <w:tcPr>
            <w:tcW w:w="2794" w:type="dxa"/>
            <w:shd w:val="clear" w:color="auto" w:fill="auto"/>
          </w:tcPr>
          <w:p w:rsidR="000F01DF" w:rsidRPr="00833478" w:rsidRDefault="000F01DF" w:rsidP="000F01DF">
            <w:pPr>
              <w:spacing w:before="40" w:after="120" w:line="220" w:lineRule="exact"/>
              <w:ind w:right="113"/>
            </w:pPr>
            <w:r>
              <w:t xml:space="preserve">Проверить, все ли материалы </w:t>
            </w:r>
            <w:r w:rsidR="004E7681">
              <w:br/>
            </w:r>
            <w:r>
              <w:t>в мембранных танках соответствуют предписаниям ВОПОГ.</w:t>
            </w:r>
          </w:p>
        </w:tc>
      </w:tr>
      <w:tr w:rsidR="000F01DF" w:rsidRPr="0011126E" w:rsidTr="00B57A3C">
        <w:tc>
          <w:tcPr>
            <w:tcW w:w="1224" w:type="dxa"/>
            <w:shd w:val="clear" w:color="auto" w:fill="auto"/>
          </w:tcPr>
          <w:p w:rsidR="000F01DF" w:rsidRPr="00FF2DB1" w:rsidRDefault="000F01DF" w:rsidP="000F01DF">
            <w:pPr>
              <w:spacing w:before="40" w:after="120" w:line="220" w:lineRule="exact"/>
              <w:ind w:right="113"/>
            </w:pPr>
            <w:r>
              <w:t>9.3.1.21</w:t>
            </w:r>
          </w:p>
        </w:tc>
        <w:tc>
          <w:tcPr>
            <w:tcW w:w="3352" w:type="dxa"/>
            <w:shd w:val="clear" w:color="auto" w:fill="auto"/>
          </w:tcPr>
          <w:p w:rsidR="000F01DF" w:rsidRPr="00833478" w:rsidRDefault="000F01DF" w:rsidP="000F01DF">
            <w:pPr>
              <w:spacing w:before="40" w:after="120" w:line="220" w:lineRule="exact"/>
              <w:ind w:right="113"/>
            </w:pPr>
            <w:r>
              <w:t>Аварийное и контрольно-измерительное оборудование.</w:t>
            </w:r>
          </w:p>
        </w:tc>
        <w:tc>
          <w:tcPr>
            <w:tcW w:w="2794" w:type="dxa"/>
            <w:shd w:val="clear" w:color="auto" w:fill="auto"/>
          </w:tcPr>
          <w:p w:rsidR="000F01DF" w:rsidRPr="00833478" w:rsidRDefault="000F01DF" w:rsidP="004E7681">
            <w:pPr>
              <w:spacing w:before="40" w:line="220" w:lineRule="exact"/>
              <w:ind w:right="113"/>
            </w:pPr>
            <w:r>
              <w:t>Проверить, предписаны ли все предметы оборудования для обеспечения безопасности в</w:t>
            </w:r>
            <w:r w:rsidR="004E7681">
              <w:t> </w:t>
            </w:r>
            <w:r>
              <w:t>мембранных танках.</w:t>
            </w:r>
          </w:p>
        </w:tc>
      </w:tr>
      <w:tr w:rsidR="004E7681" w:rsidRPr="0011126E" w:rsidTr="00B57A3C">
        <w:tc>
          <w:tcPr>
            <w:tcW w:w="1224" w:type="dxa"/>
            <w:shd w:val="clear" w:color="auto" w:fill="auto"/>
          </w:tcPr>
          <w:p w:rsidR="004E7681" w:rsidRDefault="004E7681" w:rsidP="004E7681">
            <w:pPr>
              <w:spacing w:before="40" w:after="120" w:line="20" w:lineRule="exact"/>
              <w:ind w:right="113"/>
            </w:pPr>
          </w:p>
        </w:tc>
        <w:tc>
          <w:tcPr>
            <w:tcW w:w="3352" w:type="dxa"/>
            <w:shd w:val="clear" w:color="auto" w:fill="auto"/>
          </w:tcPr>
          <w:p w:rsidR="004E7681" w:rsidRDefault="004E7681" w:rsidP="004E7681">
            <w:pPr>
              <w:spacing w:before="40" w:after="120" w:line="20" w:lineRule="exact"/>
              <w:ind w:right="113"/>
            </w:pPr>
          </w:p>
        </w:tc>
        <w:tc>
          <w:tcPr>
            <w:tcW w:w="2794" w:type="dxa"/>
            <w:shd w:val="clear" w:color="auto" w:fill="auto"/>
          </w:tcPr>
          <w:p w:rsidR="004E7681" w:rsidRDefault="004E7681" w:rsidP="004E7681">
            <w:pPr>
              <w:spacing w:before="40" w:after="120" w:line="20" w:lineRule="exact"/>
              <w:ind w:right="113"/>
            </w:pPr>
          </w:p>
        </w:tc>
      </w:tr>
    </w:tbl>
    <w:p w:rsidR="000F01DF" w:rsidRPr="00833478" w:rsidRDefault="000F01DF" w:rsidP="000F01DF">
      <w:pPr>
        <w:pStyle w:val="SingleTxtG"/>
        <w:spacing w:before="120"/>
        <w:rPr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  <w:t>Комитету по вопросам безопасности ВОПОГ предлагается прокомментировать этот предварительный перечень и добавить в него пункты/вопросы, которые он сочтет уместными. Эти материалы и замечания послужат руководством на следующем этапе работы неофициальной рабочей группы, а именно на этапе подготовки фактических поправок к ВОПОГ 2019 года.</w:t>
      </w:r>
    </w:p>
    <w:p w:rsidR="000F01DF" w:rsidRPr="00833478" w:rsidRDefault="000F01DF" w:rsidP="000F01DF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Прочее</w:t>
      </w:r>
    </w:p>
    <w:p w:rsidR="000F01DF" w:rsidRPr="00967600" w:rsidRDefault="000F01DF" w:rsidP="000F01DF">
      <w:pPr>
        <w:pStyle w:val="SingleTxtG"/>
        <w:rPr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  <w:t>Следующее совещание неофициальной рабочей группы планируется провести в среду 24 апреля и четверг 25 апреля в Париже (Франция). Все другие заинтересованные стороны любезно приглашаются принять в нем участие.</w:t>
      </w:r>
    </w:p>
    <w:p w:rsidR="000F01DF" w:rsidRPr="00967600" w:rsidRDefault="000F01DF" w:rsidP="000F01DF">
      <w:pPr>
        <w:spacing w:before="120"/>
        <w:jc w:val="center"/>
        <w:rPr>
          <w:u w:val="single"/>
        </w:rPr>
      </w:pPr>
      <w:r w:rsidRPr="00967600">
        <w:rPr>
          <w:u w:val="single"/>
        </w:rPr>
        <w:tab/>
      </w:r>
      <w:r w:rsidRPr="00967600">
        <w:rPr>
          <w:u w:val="single"/>
        </w:rPr>
        <w:tab/>
      </w:r>
      <w:r w:rsidRPr="00967600">
        <w:rPr>
          <w:u w:val="single"/>
        </w:rPr>
        <w:tab/>
      </w:r>
    </w:p>
    <w:p w:rsidR="000F01DF" w:rsidRDefault="000F01DF">
      <w:pPr>
        <w:suppressAutoHyphens w:val="0"/>
        <w:spacing w:line="240" w:lineRule="auto"/>
      </w:pPr>
    </w:p>
    <w:sectPr w:rsidR="000F01DF" w:rsidSect="000F01D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A3C" w:rsidRPr="00A312BC" w:rsidRDefault="00B57A3C" w:rsidP="00A312BC"/>
  </w:endnote>
  <w:endnote w:type="continuationSeparator" w:id="0">
    <w:p w:rsidR="00B57A3C" w:rsidRPr="00A312BC" w:rsidRDefault="00B57A3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A3C" w:rsidRPr="000F01DF" w:rsidRDefault="00B57A3C">
    <w:pPr>
      <w:pStyle w:val="Footer"/>
    </w:pPr>
    <w:r w:rsidRPr="000F01DF">
      <w:rPr>
        <w:b/>
        <w:sz w:val="18"/>
      </w:rPr>
      <w:fldChar w:fldCharType="begin"/>
    </w:r>
    <w:r w:rsidRPr="000F01DF">
      <w:rPr>
        <w:b/>
        <w:sz w:val="18"/>
      </w:rPr>
      <w:instrText xml:space="preserve"> PAGE  \* MERGEFORMAT </w:instrText>
    </w:r>
    <w:r w:rsidRPr="000F01DF">
      <w:rPr>
        <w:b/>
        <w:sz w:val="18"/>
      </w:rPr>
      <w:fldChar w:fldCharType="separate"/>
    </w:r>
    <w:r w:rsidR="00116C9F">
      <w:rPr>
        <w:b/>
        <w:noProof/>
        <w:sz w:val="18"/>
      </w:rPr>
      <w:t>8</w:t>
    </w:r>
    <w:r w:rsidRPr="000F01DF">
      <w:rPr>
        <w:b/>
        <w:sz w:val="18"/>
      </w:rPr>
      <w:fldChar w:fldCharType="end"/>
    </w:r>
    <w:r>
      <w:rPr>
        <w:b/>
        <w:sz w:val="18"/>
      </w:rPr>
      <w:tab/>
    </w:r>
    <w:r>
      <w:t>GE.18-18212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A3C" w:rsidRPr="000F01DF" w:rsidRDefault="00B57A3C" w:rsidP="000F01DF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GE.18-18212</w:t>
    </w:r>
    <w:r>
      <w:tab/>
    </w:r>
    <w:r w:rsidRPr="000F01DF">
      <w:rPr>
        <w:b/>
        <w:sz w:val="18"/>
      </w:rPr>
      <w:fldChar w:fldCharType="begin"/>
    </w:r>
    <w:r w:rsidRPr="000F01DF">
      <w:rPr>
        <w:b/>
        <w:sz w:val="18"/>
      </w:rPr>
      <w:instrText xml:space="preserve"> PAGE  \* MERGEFORMAT </w:instrText>
    </w:r>
    <w:r w:rsidRPr="000F01DF">
      <w:rPr>
        <w:b/>
        <w:sz w:val="18"/>
      </w:rPr>
      <w:fldChar w:fldCharType="separate"/>
    </w:r>
    <w:r w:rsidR="00116C9F">
      <w:rPr>
        <w:b/>
        <w:noProof/>
        <w:sz w:val="18"/>
      </w:rPr>
      <w:t>7</w:t>
    </w:r>
    <w:r w:rsidRPr="000F01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A3C" w:rsidRPr="000F01DF" w:rsidRDefault="00B57A3C" w:rsidP="000F01DF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18212  (</w:t>
    </w:r>
    <w:proofErr w:type="gramEnd"/>
    <w:r>
      <w:t>R)</w:t>
    </w:r>
    <w:r>
      <w:rPr>
        <w:lang w:val="en-US"/>
      </w:rPr>
      <w:t xml:space="preserve">  021118  021118</w:t>
    </w:r>
    <w:r>
      <w:br/>
    </w:r>
    <w:r w:rsidRPr="000F01DF">
      <w:rPr>
        <w:rFonts w:ascii="C39T30Lfz" w:hAnsi="C39T30Lfz"/>
        <w:kern w:val="14"/>
        <w:sz w:val="56"/>
      </w:rPr>
      <w:t></w:t>
    </w:r>
    <w:r w:rsidRPr="000F01DF">
      <w:rPr>
        <w:rFonts w:ascii="C39T30Lfz" w:hAnsi="C39T30Lfz"/>
        <w:kern w:val="14"/>
        <w:sz w:val="56"/>
      </w:rPr>
      <w:t></w:t>
    </w:r>
    <w:r w:rsidRPr="000F01DF">
      <w:rPr>
        <w:rFonts w:ascii="C39T30Lfz" w:hAnsi="C39T30Lfz"/>
        <w:kern w:val="14"/>
        <w:sz w:val="56"/>
      </w:rPr>
      <w:t></w:t>
    </w:r>
    <w:r w:rsidRPr="000F01DF">
      <w:rPr>
        <w:rFonts w:ascii="C39T30Lfz" w:hAnsi="C39T30Lfz"/>
        <w:kern w:val="14"/>
        <w:sz w:val="56"/>
      </w:rPr>
      <w:t></w:t>
    </w:r>
    <w:r w:rsidRPr="000F01DF">
      <w:rPr>
        <w:rFonts w:ascii="C39T30Lfz" w:hAnsi="C39T30Lfz"/>
        <w:kern w:val="14"/>
        <w:sz w:val="56"/>
      </w:rPr>
      <w:t></w:t>
    </w:r>
    <w:r w:rsidRPr="000F01DF">
      <w:rPr>
        <w:rFonts w:ascii="C39T30Lfz" w:hAnsi="C39T30Lfz"/>
        <w:kern w:val="14"/>
        <w:sz w:val="56"/>
      </w:rPr>
      <w:t></w:t>
    </w:r>
    <w:r w:rsidRPr="000F01DF">
      <w:rPr>
        <w:rFonts w:ascii="C39T30Lfz" w:hAnsi="C39T30Lfz"/>
        <w:kern w:val="14"/>
        <w:sz w:val="56"/>
      </w:rPr>
      <w:t></w:t>
    </w:r>
    <w:r w:rsidRPr="000F01DF">
      <w:rPr>
        <w:rFonts w:ascii="C39T30Lfz" w:hAnsi="C39T30Lfz"/>
        <w:kern w:val="14"/>
        <w:sz w:val="56"/>
      </w:rPr>
      <w:t></w:t>
    </w:r>
    <w:r w:rsidRPr="000F01D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A3C" w:rsidRPr="001075E9" w:rsidRDefault="00B57A3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7A3C" w:rsidRDefault="00B57A3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57A3C" w:rsidRDefault="00B57A3C" w:rsidP="000F01DF">
      <w:pPr>
        <w:pStyle w:val="FootnoteText"/>
      </w:pPr>
      <w:r>
        <w:tab/>
      </w:r>
      <w:r w:rsidRPr="000F01DF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CCNR/ZKR/ADN/WP.15/AC.2/2019/14.</w:t>
      </w:r>
    </w:p>
  </w:footnote>
  <w:footnote w:id="2">
    <w:p w:rsidR="00B57A3C" w:rsidRDefault="00B57A3C" w:rsidP="000F01DF">
      <w:pPr>
        <w:pStyle w:val="FootnoteText"/>
      </w:pPr>
      <w:r>
        <w:tab/>
      </w:r>
      <w:r w:rsidRPr="000F01DF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2018–2019 годы (ECE/TRANS/2018/21/Add.1 (9.3)).</w:t>
      </w:r>
    </w:p>
  </w:footnote>
  <w:footnote w:id="3">
    <w:p w:rsidR="00B57A3C" w:rsidRPr="00B44F3F" w:rsidRDefault="00B57A3C" w:rsidP="000F01DF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hyperlink r:id="rId1" w:history="1">
        <w:r w:rsidRPr="00F917E3">
          <w:rPr>
            <w:rStyle w:val="Hyperlink"/>
          </w:rPr>
          <w:t>https://www.shell.com/energy-and-innovation/natural-gas/liquefied-natural-gas-lng/lng-outlook/_jcr_content/par/textimage_864093748.stream/1519731114519/890e687a18cdc644e5b80609a8280bc474b0b8806046b6f3ee89bf231f00fa8f/shell-lng-outlook-2018-infographic-download-final.pdf</w:t>
        </w:r>
      </w:hyperlink>
      <w:r>
        <w:t xml:space="preserve">, а также </w:t>
      </w:r>
      <w:hyperlink r:id="rId2" w:history="1">
        <w:r w:rsidRPr="003E0302">
          <w:rPr>
            <w:rStyle w:val="Hyperlink"/>
          </w:rPr>
          <w:t>https://cdn.exxonmobil.com/~/media/global/files/outlook-for-energy/2017/2017-outlook-for-energy.pdf</w:t>
        </w:r>
      </w:hyperlink>
      <w:r w:rsidR="004E7681" w:rsidRPr="004E7681">
        <w:rPr>
          <w:rStyle w:val="Hyperlink"/>
          <w:color w:val="aut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A3C" w:rsidRPr="000F01DF" w:rsidRDefault="000C526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A3C" w:rsidRPr="000F01DF" w:rsidRDefault="000C5266" w:rsidP="000F01D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A48C5"/>
    <w:multiLevelType w:val="hybridMultilevel"/>
    <w:tmpl w:val="EDE293B6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2"/>
  </w:num>
  <w:num w:numId="23">
    <w:abstractNumId w:val="10"/>
    <w:lvlOverride w:ilvl="0">
      <w:lvl w:ilvl="0" w:tplc="0413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21"/>
    <w:rsid w:val="00033EE1"/>
    <w:rsid w:val="00042B72"/>
    <w:rsid w:val="000558BD"/>
    <w:rsid w:val="000B57E7"/>
    <w:rsid w:val="000B6373"/>
    <w:rsid w:val="000C5266"/>
    <w:rsid w:val="000E4E5B"/>
    <w:rsid w:val="000F01DF"/>
    <w:rsid w:val="000F09DF"/>
    <w:rsid w:val="000F61B2"/>
    <w:rsid w:val="001075E9"/>
    <w:rsid w:val="00116C9F"/>
    <w:rsid w:val="0014152F"/>
    <w:rsid w:val="00180183"/>
    <w:rsid w:val="0018024D"/>
    <w:rsid w:val="0018649F"/>
    <w:rsid w:val="00196389"/>
    <w:rsid w:val="001A4A4E"/>
    <w:rsid w:val="001B3EF6"/>
    <w:rsid w:val="001C7A89"/>
    <w:rsid w:val="00255343"/>
    <w:rsid w:val="0027151D"/>
    <w:rsid w:val="002A2EFC"/>
    <w:rsid w:val="002B0106"/>
    <w:rsid w:val="002B74B1"/>
    <w:rsid w:val="002C0E18"/>
    <w:rsid w:val="002C34F0"/>
    <w:rsid w:val="002D5AAC"/>
    <w:rsid w:val="002E5067"/>
    <w:rsid w:val="002F405F"/>
    <w:rsid w:val="002F7EEC"/>
    <w:rsid w:val="00301299"/>
    <w:rsid w:val="00305C08"/>
    <w:rsid w:val="00307FB6"/>
    <w:rsid w:val="003153FF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4E7681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2A79"/>
    <w:rsid w:val="005D7914"/>
    <w:rsid w:val="005E2B41"/>
    <w:rsid w:val="005F0B42"/>
    <w:rsid w:val="00617A43"/>
    <w:rsid w:val="0062683A"/>
    <w:rsid w:val="006345DB"/>
    <w:rsid w:val="00640F49"/>
    <w:rsid w:val="00680D03"/>
    <w:rsid w:val="00681A10"/>
    <w:rsid w:val="006A1ED8"/>
    <w:rsid w:val="006A2534"/>
    <w:rsid w:val="006C2031"/>
    <w:rsid w:val="006D461A"/>
    <w:rsid w:val="006F35EE"/>
    <w:rsid w:val="007021FF"/>
    <w:rsid w:val="00712895"/>
    <w:rsid w:val="00734ACB"/>
    <w:rsid w:val="00757357"/>
    <w:rsid w:val="00780984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7A3C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C6721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B2669"/>
    <w:rsid w:val="00ED0BDA"/>
    <w:rsid w:val="00EE142A"/>
    <w:rsid w:val="00EF1360"/>
    <w:rsid w:val="00EF3220"/>
    <w:rsid w:val="00F0474F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7638FAD-636C-430A-BAC3-9C76F652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0F01DF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rsid w:val="000F01D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0F01D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qFormat/>
    <w:rsid w:val="000F01D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dn.exxonmobil.com/~/media/global/files/outlook-for-energy/2017/2017-outlook-for-energy.pdf" TargetMode="External"/><Relationship Id="rId1" Type="http://schemas.openxmlformats.org/officeDocument/2006/relationships/hyperlink" Target="https://www.shell.com/energy-and-innovation/natural-gas/liquefied-natural-gas-lng/lng-outlook/_jcr_content/par/textimage_864093748.stream/1519731114519/890e687a18cdc644e5b80609a8280bc474b0b8806046b6f3ee89bf231f00fa8f/shell-lng-outlook-2018-infographic-download-fina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978F-5E9F-4798-BE0A-625E9C86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2251</Words>
  <Characters>12837</Characters>
  <Application>Microsoft Office Word</Application>
  <DocSecurity>0</DocSecurity>
  <Lines>106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ECE/TRANS/WP.15/AC.2/2019/14</vt:lpstr>
      <vt:lpstr>ECE/TRANS/WP.15/AC.2/2019/14</vt:lpstr>
      <vt:lpstr>A/</vt:lpstr>
    </vt:vector>
  </TitlesOfParts>
  <Company>DCM</Company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ECE/TRANS/WP.15/AC.2/2019/14</dc:title>
  <dc:subject/>
  <dc:creator>Tatiana SHARKINA</dc:creator>
  <cp:keywords/>
  <cp:lastModifiedBy>Marie-Claude Collet</cp:lastModifiedBy>
  <cp:revision>3</cp:revision>
  <cp:lastPrinted>2018-12-04T08:09:00Z</cp:lastPrinted>
  <dcterms:created xsi:type="dcterms:W3CDTF">2018-12-04T08:09:00Z</dcterms:created>
  <dcterms:modified xsi:type="dcterms:W3CDTF">2018-12-04T08:09:00Z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