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0EFA13" w14:textId="239C924E" w:rsidR="00B65F3A" w:rsidRPr="000974A4" w:rsidRDefault="00B65F3A" w:rsidP="00673C38">
      <w:pPr>
        <w:rPr>
          <w:lang w:val="de-DE"/>
        </w:rPr>
      </w:pPr>
      <w:bookmarkStart w:id="0" w:name="_GoBack"/>
      <w:bookmarkEnd w:id="0"/>
    </w:p>
    <w:p w14:paraId="48A58749" w14:textId="77777777" w:rsidR="00B65F3A" w:rsidRPr="000974A4" w:rsidRDefault="00B65F3A" w:rsidP="00673C38">
      <w:pPr>
        <w:rPr>
          <w:lang w:val="de-DE"/>
        </w:rPr>
      </w:pPr>
    </w:p>
    <w:p w14:paraId="1E2D1E98" w14:textId="18E40E67" w:rsidR="00B65F3A" w:rsidRPr="000974A4" w:rsidRDefault="00B65F3A" w:rsidP="00B65F3A">
      <w:pPr>
        <w:spacing w:line="240" w:lineRule="auto"/>
        <w:ind w:left="5387" w:right="-286"/>
        <w:outlineLvl w:val="0"/>
        <w:rPr>
          <w:rFonts w:ascii="Arial" w:eastAsia="Arial" w:hAnsi="Arial" w:cs="Arial"/>
          <w:bCs/>
          <w:szCs w:val="24"/>
          <w:lang w:val="de-DE" w:eastAsia="de-DE"/>
        </w:rPr>
      </w:pPr>
      <w:r w:rsidRPr="000974A4">
        <w:rPr>
          <w:noProof/>
          <w:lang w:eastAsia="zh-CN"/>
        </w:rPr>
        <w:drawing>
          <wp:anchor distT="0" distB="0" distL="114300" distR="114300" simplePos="0" relativeHeight="251659264" behindDoc="0" locked="0" layoutInCell="1" allowOverlap="1" wp14:anchorId="2867204B" wp14:editId="174EB4B1">
            <wp:simplePos x="0" y="0"/>
            <wp:positionH relativeFrom="column">
              <wp:posOffset>0</wp:posOffset>
            </wp:positionH>
            <wp:positionV relativeFrom="paragraph">
              <wp:posOffset>-68580</wp:posOffset>
            </wp:positionV>
            <wp:extent cx="1713865" cy="604520"/>
            <wp:effectExtent l="0" t="0" r="635" b="5080"/>
            <wp:wrapNone/>
            <wp:docPr id="3"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3865" cy="604520"/>
                    </a:xfrm>
                    <a:prstGeom prst="rect">
                      <a:avLst/>
                    </a:prstGeom>
                    <a:noFill/>
                  </pic:spPr>
                </pic:pic>
              </a:graphicData>
            </a:graphic>
            <wp14:sizeRelH relativeFrom="margin">
              <wp14:pctWidth>0</wp14:pctWidth>
            </wp14:sizeRelH>
            <wp14:sizeRelV relativeFrom="margin">
              <wp14:pctHeight>0</wp14:pctHeight>
            </wp14:sizeRelV>
          </wp:anchor>
        </w:drawing>
      </w:r>
      <w:r w:rsidRPr="000974A4">
        <w:rPr>
          <w:rFonts w:ascii="Arial" w:eastAsia="Arial" w:hAnsi="Arial" w:cs="Arial"/>
          <w:bCs/>
          <w:szCs w:val="24"/>
          <w:lang w:val="de-DE" w:eastAsia="de-DE"/>
        </w:rPr>
        <w:t>CCNR-ZKR/ADN/WP.15/AC.2/70</w:t>
      </w:r>
    </w:p>
    <w:p w14:paraId="43FB6A23" w14:textId="77777777" w:rsidR="00B65F3A" w:rsidRPr="000974A4" w:rsidRDefault="00B65F3A" w:rsidP="00B65F3A">
      <w:pPr>
        <w:spacing w:line="240" w:lineRule="auto"/>
        <w:ind w:left="5387" w:right="-286"/>
        <w:outlineLvl w:val="0"/>
        <w:rPr>
          <w:rFonts w:ascii="Arial" w:hAnsi="Arial" w:cs="Arial"/>
          <w:sz w:val="16"/>
          <w:szCs w:val="24"/>
          <w:lang w:val="de-DE" w:eastAsia="de-DE"/>
        </w:rPr>
      </w:pPr>
      <w:r w:rsidRPr="000974A4">
        <w:rPr>
          <w:rFonts w:ascii="Arial" w:hAnsi="Arial" w:cs="Arial"/>
          <w:sz w:val="16"/>
          <w:szCs w:val="24"/>
          <w:lang w:val="de-DE" w:eastAsia="de-DE"/>
        </w:rPr>
        <w:t>Allgemeine Verteilung</w:t>
      </w:r>
    </w:p>
    <w:p w14:paraId="1F238E0B" w14:textId="6B67F8CE" w:rsidR="00B65F3A" w:rsidRPr="000974A4" w:rsidRDefault="00B65F3A" w:rsidP="00B65F3A">
      <w:pPr>
        <w:tabs>
          <w:tab w:val="right" w:pos="3856"/>
          <w:tab w:val="left" w:pos="5670"/>
        </w:tabs>
        <w:spacing w:line="240" w:lineRule="auto"/>
        <w:ind w:left="5387"/>
        <w:rPr>
          <w:rFonts w:ascii="Arial" w:eastAsia="Arial" w:hAnsi="Arial" w:cs="Arial"/>
          <w:szCs w:val="24"/>
          <w:lang w:val="de-DE" w:eastAsia="de-DE"/>
        </w:rPr>
      </w:pPr>
      <w:r w:rsidRPr="000974A4">
        <w:rPr>
          <w:rFonts w:ascii="Arial" w:eastAsia="Arial" w:hAnsi="Arial" w:cs="Arial"/>
          <w:szCs w:val="24"/>
          <w:lang w:val="de-DE" w:eastAsia="de-DE"/>
        </w:rPr>
        <w:t>8. Februar 2019</w:t>
      </w:r>
    </w:p>
    <w:p w14:paraId="320D00DB" w14:textId="77777777" w:rsidR="00B65F3A" w:rsidRPr="000974A4" w:rsidRDefault="00B65F3A" w:rsidP="00B65F3A">
      <w:pPr>
        <w:tabs>
          <w:tab w:val="right" w:pos="3856"/>
          <w:tab w:val="left" w:pos="5670"/>
        </w:tabs>
        <w:spacing w:line="240" w:lineRule="auto"/>
        <w:ind w:left="5387" w:right="565"/>
        <w:rPr>
          <w:rFonts w:ascii="Arial" w:hAnsi="Arial" w:cs="Arial"/>
          <w:snapToGrid w:val="0"/>
          <w:kern w:val="2"/>
          <w:lang w:val="de-DE" w:eastAsia="de-DE"/>
        </w:rPr>
      </w:pPr>
      <w:proofErr w:type="spellStart"/>
      <w:r w:rsidRPr="000974A4">
        <w:rPr>
          <w:rFonts w:ascii="Arial" w:eastAsia="Arial" w:hAnsi="Arial" w:cs="Arial"/>
          <w:sz w:val="16"/>
          <w:szCs w:val="24"/>
          <w:lang w:val="de-DE" w:eastAsia="de-DE"/>
        </w:rPr>
        <w:t>Or</w:t>
      </w:r>
      <w:proofErr w:type="spellEnd"/>
      <w:r w:rsidRPr="000974A4">
        <w:rPr>
          <w:rFonts w:ascii="Arial" w:eastAsia="Arial" w:hAnsi="Arial" w:cs="Arial"/>
          <w:sz w:val="16"/>
          <w:szCs w:val="24"/>
          <w:lang w:val="de-DE" w:eastAsia="de-DE"/>
        </w:rPr>
        <w:t>.  ENGLISCH</w:t>
      </w:r>
    </w:p>
    <w:p w14:paraId="37E6A8A0" w14:textId="77777777" w:rsidR="00B65F3A" w:rsidRPr="000974A4" w:rsidRDefault="00B65F3A" w:rsidP="00B65F3A">
      <w:pPr>
        <w:spacing w:line="240" w:lineRule="auto"/>
        <w:rPr>
          <w:rFonts w:ascii="Arial" w:hAnsi="Arial" w:cs="Arial"/>
          <w:sz w:val="16"/>
          <w:szCs w:val="24"/>
          <w:lang w:val="de-DE" w:eastAsia="de-DE"/>
        </w:rPr>
      </w:pPr>
    </w:p>
    <w:p w14:paraId="26DFDE83" w14:textId="77777777" w:rsidR="00B65F3A" w:rsidRPr="000974A4" w:rsidRDefault="00B65F3A" w:rsidP="00B65F3A">
      <w:pPr>
        <w:overflowPunct w:val="0"/>
        <w:autoSpaceDE w:val="0"/>
        <w:autoSpaceDN w:val="0"/>
        <w:adjustRightInd w:val="0"/>
        <w:spacing w:line="240" w:lineRule="auto"/>
        <w:ind w:left="4111" w:right="-2"/>
        <w:textAlignment w:val="baseline"/>
        <w:rPr>
          <w:rFonts w:ascii="Arial" w:hAnsi="Arial" w:cs="Arial"/>
          <w:snapToGrid w:val="0"/>
          <w:sz w:val="16"/>
          <w:szCs w:val="16"/>
          <w:lang w:val="de-DE" w:eastAsia="fr-FR"/>
        </w:rPr>
      </w:pPr>
      <w:r w:rsidRPr="000974A4">
        <w:rPr>
          <w:rFonts w:ascii="Arial" w:hAnsi="Arial" w:cs="Arial"/>
          <w:snapToGrid w:val="0"/>
          <w:sz w:val="16"/>
          <w:szCs w:val="16"/>
          <w:lang w:val="de-DE" w:eastAsia="fr-FR"/>
        </w:rPr>
        <w:t>GEMEINSAME EXPERTENTAGUNG FÜR DIE DEM ÜBEREINKOMMEN ÜBER DIE INTERNATIONALE BEFÖRDERUNG VON GEFÄHRLICHEN GÜTERN AUF BINNENWASSERSTRASSEN</w:t>
      </w:r>
    </w:p>
    <w:p w14:paraId="75682001" w14:textId="77777777" w:rsidR="00B65F3A" w:rsidRPr="000974A4" w:rsidRDefault="00B65F3A" w:rsidP="00B65F3A">
      <w:pPr>
        <w:overflowPunct w:val="0"/>
        <w:autoSpaceDE w:val="0"/>
        <w:autoSpaceDN w:val="0"/>
        <w:adjustRightInd w:val="0"/>
        <w:spacing w:line="240" w:lineRule="auto"/>
        <w:ind w:left="4111" w:right="-2"/>
        <w:textAlignment w:val="baseline"/>
        <w:rPr>
          <w:rFonts w:ascii="Arial" w:hAnsi="Arial" w:cs="Arial"/>
          <w:snapToGrid w:val="0"/>
          <w:sz w:val="16"/>
          <w:szCs w:val="16"/>
          <w:lang w:val="de-DE" w:eastAsia="fr-FR"/>
        </w:rPr>
      </w:pPr>
      <w:r w:rsidRPr="000974A4">
        <w:rPr>
          <w:rFonts w:ascii="Arial" w:hAnsi="Arial" w:cs="Arial"/>
          <w:snapToGrid w:val="0"/>
          <w:sz w:val="16"/>
          <w:szCs w:val="16"/>
          <w:lang w:val="de-DE" w:eastAsia="fr-FR"/>
        </w:rPr>
        <w:t>BEIGEFÜGTE VERORDNUNG (ADN)</w:t>
      </w:r>
    </w:p>
    <w:p w14:paraId="36A0AD17" w14:textId="77777777" w:rsidR="00B65F3A" w:rsidRPr="000974A4" w:rsidRDefault="00B65F3A" w:rsidP="00B65F3A">
      <w:pPr>
        <w:tabs>
          <w:tab w:val="left" w:pos="2977"/>
        </w:tabs>
        <w:spacing w:line="240" w:lineRule="auto"/>
        <w:ind w:left="4111" w:right="-2"/>
        <w:rPr>
          <w:rFonts w:ascii="Arial" w:hAnsi="Arial" w:cs="Arial"/>
          <w:snapToGrid w:val="0"/>
          <w:sz w:val="16"/>
          <w:szCs w:val="16"/>
          <w:lang w:val="de-DE" w:eastAsia="fr-FR"/>
        </w:rPr>
      </w:pPr>
      <w:r w:rsidRPr="000974A4">
        <w:rPr>
          <w:rFonts w:ascii="Arial" w:hAnsi="Arial" w:cs="Arial"/>
          <w:snapToGrid w:val="0"/>
          <w:sz w:val="16"/>
          <w:szCs w:val="16"/>
          <w:lang w:val="de-DE" w:eastAsia="fr-FR"/>
        </w:rPr>
        <w:t>(SICHERHEITSAUSSCHUSS)</w:t>
      </w:r>
    </w:p>
    <w:p w14:paraId="4D1D2665" w14:textId="27AE5941" w:rsidR="00B65F3A" w:rsidRPr="000974A4" w:rsidRDefault="00B65F3A" w:rsidP="00B65F3A">
      <w:pPr>
        <w:tabs>
          <w:tab w:val="left" w:pos="2977"/>
        </w:tabs>
        <w:spacing w:line="240" w:lineRule="auto"/>
        <w:ind w:left="4111" w:right="-2"/>
        <w:rPr>
          <w:rFonts w:ascii="Arial" w:hAnsi="Arial" w:cs="Arial"/>
          <w:snapToGrid w:val="0"/>
          <w:sz w:val="16"/>
          <w:szCs w:val="16"/>
          <w:lang w:val="de-DE" w:eastAsia="fr-FR"/>
        </w:rPr>
      </w:pPr>
      <w:r w:rsidRPr="000974A4">
        <w:rPr>
          <w:rFonts w:ascii="Arial" w:hAnsi="Arial" w:cs="Arial"/>
          <w:snapToGrid w:val="0"/>
          <w:sz w:val="16"/>
          <w:szCs w:val="16"/>
          <w:lang w:val="de-DE" w:eastAsia="fr-FR"/>
        </w:rPr>
        <w:t xml:space="preserve">(34. Tagung, Genf, 21. bis 25 </w:t>
      </w:r>
      <w:proofErr w:type="spellStart"/>
      <w:r w:rsidRPr="000974A4">
        <w:rPr>
          <w:rFonts w:ascii="Arial" w:hAnsi="Arial" w:cs="Arial"/>
          <w:snapToGrid w:val="0"/>
          <w:sz w:val="16"/>
          <w:szCs w:val="16"/>
          <w:lang w:val="de-DE" w:eastAsia="fr-FR"/>
        </w:rPr>
        <w:t>January</w:t>
      </w:r>
      <w:proofErr w:type="spellEnd"/>
      <w:r w:rsidRPr="000974A4">
        <w:rPr>
          <w:rFonts w:ascii="Arial" w:hAnsi="Arial" w:cs="Arial"/>
          <w:snapToGrid w:val="0"/>
          <w:sz w:val="16"/>
          <w:szCs w:val="16"/>
          <w:lang w:val="de-DE" w:eastAsia="fr-FR"/>
        </w:rPr>
        <w:t xml:space="preserve"> 2019)</w:t>
      </w:r>
    </w:p>
    <w:p w14:paraId="20209EB9" w14:textId="77777777" w:rsidR="00673C38" w:rsidRPr="000974A4" w:rsidRDefault="00673C38" w:rsidP="00673C38">
      <w:pPr>
        <w:rPr>
          <w:lang w:val="de-DE"/>
        </w:rPr>
      </w:pPr>
    </w:p>
    <w:p w14:paraId="1E75E258" w14:textId="60031587" w:rsidR="004A2B9E" w:rsidRPr="000974A4" w:rsidRDefault="00673C38" w:rsidP="0083790C">
      <w:pPr>
        <w:pStyle w:val="HChG"/>
        <w:spacing w:before="300"/>
        <w:rPr>
          <w:szCs w:val="28"/>
          <w:lang w:val="de-DE"/>
        </w:rPr>
      </w:pPr>
      <w:r w:rsidRPr="000974A4">
        <w:rPr>
          <w:lang w:val="de-DE"/>
        </w:rPr>
        <w:tab/>
      </w:r>
      <w:bookmarkStart w:id="1" w:name="_Toc410743246"/>
      <w:bookmarkStart w:id="2" w:name="_Toc428948781"/>
      <w:bookmarkStart w:id="3" w:name="_Toc442372095"/>
      <w:bookmarkStart w:id="4" w:name="_Toc505688398"/>
      <w:r w:rsidRPr="000974A4">
        <w:rPr>
          <w:lang w:val="de-DE"/>
        </w:rPr>
        <w:tab/>
      </w:r>
      <w:bookmarkEnd w:id="1"/>
      <w:bookmarkEnd w:id="2"/>
      <w:bookmarkEnd w:id="3"/>
      <w:bookmarkEnd w:id="4"/>
      <w:r w:rsidR="0083790C" w:rsidRPr="000974A4">
        <w:rPr>
          <w:lang w:val="de-DE"/>
        </w:rPr>
        <w:t>Protokoll über die vierunddreißigste Sitzung der Gemeinsamen Expertentagung für die dem Europäischen Übereinkommen über die internationale Beförderung von gefährlichen Gütern auf Binnenwasserstraßen beigefügte Verordnung (ADN-Sicherheitsausschuss)</w:t>
      </w:r>
      <w:r w:rsidR="0083790C" w:rsidRPr="000974A4">
        <w:rPr>
          <w:rStyle w:val="FootnoteReference"/>
          <w:szCs w:val="28"/>
          <w:lang w:val="de-DE"/>
        </w:rPr>
        <w:t xml:space="preserve"> </w:t>
      </w:r>
      <w:r w:rsidR="0083790C" w:rsidRPr="000974A4">
        <w:rPr>
          <w:rStyle w:val="FootnoteReference"/>
          <w:szCs w:val="28"/>
          <w:lang w:val="de-DE"/>
        </w:rPr>
        <w:footnoteReference w:customMarkFollows="1" w:id="1"/>
        <w:sym w:font="Symbol" w:char="F02A"/>
      </w:r>
    </w:p>
    <w:p w14:paraId="2E0F7152" w14:textId="77777777" w:rsidR="004A2B9E" w:rsidRPr="000974A4" w:rsidRDefault="004A2B9E">
      <w:pPr>
        <w:suppressAutoHyphens w:val="0"/>
        <w:spacing w:line="240" w:lineRule="auto"/>
        <w:rPr>
          <w:b/>
          <w:sz w:val="28"/>
          <w:szCs w:val="28"/>
          <w:lang w:val="de-DE"/>
        </w:rPr>
      </w:pPr>
      <w:r w:rsidRPr="000974A4">
        <w:rPr>
          <w:szCs w:val="28"/>
          <w:lang w:val="de-DE"/>
        </w:rPr>
        <w:br w:type="page"/>
      </w:r>
    </w:p>
    <w:p w14:paraId="5FEF9E6C" w14:textId="0D06276C" w:rsidR="00DD396E" w:rsidRPr="000974A4" w:rsidRDefault="00673C38" w:rsidP="0083790C">
      <w:pPr>
        <w:pStyle w:val="HChG"/>
        <w:spacing w:before="120" w:after="0"/>
        <w:rPr>
          <w:lang w:val="de-DE"/>
        </w:rPr>
      </w:pPr>
      <w:r w:rsidRPr="000974A4">
        <w:rPr>
          <w:lang w:val="de-DE"/>
        </w:rPr>
        <w:lastRenderedPageBreak/>
        <w:tab/>
      </w:r>
      <w:r w:rsidR="0083790C" w:rsidRPr="000974A4">
        <w:rPr>
          <w:lang w:val="de-DE"/>
        </w:rPr>
        <w:t>Inhalt</w:t>
      </w:r>
    </w:p>
    <w:p w14:paraId="069D8B66" w14:textId="7974B982" w:rsidR="00295597" w:rsidRPr="000974A4" w:rsidRDefault="00295597" w:rsidP="0083790C">
      <w:pPr>
        <w:tabs>
          <w:tab w:val="right" w:pos="8929"/>
          <w:tab w:val="right" w:pos="9638"/>
        </w:tabs>
        <w:spacing w:after="120"/>
        <w:ind w:left="283"/>
        <w:rPr>
          <w:sz w:val="18"/>
          <w:lang w:val="de-DE"/>
        </w:rPr>
      </w:pPr>
      <w:r w:rsidRPr="000974A4">
        <w:rPr>
          <w:i/>
          <w:sz w:val="18"/>
          <w:lang w:val="de-DE"/>
        </w:rPr>
        <w:tab/>
      </w:r>
      <w:r w:rsidR="0083790C" w:rsidRPr="000974A4">
        <w:rPr>
          <w:i/>
          <w:sz w:val="18"/>
          <w:lang w:val="de-DE"/>
        </w:rPr>
        <w:t>Absätze</w:t>
      </w:r>
      <w:r w:rsidRPr="000974A4">
        <w:rPr>
          <w:i/>
          <w:sz w:val="18"/>
          <w:lang w:val="de-DE"/>
        </w:rPr>
        <w:tab/>
      </w:r>
      <w:r w:rsidR="0083790C" w:rsidRPr="000974A4">
        <w:rPr>
          <w:i/>
          <w:sz w:val="18"/>
          <w:lang w:val="de-DE"/>
        </w:rPr>
        <w:t>Seite</w:t>
      </w:r>
    </w:p>
    <w:p w14:paraId="64F98CB0" w14:textId="79A56D37" w:rsidR="00295597" w:rsidRPr="000974A4" w:rsidRDefault="00295597" w:rsidP="0083790C">
      <w:pPr>
        <w:tabs>
          <w:tab w:val="right" w:pos="850"/>
          <w:tab w:val="left" w:pos="1134"/>
          <w:tab w:val="left" w:pos="1559"/>
          <w:tab w:val="left" w:pos="1984"/>
          <w:tab w:val="left" w:leader="dot" w:pos="8080"/>
          <w:tab w:val="right" w:pos="8929"/>
          <w:tab w:val="right" w:pos="9638"/>
        </w:tabs>
        <w:spacing w:after="120" w:line="220" w:lineRule="atLeast"/>
        <w:ind w:left="1134" w:hanging="1134"/>
        <w:rPr>
          <w:noProof/>
          <w:lang w:val="de-DE"/>
        </w:rPr>
      </w:pPr>
      <w:r w:rsidRPr="000974A4">
        <w:rPr>
          <w:rStyle w:val="Hyperlink"/>
          <w:noProof/>
          <w:lang w:val="de-DE"/>
        </w:rPr>
        <w:tab/>
      </w:r>
      <w:r w:rsidR="0083790C" w:rsidRPr="000974A4">
        <w:rPr>
          <w:rStyle w:val="Hyperlink"/>
          <w:lang w:val="de-DE"/>
        </w:rPr>
        <w:t>I.</w:t>
      </w:r>
      <w:r w:rsidRPr="000974A4">
        <w:rPr>
          <w:noProof/>
          <w:lang w:val="de-DE"/>
        </w:rPr>
        <w:tab/>
      </w:r>
      <w:r w:rsidR="0083790C" w:rsidRPr="000974A4">
        <w:rPr>
          <w:lang w:val="de-DE"/>
        </w:rPr>
        <w:t>Teilnehmer</w:t>
      </w:r>
      <w:r w:rsidRPr="000974A4">
        <w:rPr>
          <w:noProof/>
          <w:webHidden/>
          <w:lang w:val="de-DE"/>
        </w:rPr>
        <w:tab/>
      </w:r>
      <w:r w:rsidRPr="000974A4">
        <w:rPr>
          <w:noProof/>
          <w:webHidden/>
          <w:lang w:val="de-DE"/>
        </w:rPr>
        <w:tab/>
      </w:r>
      <w:r w:rsidR="00F83563" w:rsidRPr="000974A4">
        <w:rPr>
          <w:noProof/>
          <w:webHidden/>
          <w:lang w:val="de-DE"/>
        </w:rPr>
        <w:t>1-4</w:t>
      </w:r>
      <w:r w:rsidR="00F83563" w:rsidRPr="000974A4">
        <w:rPr>
          <w:noProof/>
          <w:webHidden/>
          <w:lang w:val="de-DE"/>
        </w:rPr>
        <w:tab/>
      </w:r>
      <w:r w:rsidR="00A46BD8" w:rsidRPr="000974A4">
        <w:rPr>
          <w:noProof/>
          <w:webHidden/>
          <w:lang w:val="de-DE"/>
        </w:rPr>
        <w:t>4</w:t>
      </w:r>
    </w:p>
    <w:p w14:paraId="54972476" w14:textId="23BF8D84" w:rsidR="00295597" w:rsidRPr="000974A4" w:rsidRDefault="00295597" w:rsidP="0083790C">
      <w:pPr>
        <w:tabs>
          <w:tab w:val="right" w:pos="850"/>
          <w:tab w:val="left" w:pos="1134"/>
          <w:tab w:val="left" w:pos="1559"/>
          <w:tab w:val="left" w:pos="1984"/>
          <w:tab w:val="left" w:leader="dot" w:pos="8080"/>
          <w:tab w:val="right" w:pos="8929"/>
          <w:tab w:val="right" w:pos="9638"/>
        </w:tabs>
        <w:spacing w:after="120" w:line="220" w:lineRule="atLeast"/>
        <w:ind w:left="1134" w:hanging="1134"/>
        <w:rPr>
          <w:noProof/>
          <w:webHidden/>
          <w:lang w:val="de-DE"/>
        </w:rPr>
      </w:pPr>
      <w:r w:rsidRPr="000974A4">
        <w:rPr>
          <w:rStyle w:val="Hyperlink"/>
          <w:noProof/>
          <w:lang w:val="de-DE"/>
        </w:rPr>
        <w:tab/>
      </w:r>
      <w:r w:rsidR="0083790C" w:rsidRPr="000974A4">
        <w:rPr>
          <w:rStyle w:val="Hyperlink"/>
          <w:lang w:val="de-DE"/>
        </w:rPr>
        <w:t>II.</w:t>
      </w:r>
      <w:r w:rsidRPr="000974A4">
        <w:rPr>
          <w:noProof/>
          <w:lang w:val="de-DE"/>
        </w:rPr>
        <w:tab/>
      </w:r>
      <w:r w:rsidR="0083790C" w:rsidRPr="000974A4">
        <w:rPr>
          <w:lang w:val="de-DE"/>
        </w:rPr>
        <w:t>Genehmigung der Tagesordnung (TOP 1)</w:t>
      </w:r>
      <w:r w:rsidRPr="000974A4">
        <w:rPr>
          <w:noProof/>
          <w:webHidden/>
          <w:lang w:val="de-DE"/>
        </w:rPr>
        <w:tab/>
      </w:r>
      <w:r w:rsidRPr="000974A4">
        <w:rPr>
          <w:noProof/>
          <w:webHidden/>
          <w:lang w:val="de-DE"/>
        </w:rPr>
        <w:tab/>
      </w:r>
      <w:r w:rsidR="00A46BD8" w:rsidRPr="000974A4">
        <w:rPr>
          <w:noProof/>
          <w:webHidden/>
          <w:lang w:val="de-DE"/>
        </w:rPr>
        <w:t>5</w:t>
      </w:r>
      <w:r w:rsidR="00A46BD8" w:rsidRPr="000974A4">
        <w:rPr>
          <w:noProof/>
          <w:webHidden/>
          <w:lang w:val="de-DE"/>
        </w:rPr>
        <w:tab/>
        <w:t>4</w:t>
      </w:r>
    </w:p>
    <w:p w14:paraId="455EAB9E" w14:textId="7DDFD3B7" w:rsidR="00295597" w:rsidRPr="000974A4" w:rsidRDefault="00295597" w:rsidP="0083790C">
      <w:pPr>
        <w:tabs>
          <w:tab w:val="right" w:pos="851"/>
          <w:tab w:val="left" w:pos="1134"/>
          <w:tab w:val="left" w:pos="1559"/>
          <w:tab w:val="left" w:pos="1984"/>
          <w:tab w:val="left" w:leader="dot" w:pos="8080"/>
          <w:tab w:val="right" w:pos="8929"/>
          <w:tab w:val="right" w:pos="9638"/>
        </w:tabs>
        <w:spacing w:after="120" w:line="220" w:lineRule="atLeast"/>
        <w:ind w:left="1134" w:hanging="1134"/>
        <w:rPr>
          <w:rStyle w:val="Hyperlink"/>
          <w:noProof/>
          <w:lang w:val="de-DE"/>
        </w:rPr>
      </w:pPr>
      <w:r w:rsidRPr="000974A4">
        <w:rPr>
          <w:rStyle w:val="Hyperlink"/>
          <w:webHidden/>
          <w:lang w:val="de-DE"/>
        </w:rPr>
        <w:tab/>
      </w:r>
      <w:r w:rsidR="0083790C" w:rsidRPr="000974A4">
        <w:rPr>
          <w:rStyle w:val="Hyperlink"/>
          <w:webHidden/>
          <w:lang w:val="de-DE"/>
        </w:rPr>
        <w:t>III.</w:t>
      </w:r>
      <w:r w:rsidRPr="000974A4">
        <w:rPr>
          <w:rStyle w:val="Hyperlink"/>
          <w:webHidden/>
          <w:lang w:val="de-DE"/>
        </w:rPr>
        <w:tab/>
      </w:r>
      <w:r w:rsidR="0083790C" w:rsidRPr="000974A4">
        <w:rPr>
          <w:rStyle w:val="Hyperlink"/>
          <w:lang w:val="de-DE"/>
        </w:rPr>
        <w:t>Wahl des Büros für 2019 (TOP 2)</w:t>
      </w:r>
      <w:r w:rsidRPr="000974A4">
        <w:rPr>
          <w:rStyle w:val="Hyperlink"/>
          <w:noProof/>
          <w:lang w:val="de-DE"/>
        </w:rPr>
        <w:tab/>
      </w:r>
      <w:r w:rsidRPr="000974A4">
        <w:rPr>
          <w:rStyle w:val="Hyperlink"/>
          <w:noProof/>
          <w:lang w:val="de-DE"/>
        </w:rPr>
        <w:tab/>
      </w:r>
      <w:r w:rsidR="00A46BD8" w:rsidRPr="000974A4">
        <w:rPr>
          <w:rStyle w:val="Hyperlink"/>
          <w:noProof/>
          <w:lang w:val="de-DE"/>
        </w:rPr>
        <w:t>6</w:t>
      </w:r>
      <w:r w:rsidR="00A46BD8" w:rsidRPr="000974A4">
        <w:rPr>
          <w:rStyle w:val="Hyperlink"/>
          <w:noProof/>
          <w:lang w:val="de-DE"/>
        </w:rPr>
        <w:tab/>
        <w:t>4</w:t>
      </w:r>
    </w:p>
    <w:p w14:paraId="5BEAA3B0" w14:textId="22BE6CAC" w:rsidR="00295597" w:rsidRPr="000974A4" w:rsidRDefault="00295597" w:rsidP="0083790C">
      <w:pPr>
        <w:tabs>
          <w:tab w:val="right" w:pos="851"/>
          <w:tab w:val="left" w:pos="1134"/>
          <w:tab w:val="left" w:pos="1984"/>
          <w:tab w:val="left" w:leader="dot" w:pos="8080"/>
          <w:tab w:val="right" w:pos="8929"/>
          <w:tab w:val="right" w:pos="9638"/>
        </w:tabs>
        <w:spacing w:after="120" w:line="220" w:lineRule="atLeast"/>
        <w:ind w:left="1134" w:hanging="1559"/>
        <w:rPr>
          <w:rStyle w:val="Hyperlink"/>
          <w:lang w:val="de-DE"/>
        </w:rPr>
      </w:pPr>
      <w:r w:rsidRPr="000974A4">
        <w:rPr>
          <w:rStyle w:val="Hyperlink"/>
          <w:lang w:val="de-DE"/>
        </w:rPr>
        <w:tab/>
      </w:r>
      <w:r w:rsidR="0083790C" w:rsidRPr="000974A4">
        <w:rPr>
          <w:rStyle w:val="Hyperlink"/>
          <w:lang w:val="de-DE"/>
        </w:rPr>
        <w:t>IV.</w:t>
      </w:r>
      <w:r w:rsidRPr="000974A4">
        <w:rPr>
          <w:rStyle w:val="Hyperlink"/>
          <w:lang w:val="de-DE"/>
        </w:rPr>
        <w:tab/>
      </w:r>
      <w:r w:rsidR="0083790C" w:rsidRPr="000974A4">
        <w:rPr>
          <w:rStyle w:val="Hyperlink"/>
          <w:lang w:val="de-DE"/>
        </w:rPr>
        <w:t>Fragen im Zusammenhang mit den Arbeiten der Organe der Vereinten Nationen oder anderer Organisationen (TOP 3)</w:t>
      </w:r>
      <w:r w:rsidRPr="000974A4">
        <w:rPr>
          <w:rStyle w:val="Hyperlink"/>
          <w:lang w:val="de-DE"/>
        </w:rPr>
        <w:tab/>
      </w:r>
      <w:r w:rsidRPr="000974A4">
        <w:rPr>
          <w:rStyle w:val="Hyperlink"/>
          <w:lang w:val="de-DE"/>
        </w:rPr>
        <w:tab/>
      </w:r>
      <w:r w:rsidR="00A46BD8" w:rsidRPr="000974A4">
        <w:rPr>
          <w:rStyle w:val="Hyperlink"/>
          <w:lang w:val="de-DE"/>
        </w:rPr>
        <w:t>7-10</w:t>
      </w:r>
      <w:r w:rsidR="00A46BD8" w:rsidRPr="000974A4">
        <w:rPr>
          <w:rStyle w:val="Hyperlink"/>
          <w:lang w:val="de-DE"/>
        </w:rPr>
        <w:tab/>
        <w:t>4</w:t>
      </w:r>
    </w:p>
    <w:p w14:paraId="5396883A" w14:textId="0B4E2880" w:rsidR="00295597" w:rsidRPr="000974A4" w:rsidRDefault="00295597" w:rsidP="0083790C">
      <w:pPr>
        <w:tabs>
          <w:tab w:val="right" w:pos="851"/>
          <w:tab w:val="left" w:pos="1134"/>
          <w:tab w:val="left" w:pos="1559"/>
          <w:tab w:val="left" w:pos="1984"/>
          <w:tab w:val="left" w:leader="dot" w:pos="8080"/>
          <w:tab w:val="right" w:pos="8929"/>
          <w:tab w:val="right" w:pos="9638"/>
        </w:tabs>
        <w:spacing w:after="120" w:line="220" w:lineRule="atLeast"/>
        <w:ind w:left="1559" w:hanging="1559"/>
        <w:rPr>
          <w:rStyle w:val="Hyperlink"/>
          <w:lang w:val="de-DE"/>
        </w:rPr>
      </w:pPr>
      <w:r w:rsidRPr="000974A4">
        <w:rPr>
          <w:rStyle w:val="Hyperlink"/>
          <w:lang w:val="de-DE"/>
        </w:rPr>
        <w:tab/>
      </w:r>
      <w:r w:rsidRPr="000974A4">
        <w:rPr>
          <w:rStyle w:val="Hyperlink"/>
          <w:lang w:val="de-DE"/>
        </w:rPr>
        <w:tab/>
      </w:r>
      <w:r w:rsidR="0083790C" w:rsidRPr="000974A4">
        <w:rPr>
          <w:rStyle w:val="Hyperlink"/>
          <w:lang w:val="de-DE"/>
        </w:rPr>
        <w:t>A.</w:t>
      </w:r>
      <w:r w:rsidRPr="000974A4">
        <w:rPr>
          <w:rStyle w:val="Hyperlink"/>
          <w:lang w:val="de-DE"/>
        </w:rPr>
        <w:tab/>
      </w:r>
      <w:r w:rsidR="0083790C" w:rsidRPr="000974A4">
        <w:rPr>
          <w:rStyle w:val="Hyperlink"/>
          <w:lang w:val="de-DE"/>
        </w:rPr>
        <w:t>Strategie der Europäischen Union für den Donauraum (EUSDR)</w:t>
      </w:r>
      <w:r w:rsidRPr="000974A4">
        <w:rPr>
          <w:rStyle w:val="Hyperlink"/>
          <w:lang w:val="de-DE"/>
        </w:rPr>
        <w:t xml:space="preserve"> </w:t>
      </w:r>
      <w:r w:rsidRPr="000974A4">
        <w:rPr>
          <w:rStyle w:val="Hyperlink"/>
          <w:lang w:val="de-DE"/>
        </w:rPr>
        <w:br/>
      </w:r>
      <w:r w:rsidR="0083790C" w:rsidRPr="000974A4">
        <w:rPr>
          <w:rStyle w:val="Hyperlink"/>
          <w:lang w:val="de-DE"/>
        </w:rPr>
        <w:t>Arbeit in den Prioritätsbereichen 1A und 11</w:t>
      </w:r>
      <w:r w:rsidRPr="000974A4">
        <w:rPr>
          <w:rStyle w:val="Hyperlink"/>
          <w:lang w:val="de-DE"/>
        </w:rPr>
        <w:tab/>
      </w:r>
      <w:r w:rsidRPr="000974A4">
        <w:rPr>
          <w:rStyle w:val="Hyperlink"/>
          <w:lang w:val="de-DE"/>
        </w:rPr>
        <w:tab/>
      </w:r>
      <w:r w:rsidR="00A46BD8" w:rsidRPr="000974A4">
        <w:rPr>
          <w:rStyle w:val="Hyperlink"/>
          <w:lang w:val="de-DE"/>
        </w:rPr>
        <w:t>7-9</w:t>
      </w:r>
      <w:r w:rsidR="00A46BD8" w:rsidRPr="000974A4">
        <w:rPr>
          <w:rStyle w:val="Hyperlink"/>
          <w:lang w:val="de-DE"/>
        </w:rPr>
        <w:tab/>
        <w:t>4</w:t>
      </w:r>
    </w:p>
    <w:p w14:paraId="50F50B7C" w14:textId="179B77A3" w:rsidR="00295597" w:rsidRPr="000974A4" w:rsidRDefault="00295597" w:rsidP="0083790C">
      <w:pPr>
        <w:tabs>
          <w:tab w:val="right" w:pos="851"/>
          <w:tab w:val="left" w:pos="1134"/>
          <w:tab w:val="left" w:pos="1559"/>
          <w:tab w:val="left" w:pos="1984"/>
          <w:tab w:val="left" w:leader="dot" w:pos="8080"/>
          <w:tab w:val="right" w:pos="8929"/>
          <w:tab w:val="right" w:pos="9638"/>
        </w:tabs>
        <w:spacing w:after="120" w:line="220" w:lineRule="atLeast"/>
        <w:ind w:left="1559" w:hanging="1559"/>
        <w:rPr>
          <w:rStyle w:val="Hyperlink"/>
          <w:lang w:val="de-DE"/>
        </w:rPr>
      </w:pPr>
      <w:r w:rsidRPr="000974A4">
        <w:rPr>
          <w:rStyle w:val="Hyperlink"/>
          <w:lang w:val="de-DE"/>
        </w:rPr>
        <w:tab/>
      </w:r>
      <w:r w:rsidRPr="000974A4">
        <w:rPr>
          <w:rStyle w:val="Hyperlink"/>
          <w:lang w:val="de-DE"/>
        </w:rPr>
        <w:tab/>
      </w:r>
      <w:r w:rsidR="0083790C" w:rsidRPr="000974A4">
        <w:rPr>
          <w:rStyle w:val="Hyperlink"/>
          <w:lang w:val="de-DE"/>
        </w:rPr>
        <w:t>B.</w:t>
      </w:r>
      <w:r w:rsidRPr="000974A4">
        <w:rPr>
          <w:rStyle w:val="Hyperlink"/>
          <w:lang w:val="de-DE"/>
        </w:rPr>
        <w:tab/>
      </w:r>
      <w:r w:rsidR="0083790C" w:rsidRPr="000974A4">
        <w:rPr>
          <w:rStyle w:val="Hyperlink"/>
          <w:lang w:val="de-DE"/>
        </w:rPr>
        <w:t>Arbeiten des Binnenverkehrsausschusses</w:t>
      </w:r>
      <w:r w:rsidRPr="000974A4">
        <w:rPr>
          <w:rStyle w:val="Hyperlink"/>
          <w:lang w:val="de-DE"/>
        </w:rPr>
        <w:tab/>
      </w:r>
      <w:r w:rsidRPr="000974A4">
        <w:rPr>
          <w:rStyle w:val="Hyperlink"/>
          <w:lang w:val="de-DE"/>
        </w:rPr>
        <w:tab/>
      </w:r>
      <w:r w:rsidR="00A46BD8" w:rsidRPr="000974A4">
        <w:rPr>
          <w:rStyle w:val="Hyperlink"/>
          <w:lang w:val="de-DE"/>
        </w:rPr>
        <w:t>10</w:t>
      </w:r>
      <w:r w:rsidR="00A46BD8" w:rsidRPr="000974A4">
        <w:rPr>
          <w:rStyle w:val="Hyperlink"/>
          <w:lang w:val="de-DE"/>
        </w:rPr>
        <w:tab/>
        <w:t>5</w:t>
      </w:r>
    </w:p>
    <w:p w14:paraId="63C67BE5" w14:textId="7BF2D719" w:rsidR="00295597" w:rsidRPr="000974A4" w:rsidRDefault="00295597" w:rsidP="0083790C">
      <w:pPr>
        <w:tabs>
          <w:tab w:val="right" w:pos="851"/>
          <w:tab w:val="left" w:pos="1134"/>
          <w:tab w:val="left" w:pos="1984"/>
          <w:tab w:val="left" w:leader="dot" w:pos="8080"/>
          <w:tab w:val="right" w:pos="8929"/>
          <w:tab w:val="right" w:pos="9638"/>
        </w:tabs>
        <w:spacing w:after="120" w:line="220" w:lineRule="atLeast"/>
        <w:ind w:left="1134" w:hanging="1559"/>
        <w:rPr>
          <w:rStyle w:val="Hyperlink"/>
          <w:lang w:val="de-DE"/>
        </w:rPr>
      </w:pPr>
      <w:r w:rsidRPr="000974A4">
        <w:rPr>
          <w:rStyle w:val="Hyperlink"/>
          <w:lang w:val="de-DE"/>
        </w:rPr>
        <w:tab/>
      </w:r>
      <w:r w:rsidR="0083790C" w:rsidRPr="000974A4">
        <w:rPr>
          <w:rStyle w:val="Hyperlink"/>
          <w:lang w:val="de-DE"/>
        </w:rPr>
        <w:t>V.</w:t>
      </w:r>
      <w:r w:rsidRPr="000974A4">
        <w:rPr>
          <w:rStyle w:val="Hyperlink"/>
          <w:lang w:val="de-DE"/>
        </w:rPr>
        <w:tab/>
      </w:r>
      <w:r w:rsidR="0083790C" w:rsidRPr="000974A4">
        <w:rPr>
          <w:rStyle w:val="Hyperlink"/>
          <w:lang w:val="de-DE"/>
        </w:rPr>
        <w:t xml:space="preserve">Durchführung des Europäischen Übereinkommens über die internationale Beförderung </w:t>
      </w:r>
      <w:r w:rsidR="0083790C" w:rsidRPr="000974A4">
        <w:rPr>
          <w:rStyle w:val="Hyperlink"/>
          <w:lang w:val="de-DE"/>
        </w:rPr>
        <w:br/>
        <w:t>von gefährlichen Gütern auf Binnenwasserstraßen (ADN) (TOP 4)</w:t>
      </w:r>
      <w:r w:rsidRPr="000974A4">
        <w:rPr>
          <w:rStyle w:val="Hyperlink"/>
          <w:lang w:val="de-DE"/>
        </w:rPr>
        <w:tab/>
      </w:r>
      <w:r w:rsidRPr="000974A4">
        <w:rPr>
          <w:rStyle w:val="Hyperlink"/>
          <w:lang w:val="de-DE"/>
        </w:rPr>
        <w:tab/>
      </w:r>
      <w:r w:rsidR="00A46BD8" w:rsidRPr="000974A4">
        <w:rPr>
          <w:rStyle w:val="Hyperlink"/>
          <w:lang w:val="de-DE"/>
        </w:rPr>
        <w:t>11-35</w:t>
      </w:r>
      <w:r w:rsidR="00A46BD8" w:rsidRPr="000974A4">
        <w:rPr>
          <w:rStyle w:val="Hyperlink"/>
          <w:lang w:val="de-DE"/>
        </w:rPr>
        <w:tab/>
        <w:t>5</w:t>
      </w:r>
    </w:p>
    <w:p w14:paraId="508BF6F4" w14:textId="44B5AFAD" w:rsidR="00295597" w:rsidRPr="000974A4" w:rsidRDefault="00295597" w:rsidP="0083790C">
      <w:pPr>
        <w:tabs>
          <w:tab w:val="right" w:pos="851"/>
          <w:tab w:val="left" w:pos="1134"/>
          <w:tab w:val="left" w:pos="1559"/>
          <w:tab w:val="left" w:pos="1984"/>
          <w:tab w:val="left" w:leader="dot" w:pos="8080"/>
          <w:tab w:val="right" w:pos="8929"/>
          <w:tab w:val="right" w:pos="9638"/>
        </w:tabs>
        <w:spacing w:after="120" w:line="220" w:lineRule="atLeast"/>
        <w:ind w:left="1559" w:hanging="1559"/>
        <w:rPr>
          <w:rStyle w:val="Hyperlink"/>
          <w:lang w:val="de-DE"/>
        </w:rPr>
      </w:pPr>
      <w:r w:rsidRPr="000974A4">
        <w:rPr>
          <w:rStyle w:val="Hyperlink"/>
          <w:lang w:val="de-DE"/>
        </w:rPr>
        <w:tab/>
      </w:r>
      <w:r w:rsidRPr="000974A4">
        <w:rPr>
          <w:rStyle w:val="Hyperlink"/>
          <w:lang w:val="de-DE"/>
        </w:rPr>
        <w:tab/>
      </w:r>
      <w:r w:rsidR="0083790C" w:rsidRPr="000974A4">
        <w:rPr>
          <w:rStyle w:val="Hyperlink"/>
          <w:lang w:val="de-DE"/>
        </w:rPr>
        <w:t>A.</w:t>
      </w:r>
      <w:r w:rsidRPr="000974A4">
        <w:rPr>
          <w:rStyle w:val="Hyperlink"/>
          <w:lang w:val="de-DE"/>
        </w:rPr>
        <w:tab/>
      </w:r>
      <w:r w:rsidR="0083790C" w:rsidRPr="000974A4">
        <w:rPr>
          <w:rStyle w:val="Hyperlink"/>
          <w:lang w:val="de-DE"/>
        </w:rPr>
        <w:t>Status des ADN</w:t>
      </w:r>
      <w:r w:rsidRPr="000974A4">
        <w:rPr>
          <w:rStyle w:val="Hyperlink"/>
          <w:lang w:val="de-DE"/>
        </w:rPr>
        <w:tab/>
      </w:r>
      <w:r w:rsidRPr="000974A4">
        <w:rPr>
          <w:rStyle w:val="Hyperlink"/>
          <w:lang w:val="de-DE"/>
        </w:rPr>
        <w:tab/>
      </w:r>
      <w:r w:rsidR="00A46BD8" w:rsidRPr="000974A4">
        <w:rPr>
          <w:rStyle w:val="Hyperlink"/>
          <w:lang w:val="de-DE"/>
        </w:rPr>
        <w:t>11</w:t>
      </w:r>
      <w:r w:rsidR="00A46BD8" w:rsidRPr="000974A4">
        <w:rPr>
          <w:rStyle w:val="Hyperlink"/>
          <w:lang w:val="de-DE"/>
        </w:rPr>
        <w:tab/>
        <w:t>5</w:t>
      </w:r>
    </w:p>
    <w:p w14:paraId="248DC4A9" w14:textId="651CB9FA" w:rsidR="00295597" w:rsidRPr="000974A4" w:rsidRDefault="00295597" w:rsidP="0083790C">
      <w:pPr>
        <w:tabs>
          <w:tab w:val="right" w:pos="851"/>
          <w:tab w:val="left" w:pos="1134"/>
          <w:tab w:val="left" w:pos="1559"/>
          <w:tab w:val="left" w:pos="1984"/>
          <w:tab w:val="left" w:leader="dot" w:pos="8080"/>
          <w:tab w:val="right" w:pos="8929"/>
          <w:tab w:val="right" w:pos="9638"/>
        </w:tabs>
        <w:spacing w:after="120" w:line="220" w:lineRule="atLeast"/>
        <w:ind w:left="1559" w:hanging="1559"/>
        <w:rPr>
          <w:rStyle w:val="Hyperlink"/>
          <w:lang w:val="de-DE"/>
        </w:rPr>
      </w:pPr>
      <w:r w:rsidRPr="000974A4">
        <w:rPr>
          <w:rStyle w:val="Hyperlink"/>
          <w:lang w:val="de-DE"/>
        </w:rPr>
        <w:tab/>
      </w:r>
      <w:r w:rsidRPr="000974A4">
        <w:rPr>
          <w:rStyle w:val="Hyperlink"/>
          <w:lang w:val="de-DE"/>
        </w:rPr>
        <w:tab/>
      </w:r>
      <w:r w:rsidR="0083790C" w:rsidRPr="000974A4">
        <w:rPr>
          <w:rStyle w:val="Hyperlink"/>
          <w:lang w:val="de-DE"/>
        </w:rPr>
        <w:t>B.</w:t>
      </w:r>
      <w:r w:rsidRPr="000974A4">
        <w:rPr>
          <w:rStyle w:val="Hyperlink"/>
          <w:lang w:val="de-DE"/>
        </w:rPr>
        <w:tab/>
      </w:r>
      <w:r w:rsidR="0083790C" w:rsidRPr="000974A4">
        <w:rPr>
          <w:rStyle w:val="Hyperlink"/>
          <w:lang w:val="de-DE"/>
        </w:rPr>
        <w:t>Ausnahmegenehmigungen, Abweichungen und Gleichwertigkeiten</w:t>
      </w:r>
      <w:r w:rsidRPr="000974A4">
        <w:rPr>
          <w:rStyle w:val="Hyperlink"/>
          <w:lang w:val="de-DE"/>
        </w:rPr>
        <w:tab/>
      </w:r>
      <w:r w:rsidRPr="000974A4">
        <w:rPr>
          <w:rStyle w:val="Hyperlink"/>
          <w:lang w:val="de-DE"/>
        </w:rPr>
        <w:tab/>
      </w:r>
      <w:r w:rsidR="00A46BD8" w:rsidRPr="000974A4">
        <w:rPr>
          <w:rStyle w:val="Hyperlink"/>
          <w:lang w:val="de-DE"/>
        </w:rPr>
        <w:t>12</w:t>
      </w:r>
      <w:r w:rsidR="00A46BD8" w:rsidRPr="000974A4">
        <w:rPr>
          <w:rStyle w:val="Hyperlink"/>
          <w:lang w:val="de-DE"/>
        </w:rPr>
        <w:tab/>
        <w:t>6</w:t>
      </w:r>
    </w:p>
    <w:p w14:paraId="6DBE4EF3" w14:textId="228901BB" w:rsidR="00295597" w:rsidRPr="000974A4" w:rsidRDefault="00A545BE" w:rsidP="0083790C">
      <w:pPr>
        <w:tabs>
          <w:tab w:val="right" w:pos="851"/>
          <w:tab w:val="left" w:pos="1134"/>
          <w:tab w:val="left" w:pos="1559"/>
          <w:tab w:val="left" w:pos="1984"/>
          <w:tab w:val="left" w:leader="dot" w:pos="8080"/>
          <w:tab w:val="right" w:pos="8929"/>
          <w:tab w:val="right" w:pos="9638"/>
        </w:tabs>
        <w:spacing w:after="120" w:line="220" w:lineRule="atLeast"/>
        <w:ind w:left="1980" w:hanging="1980"/>
        <w:rPr>
          <w:rStyle w:val="Hyperlink"/>
          <w:lang w:val="de-DE"/>
        </w:rPr>
      </w:pPr>
      <w:r w:rsidRPr="000974A4">
        <w:rPr>
          <w:rStyle w:val="Hyperlink"/>
          <w:lang w:val="de-DE"/>
        </w:rPr>
        <w:tab/>
      </w:r>
      <w:r w:rsidRPr="000974A4">
        <w:rPr>
          <w:rStyle w:val="Hyperlink"/>
          <w:lang w:val="de-DE"/>
        </w:rPr>
        <w:tab/>
      </w:r>
      <w:r w:rsidR="0083790C" w:rsidRPr="000974A4">
        <w:rPr>
          <w:rStyle w:val="Hyperlink"/>
          <w:lang w:val="de-DE"/>
        </w:rPr>
        <w:t>C.</w:t>
      </w:r>
      <w:r w:rsidRPr="000974A4">
        <w:rPr>
          <w:rStyle w:val="Hyperlink"/>
          <w:lang w:val="de-DE"/>
        </w:rPr>
        <w:tab/>
      </w:r>
      <w:r w:rsidR="0083790C" w:rsidRPr="000974A4">
        <w:rPr>
          <w:rStyle w:val="Hyperlink"/>
          <w:lang w:val="de-DE"/>
        </w:rPr>
        <w:t>Auslegung der dem ADN beigefügten Verordnung</w:t>
      </w:r>
      <w:r w:rsidR="00274DA8" w:rsidRPr="000974A4">
        <w:rPr>
          <w:rStyle w:val="Hyperlink"/>
          <w:lang w:val="de-DE"/>
        </w:rPr>
        <w:tab/>
      </w:r>
      <w:r w:rsidR="00A46BD8" w:rsidRPr="000974A4">
        <w:rPr>
          <w:rStyle w:val="Hyperlink"/>
          <w:lang w:val="de-DE"/>
        </w:rPr>
        <w:tab/>
        <w:t>13-</w:t>
      </w:r>
      <w:r w:rsidR="00B3189B" w:rsidRPr="000974A4">
        <w:rPr>
          <w:rStyle w:val="Hyperlink"/>
          <w:lang w:val="de-DE"/>
        </w:rPr>
        <w:t>20</w:t>
      </w:r>
      <w:r w:rsidR="00A46BD8" w:rsidRPr="000974A4">
        <w:rPr>
          <w:rStyle w:val="Hyperlink"/>
          <w:lang w:val="de-DE"/>
        </w:rPr>
        <w:tab/>
        <w:t>6</w:t>
      </w:r>
    </w:p>
    <w:p w14:paraId="38E7AC06" w14:textId="04990C2A" w:rsidR="00F975C8" w:rsidRPr="000974A4" w:rsidRDefault="00F975C8" w:rsidP="0083790C">
      <w:pPr>
        <w:tabs>
          <w:tab w:val="right" w:pos="851"/>
          <w:tab w:val="left" w:pos="1134"/>
          <w:tab w:val="left" w:pos="1559"/>
          <w:tab w:val="left" w:pos="1984"/>
          <w:tab w:val="left" w:leader="dot" w:pos="8080"/>
          <w:tab w:val="right" w:pos="8929"/>
          <w:tab w:val="right" w:pos="9638"/>
        </w:tabs>
        <w:spacing w:after="120" w:line="220" w:lineRule="atLeast"/>
        <w:ind w:left="1980" w:hanging="1980"/>
        <w:rPr>
          <w:lang w:val="de-DE"/>
        </w:rPr>
      </w:pPr>
      <w:r w:rsidRPr="000974A4">
        <w:rPr>
          <w:rStyle w:val="Hyperlink"/>
          <w:lang w:val="de-DE"/>
        </w:rPr>
        <w:tab/>
      </w:r>
      <w:r w:rsidRPr="000974A4">
        <w:rPr>
          <w:rStyle w:val="Hyperlink"/>
          <w:lang w:val="de-DE"/>
        </w:rPr>
        <w:tab/>
      </w:r>
      <w:r w:rsidRPr="000974A4">
        <w:rPr>
          <w:rStyle w:val="Hyperlink"/>
          <w:lang w:val="de-DE"/>
        </w:rPr>
        <w:tab/>
        <w:t>1.</w:t>
      </w:r>
      <w:r w:rsidRPr="000974A4">
        <w:rPr>
          <w:rStyle w:val="Hyperlink"/>
          <w:lang w:val="de-DE"/>
        </w:rPr>
        <w:tab/>
      </w:r>
      <w:r w:rsidR="0083790C" w:rsidRPr="000974A4">
        <w:rPr>
          <w:lang w:val="de-DE"/>
        </w:rPr>
        <w:t>Schweres Heizöl als UN-Nr. 3082 oder UN-Nr. 1202</w:t>
      </w:r>
      <w:r w:rsidRPr="000974A4">
        <w:rPr>
          <w:lang w:val="de-DE"/>
        </w:rPr>
        <w:tab/>
      </w:r>
      <w:r w:rsidR="00A46BD8" w:rsidRPr="000974A4">
        <w:rPr>
          <w:lang w:val="de-DE"/>
        </w:rPr>
        <w:tab/>
        <w:t>13-15</w:t>
      </w:r>
      <w:r w:rsidR="00A46BD8" w:rsidRPr="000974A4">
        <w:rPr>
          <w:lang w:val="de-DE"/>
        </w:rPr>
        <w:tab/>
        <w:t>6</w:t>
      </w:r>
    </w:p>
    <w:p w14:paraId="2ABF43D0" w14:textId="05DDC19C" w:rsidR="00F975C8" w:rsidRPr="000974A4" w:rsidRDefault="00F975C8" w:rsidP="0083790C">
      <w:pPr>
        <w:tabs>
          <w:tab w:val="right" w:pos="851"/>
          <w:tab w:val="left" w:pos="1134"/>
          <w:tab w:val="left" w:pos="1559"/>
          <w:tab w:val="left" w:pos="1984"/>
          <w:tab w:val="left" w:leader="dot" w:pos="8080"/>
          <w:tab w:val="right" w:pos="8929"/>
          <w:tab w:val="right" w:pos="9638"/>
        </w:tabs>
        <w:spacing w:after="120" w:line="220" w:lineRule="atLeast"/>
        <w:ind w:left="1980" w:hanging="1980"/>
        <w:rPr>
          <w:lang w:val="de-DE"/>
        </w:rPr>
      </w:pPr>
      <w:r w:rsidRPr="000974A4">
        <w:rPr>
          <w:lang w:val="de-DE"/>
        </w:rPr>
        <w:tab/>
      </w:r>
      <w:r w:rsidRPr="000974A4">
        <w:rPr>
          <w:lang w:val="de-DE"/>
        </w:rPr>
        <w:tab/>
      </w:r>
      <w:r w:rsidRPr="000974A4">
        <w:rPr>
          <w:lang w:val="de-DE"/>
        </w:rPr>
        <w:tab/>
        <w:t>2.</w:t>
      </w:r>
      <w:r w:rsidRPr="000974A4">
        <w:rPr>
          <w:lang w:val="de-DE"/>
        </w:rPr>
        <w:tab/>
      </w:r>
      <w:r w:rsidR="0083790C" w:rsidRPr="000974A4">
        <w:rPr>
          <w:lang w:val="de-DE"/>
        </w:rPr>
        <w:t>Lade- und Löschraten</w:t>
      </w:r>
      <w:r w:rsidRPr="000974A4">
        <w:rPr>
          <w:lang w:val="de-DE"/>
        </w:rPr>
        <w:tab/>
      </w:r>
      <w:r w:rsidR="00A46BD8" w:rsidRPr="000974A4">
        <w:rPr>
          <w:lang w:val="de-DE"/>
        </w:rPr>
        <w:tab/>
        <w:t>16-17</w:t>
      </w:r>
      <w:r w:rsidR="00A46BD8" w:rsidRPr="000974A4">
        <w:rPr>
          <w:lang w:val="de-DE"/>
        </w:rPr>
        <w:tab/>
        <w:t>6</w:t>
      </w:r>
    </w:p>
    <w:p w14:paraId="0699500B" w14:textId="6F9363BA" w:rsidR="00F975C8" w:rsidRPr="000974A4" w:rsidRDefault="00F975C8" w:rsidP="0083790C">
      <w:pPr>
        <w:tabs>
          <w:tab w:val="right" w:pos="851"/>
          <w:tab w:val="left" w:pos="1134"/>
          <w:tab w:val="left" w:pos="1559"/>
          <w:tab w:val="left" w:pos="1984"/>
          <w:tab w:val="left" w:leader="dot" w:pos="8080"/>
          <w:tab w:val="right" w:pos="8929"/>
          <w:tab w:val="right" w:pos="9638"/>
        </w:tabs>
        <w:spacing w:after="120" w:line="220" w:lineRule="atLeast"/>
        <w:ind w:left="1980" w:hanging="1980"/>
        <w:rPr>
          <w:rStyle w:val="Hyperlink"/>
          <w:lang w:val="de-DE"/>
        </w:rPr>
      </w:pPr>
      <w:r w:rsidRPr="000974A4">
        <w:rPr>
          <w:rStyle w:val="Hyperlink"/>
          <w:lang w:val="de-DE"/>
        </w:rPr>
        <w:tab/>
      </w:r>
      <w:r w:rsidRPr="000974A4">
        <w:rPr>
          <w:rStyle w:val="Hyperlink"/>
          <w:lang w:val="de-DE"/>
        </w:rPr>
        <w:tab/>
      </w:r>
      <w:r w:rsidRPr="000974A4">
        <w:rPr>
          <w:rStyle w:val="Hyperlink"/>
          <w:lang w:val="de-DE"/>
        </w:rPr>
        <w:tab/>
        <w:t>3.</w:t>
      </w:r>
      <w:r w:rsidRPr="000974A4">
        <w:rPr>
          <w:rStyle w:val="Hyperlink"/>
          <w:lang w:val="de-DE"/>
        </w:rPr>
        <w:tab/>
      </w:r>
      <w:r w:rsidR="0083790C" w:rsidRPr="000974A4">
        <w:rPr>
          <w:lang w:val="de-DE"/>
        </w:rPr>
        <w:t>Verschiedene Auslegungsfragen und Klarstellungen</w:t>
      </w:r>
      <w:r w:rsidR="004C5CAD" w:rsidRPr="000974A4">
        <w:rPr>
          <w:lang w:val="de-DE"/>
        </w:rPr>
        <w:tab/>
      </w:r>
      <w:r w:rsidR="00A46BD8" w:rsidRPr="000974A4">
        <w:rPr>
          <w:lang w:val="de-DE"/>
        </w:rPr>
        <w:tab/>
        <w:t>18-19</w:t>
      </w:r>
      <w:r w:rsidR="00A46BD8" w:rsidRPr="000974A4">
        <w:rPr>
          <w:lang w:val="de-DE"/>
        </w:rPr>
        <w:tab/>
        <w:t>6</w:t>
      </w:r>
    </w:p>
    <w:p w14:paraId="42A0626E" w14:textId="7E065139" w:rsidR="005A0933" w:rsidRPr="000974A4" w:rsidRDefault="005A0933" w:rsidP="00EF62B6">
      <w:pPr>
        <w:tabs>
          <w:tab w:val="right" w:pos="851"/>
          <w:tab w:val="left" w:pos="1134"/>
          <w:tab w:val="left" w:pos="1559"/>
          <w:tab w:val="left" w:pos="1984"/>
          <w:tab w:val="left" w:leader="dot" w:pos="8080"/>
          <w:tab w:val="right" w:pos="8929"/>
          <w:tab w:val="right" w:pos="9638"/>
        </w:tabs>
        <w:spacing w:after="120" w:line="220" w:lineRule="atLeast"/>
        <w:ind w:left="1980" w:hanging="1980"/>
        <w:rPr>
          <w:rStyle w:val="Hyperlink"/>
          <w:lang w:val="de-DE"/>
        </w:rPr>
      </w:pPr>
      <w:r w:rsidRPr="000974A4">
        <w:rPr>
          <w:rStyle w:val="Hyperlink"/>
          <w:lang w:val="de-DE"/>
        </w:rPr>
        <w:tab/>
      </w:r>
      <w:r w:rsidRPr="000974A4">
        <w:rPr>
          <w:rStyle w:val="Hyperlink"/>
          <w:lang w:val="de-DE"/>
        </w:rPr>
        <w:tab/>
      </w:r>
      <w:r w:rsidRPr="000974A4">
        <w:rPr>
          <w:rStyle w:val="Hyperlink"/>
          <w:lang w:val="de-DE"/>
        </w:rPr>
        <w:tab/>
        <w:t>4.</w:t>
      </w:r>
      <w:r w:rsidRPr="000974A4">
        <w:rPr>
          <w:rStyle w:val="Hyperlink"/>
          <w:lang w:val="de-DE"/>
        </w:rPr>
        <w:tab/>
      </w:r>
      <w:r w:rsidR="0083790C" w:rsidRPr="000974A4">
        <w:rPr>
          <w:lang w:val="de-DE"/>
        </w:rPr>
        <w:t>Arbeiten an Bord (</w:t>
      </w:r>
      <w:r w:rsidR="00EF62B6" w:rsidRPr="000974A4">
        <w:rPr>
          <w:lang w:val="de-DE"/>
        </w:rPr>
        <w:t>Abschnitt 8.3.5)</w:t>
      </w:r>
      <w:r w:rsidRPr="000974A4">
        <w:rPr>
          <w:lang w:val="de-DE"/>
        </w:rPr>
        <w:tab/>
      </w:r>
      <w:r w:rsidR="00A46BD8" w:rsidRPr="000974A4">
        <w:rPr>
          <w:lang w:val="de-DE"/>
        </w:rPr>
        <w:tab/>
        <w:t>20</w:t>
      </w:r>
      <w:r w:rsidR="00A46BD8" w:rsidRPr="000974A4">
        <w:rPr>
          <w:lang w:val="de-DE"/>
        </w:rPr>
        <w:tab/>
        <w:t>7</w:t>
      </w:r>
    </w:p>
    <w:p w14:paraId="1DECE4CA" w14:textId="583D544B" w:rsidR="00274DA8" w:rsidRPr="000974A4" w:rsidRDefault="00274DA8" w:rsidP="00EF62B6">
      <w:pPr>
        <w:tabs>
          <w:tab w:val="right" w:pos="851"/>
          <w:tab w:val="left" w:pos="1134"/>
          <w:tab w:val="left" w:pos="1559"/>
          <w:tab w:val="left" w:pos="1984"/>
          <w:tab w:val="left" w:leader="dot" w:pos="8080"/>
          <w:tab w:val="right" w:pos="8929"/>
          <w:tab w:val="right" w:pos="9638"/>
        </w:tabs>
        <w:spacing w:after="120" w:line="220" w:lineRule="atLeast"/>
        <w:ind w:left="1980" w:hanging="1980"/>
        <w:rPr>
          <w:rStyle w:val="Hyperlink"/>
          <w:lang w:val="de-DE"/>
        </w:rPr>
      </w:pPr>
      <w:r w:rsidRPr="000974A4">
        <w:rPr>
          <w:rStyle w:val="Hyperlink"/>
          <w:lang w:val="de-DE"/>
        </w:rPr>
        <w:tab/>
      </w:r>
      <w:r w:rsidRPr="000974A4">
        <w:rPr>
          <w:rStyle w:val="Hyperlink"/>
          <w:lang w:val="de-DE"/>
        </w:rPr>
        <w:tab/>
      </w:r>
      <w:r w:rsidR="00EF62B6" w:rsidRPr="000974A4">
        <w:rPr>
          <w:rStyle w:val="Hyperlink"/>
          <w:lang w:val="de-DE"/>
        </w:rPr>
        <w:t>D.</w:t>
      </w:r>
      <w:r w:rsidRPr="000974A4">
        <w:rPr>
          <w:rStyle w:val="Hyperlink"/>
          <w:lang w:val="de-DE"/>
        </w:rPr>
        <w:tab/>
      </w:r>
      <w:proofErr w:type="spellStart"/>
      <w:r w:rsidR="00EF62B6" w:rsidRPr="000974A4">
        <w:rPr>
          <w:rStyle w:val="Hyperlink"/>
          <w:lang w:val="de-DE"/>
        </w:rPr>
        <w:t>Sachkundigenausbildung</w:t>
      </w:r>
      <w:proofErr w:type="spellEnd"/>
      <w:r w:rsidRPr="000974A4">
        <w:rPr>
          <w:rStyle w:val="Hyperlink"/>
          <w:lang w:val="de-DE"/>
        </w:rPr>
        <w:tab/>
      </w:r>
      <w:r w:rsidR="00A46BD8" w:rsidRPr="000974A4">
        <w:rPr>
          <w:rStyle w:val="Hyperlink"/>
          <w:lang w:val="de-DE"/>
        </w:rPr>
        <w:tab/>
        <w:t>21-28</w:t>
      </w:r>
      <w:r w:rsidR="00A46BD8" w:rsidRPr="000974A4">
        <w:rPr>
          <w:rStyle w:val="Hyperlink"/>
          <w:lang w:val="de-DE"/>
        </w:rPr>
        <w:tab/>
        <w:t>7</w:t>
      </w:r>
    </w:p>
    <w:p w14:paraId="2411D028" w14:textId="0DF5F9FC" w:rsidR="00274DA8" w:rsidRPr="000974A4" w:rsidRDefault="00274DA8" w:rsidP="00C36D84">
      <w:pPr>
        <w:tabs>
          <w:tab w:val="right" w:pos="851"/>
          <w:tab w:val="left" w:pos="1134"/>
          <w:tab w:val="left" w:pos="1559"/>
          <w:tab w:val="left" w:pos="1984"/>
          <w:tab w:val="left" w:leader="dot" w:pos="8080"/>
          <w:tab w:val="right" w:pos="8929"/>
          <w:tab w:val="right" w:pos="9638"/>
        </w:tabs>
        <w:spacing w:after="120" w:line="220" w:lineRule="atLeast"/>
        <w:ind w:left="1980" w:hanging="1980"/>
        <w:rPr>
          <w:rStyle w:val="Hyperlink"/>
          <w:lang w:val="de-DE"/>
        </w:rPr>
      </w:pPr>
      <w:r w:rsidRPr="000974A4">
        <w:rPr>
          <w:rStyle w:val="Hyperlink"/>
          <w:lang w:val="de-DE"/>
        </w:rPr>
        <w:tab/>
      </w:r>
      <w:r w:rsidRPr="000974A4">
        <w:rPr>
          <w:rStyle w:val="Hyperlink"/>
          <w:lang w:val="de-DE"/>
        </w:rPr>
        <w:tab/>
      </w:r>
      <w:r w:rsidRPr="000974A4">
        <w:rPr>
          <w:rStyle w:val="Hyperlink"/>
          <w:lang w:val="de-DE"/>
        </w:rPr>
        <w:tab/>
        <w:t>1.</w:t>
      </w:r>
      <w:r w:rsidRPr="000974A4">
        <w:rPr>
          <w:rStyle w:val="Hyperlink"/>
          <w:lang w:val="de-DE"/>
        </w:rPr>
        <w:tab/>
      </w:r>
      <w:r w:rsidR="00EF62B6" w:rsidRPr="000974A4">
        <w:rPr>
          <w:rStyle w:val="Hyperlink"/>
          <w:lang w:val="de-DE"/>
        </w:rPr>
        <w:t xml:space="preserve">Protokoll der neunzehnten Sitzung der informellen Arbeitsgruppe </w:t>
      </w:r>
      <w:r w:rsidR="00913A18" w:rsidRPr="000974A4">
        <w:rPr>
          <w:rStyle w:val="Hyperlink"/>
          <w:lang w:val="de-DE"/>
        </w:rPr>
        <w:br/>
      </w:r>
      <w:r w:rsidR="00EF62B6" w:rsidRPr="000974A4">
        <w:rPr>
          <w:rStyle w:val="Hyperlink"/>
          <w:lang w:val="de-DE"/>
        </w:rPr>
        <w:t>„</w:t>
      </w:r>
      <w:proofErr w:type="spellStart"/>
      <w:r w:rsidR="00EF62B6" w:rsidRPr="000974A4">
        <w:rPr>
          <w:rStyle w:val="Hyperlink"/>
          <w:lang w:val="de-DE"/>
        </w:rPr>
        <w:t>Sachkundigenausbildung</w:t>
      </w:r>
      <w:proofErr w:type="spellEnd"/>
      <w:r w:rsidR="00EF62B6" w:rsidRPr="000974A4">
        <w:rPr>
          <w:rStyle w:val="Hyperlink"/>
          <w:lang w:val="de-DE"/>
        </w:rPr>
        <w:t>“</w:t>
      </w:r>
      <w:r w:rsidRPr="000974A4">
        <w:rPr>
          <w:rStyle w:val="Hyperlink"/>
          <w:lang w:val="de-DE"/>
        </w:rPr>
        <w:tab/>
      </w:r>
      <w:r w:rsidR="00A46BD8" w:rsidRPr="000974A4">
        <w:rPr>
          <w:rStyle w:val="Hyperlink"/>
          <w:lang w:val="de-DE"/>
        </w:rPr>
        <w:tab/>
        <w:t>21-22</w:t>
      </w:r>
      <w:r w:rsidR="00A46BD8" w:rsidRPr="000974A4">
        <w:rPr>
          <w:rStyle w:val="Hyperlink"/>
          <w:lang w:val="de-DE"/>
        </w:rPr>
        <w:tab/>
        <w:t>7</w:t>
      </w:r>
    </w:p>
    <w:p w14:paraId="5A6B5FE7" w14:textId="3083DE63" w:rsidR="00274DA8" w:rsidRPr="000974A4" w:rsidRDefault="00274DA8" w:rsidP="00C36D84">
      <w:pPr>
        <w:tabs>
          <w:tab w:val="right" w:pos="851"/>
          <w:tab w:val="left" w:pos="1134"/>
          <w:tab w:val="left" w:pos="1559"/>
          <w:tab w:val="left" w:pos="1984"/>
          <w:tab w:val="left" w:leader="dot" w:pos="8080"/>
          <w:tab w:val="right" w:pos="8929"/>
          <w:tab w:val="right" w:pos="9638"/>
        </w:tabs>
        <w:spacing w:after="120" w:line="220" w:lineRule="atLeast"/>
        <w:ind w:left="1985" w:hanging="1697"/>
        <w:rPr>
          <w:lang w:val="de-DE"/>
        </w:rPr>
      </w:pPr>
      <w:r w:rsidRPr="000974A4">
        <w:rPr>
          <w:rStyle w:val="Hyperlink"/>
          <w:lang w:val="de-DE"/>
        </w:rPr>
        <w:tab/>
      </w:r>
      <w:r w:rsidRPr="000974A4">
        <w:rPr>
          <w:rStyle w:val="Hyperlink"/>
          <w:lang w:val="de-DE"/>
        </w:rPr>
        <w:tab/>
      </w:r>
      <w:r w:rsidRPr="000974A4">
        <w:rPr>
          <w:rStyle w:val="Hyperlink"/>
          <w:lang w:val="de-DE"/>
        </w:rPr>
        <w:tab/>
        <w:t>2.</w:t>
      </w:r>
      <w:r w:rsidRPr="000974A4">
        <w:rPr>
          <w:rStyle w:val="Hyperlink"/>
          <w:lang w:val="de-DE"/>
        </w:rPr>
        <w:tab/>
      </w:r>
      <w:r w:rsidR="00C36D84" w:rsidRPr="000974A4">
        <w:rPr>
          <w:lang w:val="de-DE"/>
        </w:rPr>
        <w:t xml:space="preserve">Richtlinie des Verwaltungsausschusses für die Verwendung des </w:t>
      </w:r>
      <w:r w:rsidR="00913A18" w:rsidRPr="000974A4">
        <w:rPr>
          <w:lang w:val="de-DE"/>
        </w:rPr>
        <w:br/>
      </w:r>
      <w:r w:rsidR="00C36D84" w:rsidRPr="000974A4">
        <w:rPr>
          <w:lang w:val="de-DE"/>
        </w:rPr>
        <w:t>Fragenkatalogs für die Prüfung von ADN-Sachkundigen (Kapitel 8.2)</w:t>
      </w:r>
      <w:r w:rsidRPr="000974A4">
        <w:rPr>
          <w:lang w:val="de-DE"/>
        </w:rPr>
        <w:tab/>
      </w:r>
      <w:r w:rsidR="00A46BD8" w:rsidRPr="000974A4">
        <w:rPr>
          <w:lang w:val="de-DE"/>
        </w:rPr>
        <w:tab/>
        <w:t>23-24</w:t>
      </w:r>
      <w:r w:rsidR="00A46BD8" w:rsidRPr="000974A4">
        <w:rPr>
          <w:lang w:val="de-DE"/>
        </w:rPr>
        <w:tab/>
        <w:t>8</w:t>
      </w:r>
    </w:p>
    <w:p w14:paraId="644B04CC" w14:textId="61C90217" w:rsidR="00274DA8" w:rsidRPr="000974A4" w:rsidRDefault="00274DA8" w:rsidP="00C36D84">
      <w:pPr>
        <w:tabs>
          <w:tab w:val="right" w:pos="851"/>
          <w:tab w:val="left" w:pos="1134"/>
          <w:tab w:val="left" w:pos="1559"/>
          <w:tab w:val="left" w:pos="1984"/>
          <w:tab w:val="left" w:leader="dot" w:pos="8080"/>
          <w:tab w:val="right" w:pos="8929"/>
          <w:tab w:val="right" w:pos="9638"/>
        </w:tabs>
        <w:spacing w:after="120" w:line="220" w:lineRule="atLeast"/>
        <w:ind w:left="2268" w:hanging="1980"/>
        <w:rPr>
          <w:lang w:val="de-DE"/>
        </w:rPr>
      </w:pPr>
      <w:r w:rsidRPr="000974A4">
        <w:rPr>
          <w:lang w:val="de-DE"/>
        </w:rPr>
        <w:tab/>
      </w:r>
      <w:r w:rsidRPr="000974A4">
        <w:rPr>
          <w:lang w:val="de-DE"/>
        </w:rPr>
        <w:tab/>
      </w:r>
      <w:r w:rsidRPr="000974A4">
        <w:rPr>
          <w:lang w:val="de-DE"/>
        </w:rPr>
        <w:tab/>
        <w:t>3.</w:t>
      </w:r>
      <w:r w:rsidRPr="000974A4">
        <w:rPr>
          <w:lang w:val="de-DE"/>
        </w:rPr>
        <w:tab/>
      </w:r>
      <w:r w:rsidR="00C36D84" w:rsidRPr="000974A4">
        <w:rPr>
          <w:lang w:val="de-DE"/>
        </w:rPr>
        <w:t>Fragenkatalog 2019</w:t>
      </w:r>
      <w:r w:rsidRPr="000974A4">
        <w:rPr>
          <w:lang w:val="de-DE"/>
        </w:rPr>
        <w:tab/>
      </w:r>
      <w:r w:rsidR="00A46BD8" w:rsidRPr="000974A4">
        <w:rPr>
          <w:lang w:val="de-DE"/>
        </w:rPr>
        <w:tab/>
        <w:t>25-26</w:t>
      </w:r>
      <w:r w:rsidR="00A46BD8" w:rsidRPr="000974A4">
        <w:rPr>
          <w:lang w:val="de-DE"/>
        </w:rPr>
        <w:tab/>
        <w:t>8</w:t>
      </w:r>
    </w:p>
    <w:p w14:paraId="2D03E4D2" w14:textId="51D682D0" w:rsidR="00274DA8" w:rsidRPr="000974A4" w:rsidRDefault="00274DA8" w:rsidP="00993475">
      <w:pPr>
        <w:tabs>
          <w:tab w:val="right" w:pos="851"/>
          <w:tab w:val="left" w:pos="1134"/>
          <w:tab w:val="left" w:pos="1559"/>
          <w:tab w:val="left" w:pos="1984"/>
          <w:tab w:val="left" w:leader="dot" w:pos="8080"/>
          <w:tab w:val="right" w:pos="8929"/>
          <w:tab w:val="right" w:pos="9638"/>
        </w:tabs>
        <w:spacing w:after="120" w:line="220" w:lineRule="atLeast"/>
        <w:ind w:left="1985" w:hanging="1980"/>
        <w:rPr>
          <w:lang w:val="de-DE"/>
        </w:rPr>
      </w:pPr>
      <w:r w:rsidRPr="000974A4">
        <w:rPr>
          <w:lang w:val="de-DE"/>
        </w:rPr>
        <w:tab/>
      </w:r>
      <w:r w:rsidRPr="000974A4">
        <w:rPr>
          <w:lang w:val="de-DE"/>
        </w:rPr>
        <w:tab/>
      </w:r>
      <w:r w:rsidRPr="000974A4">
        <w:rPr>
          <w:lang w:val="de-DE"/>
        </w:rPr>
        <w:tab/>
        <w:t>4.</w:t>
      </w:r>
      <w:r w:rsidRPr="000974A4">
        <w:rPr>
          <w:lang w:val="de-DE"/>
        </w:rPr>
        <w:tab/>
      </w:r>
      <w:r w:rsidR="00DB176C" w:rsidRPr="000974A4">
        <w:rPr>
          <w:lang w:val="de-DE"/>
        </w:rPr>
        <w:t xml:space="preserve">Umsetzung des Vorschlags zur Verlängerung der Prüfungszeiten </w:t>
      </w:r>
      <w:r w:rsidR="00913A18" w:rsidRPr="000974A4">
        <w:rPr>
          <w:lang w:val="de-DE"/>
        </w:rPr>
        <w:br/>
      </w:r>
      <w:r w:rsidR="00DB176C" w:rsidRPr="000974A4">
        <w:rPr>
          <w:lang w:val="de-DE"/>
        </w:rPr>
        <w:t>nach Absatz 8.2.2.7.1.5</w:t>
      </w:r>
      <w:r w:rsidR="00913A18" w:rsidRPr="000974A4">
        <w:rPr>
          <w:lang w:val="de-DE"/>
        </w:rPr>
        <w:t xml:space="preserve"> </w:t>
      </w:r>
      <w:r w:rsidR="00DB176C" w:rsidRPr="000974A4">
        <w:rPr>
          <w:lang w:val="de-DE"/>
        </w:rPr>
        <w:t>(Basiskurs) und Absatz 8.2.2.7.3.2 (Aufbaukurs)</w:t>
      </w:r>
      <w:r w:rsidRPr="000974A4">
        <w:rPr>
          <w:lang w:val="de-DE"/>
        </w:rPr>
        <w:tab/>
      </w:r>
      <w:r w:rsidR="00A46BD8" w:rsidRPr="000974A4">
        <w:rPr>
          <w:lang w:val="de-DE"/>
        </w:rPr>
        <w:tab/>
        <w:t>27-28</w:t>
      </w:r>
      <w:r w:rsidR="00A46BD8" w:rsidRPr="000974A4">
        <w:rPr>
          <w:lang w:val="de-DE"/>
        </w:rPr>
        <w:tab/>
        <w:t>8</w:t>
      </w:r>
    </w:p>
    <w:p w14:paraId="096E168C" w14:textId="003D02B7" w:rsidR="005A0933" w:rsidRPr="000974A4" w:rsidRDefault="005A0933" w:rsidP="00993475">
      <w:pPr>
        <w:tabs>
          <w:tab w:val="right" w:pos="851"/>
          <w:tab w:val="left" w:pos="1134"/>
          <w:tab w:val="left" w:pos="1559"/>
          <w:tab w:val="left" w:pos="1984"/>
          <w:tab w:val="left" w:leader="dot" w:pos="8080"/>
          <w:tab w:val="right" w:pos="8929"/>
          <w:tab w:val="right" w:pos="9638"/>
        </w:tabs>
        <w:spacing w:after="120" w:line="220" w:lineRule="atLeast"/>
        <w:ind w:left="1985" w:hanging="1980"/>
        <w:rPr>
          <w:lang w:val="de-DE"/>
        </w:rPr>
      </w:pPr>
      <w:r w:rsidRPr="000974A4">
        <w:rPr>
          <w:lang w:val="de-DE"/>
        </w:rPr>
        <w:tab/>
      </w:r>
      <w:r w:rsidRPr="000974A4">
        <w:rPr>
          <w:lang w:val="de-DE"/>
        </w:rPr>
        <w:tab/>
      </w:r>
      <w:r w:rsidR="00993475" w:rsidRPr="000974A4">
        <w:rPr>
          <w:lang w:val="de-DE"/>
        </w:rPr>
        <w:t>E.</w:t>
      </w:r>
      <w:r w:rsidRPr="000974A4">
        <w:rPr>
          <w:lang w:val="de-DE"/>
        </w:rPr>
        <w:tab/>
      </w:r>
      <w:r w:rsidR="00993475" w:rsidRPr="000974A4">
        <w:rPr>
          <w:lang w:val="de-DE"/>
        </w:rPr>
        <w:t>Fragen im Zusammenhang mit den Klassifikationsgesellschaften</w:t>
      </w:r>
      <w:r w:rsidRPr="000974A4">
        <w:rPr>
          <w:lang w:val="de-DE"/>
        </w:rPr>
        <w:tab/>
      </w:r>
      <w:r w:rsidR="00A46BD8" w:rsidRPr="000974A4">
        <w:rPr>
          <w:lang w:val="de-DE"/>
        </w:rPr>
        <w:tab/>
        <w:t>29-35</w:t>
      </w:r>
      <w:r w:rsidR="00A46BD8" w:rsidRPr="000974A4">
        <w:rPr>
          <w:lang w:val="de-DE"/>
        </w:rPr>
        <w:tab/>
        <w:t>9</w:t>
      </w:r>
    </w:p>
    <w:p w14:paraId="5F63AC8F" w14:textId="2D654C71" w:rsidR="005A0933" w:rsidRPr="000974A4" w:rsidRDefault="005A0933" w:rsidP="00993475">
      <w:pPr>
        <w:tabs>
          <w:tab w:val="right" w:pos="851"/>
          <w:tab w:val="left" w:pos="1134"/>
          <w:tab w:val="left" w:pos="1559"/>
          <w:tab w:val="left" w:pos="1984"/>
          <w:tab w:val="left" w:leader="dot" w:pos="8080"/>
          <w:tab w:val="right" w:pos="8929"/>
          <w:tab w:val="right" w:pos="9638"/>
        </w:tabs>
        <w:spacing w:after="120" w:line="220" w:lineRule="atLeast"/>
        <w:ind w:left="1985" w:hanging="1980"/>
        <w:rPr>
          <w:lang w:val="de-DE"/>
        </w:rPr>
      </w:pPr>
      <w:r w:rsidRPr="000974A4">
        <w:rPr>
          <w:lang w:val="de-DE"/>
        </w:rPr>
        <w:tab/>
      </w:r>
      <w:r w:rsidRPr="000974A4">
        <w:rPr>
          <w:lang w:val="de-DE"/>
        </w:rPr>
        <w:tab/>
      </w:r>
      <w:r w:rsidRPr="000974A4">
        <w:rPr>
          <w:lang w:val="de-DE"/>
        </w:rPr>
        <w:tab/>
        <w:t>1.</w:t>
      </w:r>
      <w:r w:rsidRPr="000974A4">
        <w:rPr>
          <w:lang w:val="de-DE"/>
        </w:rPr>
        <w:tab/>
      </w:r>
      <w:r w:rsidR="00993475" w:rsidRPr="000974A4">
        <w:rPr>
          <w:lang w:val="de-DE"/>
        </w:rPr>
        <w:t xml:space="preserve">Protokoll der sechzehnten Sitzung der informellen Arbeitsgruppe </w:t>
      </w:r>
      <w:r w:rsidR="00913A18" w:rsidRPr="000974A4">
        <w:rPr>
          <w:lang w:val="de-DE"/>
        </w:rPr>
        <w:br/>
      </w:r>
      <w:r w:rsidR="00993475" w:rsidRPr="000974A4">
        <w:rPr>
          <w:lang w:val="de-DE"/>
        </w:rPr>
        <w:t>„Empfohlene ADN-Klassifikationsgesellschaften“</w:t>
      </w:r>
      <w:r w:rsidRPr="000974A4">
        <w:rPr>
          <w:lang w:val="de-DE"/>
        </w:rPr>
        <w:tab/>
      </w:r>
      <w:r w:rsidR="00A46BD8" w:rsidRPr="000974A4">
        <w:rPr>
          <w:lang w:val="de-DE"/>
        </w:rPr>
        <w:tab/>
        <w:t>29</w:t>
      </w:r>
      <w:r w:rsidR="00A46BD8" w:rsidRPr="000974A4">
        <w:rPr>
          <w:lang w:val="de-DE"/>
        </w:rPr>
        <w:tab/>
        <w:t>9</w:t>
      </w:r>
    </w:p>
    <w:p w14:paraId="0DDFD088" w14:textId="7D4CA704" w:rsidR="005A0933" w:rsidRPr="000974A4" w:rsidRDefault="005A0933" w:rsidP="00993475">
      <w:pPr>
        <w:tabs>
          <w:tab w:val="right" w:pos="851"/>
          <w:tab w:val="left" w:pos="1134"/>
          <w:tab w:val="left" w:pos="1559"/>
          <w:tab w:val="left" w:pos="1984"/>
          <w:tab w:val="left" w:leader="dot" w:pos="8080"/>
          <w:tab w:val="right" w:pos="8929"/>
          <w:tab w:val="right" w:pos="9638"/>
        </w:tabs>
        <w:spacing w:after="120" w:line="220" w:lineRule="atLeast"/>
        <w:ind w:left="1985" w:hanging="1980"/>
        <w:rPr>
          <w:lang w:val="de-DE"/>
        </w:rPr>
      </w:pPr>
      <w:r w:rsidRPr="000974A4">
        <w:rPr>
          <w:lang w:val="de-DE"/>
        </w:rPr>
        <w:tab/>
      </w:r>
      <w:r w:rsidRPr="000974A4">
        <w:rPr>
          <w:lang w:val="de-DE"/>
        </w:rPr>
        <w:tab/>
      </w:r>
      <w:r w:rsidRPr="000974A4">
        <w:rPr>
          <w:lang w:val="de-DE"/>
        </w:rPr>
        <w:tab/>
        <w:t>2.</w:t>
      </w:r>
      <w:r w:rsidRPr="000974A4">
        <w:rPr>
          <w:lang w:val="de-DE"/>
        </w:rPr>
        <w:tab/>
      </w:r>
      <w:r w:rsidR="00993475" w:rsidRPr="000974A4">
        <w:rPr>
          <w:lang w:val="de-DE"/>
        </w:rPr>
        <w:t>Anerkennung von Klassifikationsgesellschaften</w:t>
      </w:r>
      <w:r w:rsidRPr="000974A4">
        <w:rPr>
          <w:lang w:val="de-DE"/>
        </w:rPr>
        <w:tab/>
      </w:r>
      <w:r w:rsidR="00A46BD8" w:rsidRPr="000974A4">
        <w:rPr>
          <w:lang w:val="de-DE"/>
        </w:rPr>
        <w:tab/>
        <w:t>30</w:t>
      </w:r>
      <w:r w:rsidR="00A46BD8" w:rsidRPr="000974A4">
        <w:rPr>
          <w:lang w:val="de-DE"/>
        </w:rPr>
        <w:tab/>
        <w:t>9</w:t>
      </w:r>
    </w:p>
    <w:p w14:paraId="5E4F9811" w14:textId="3F23EB4D" w:rsidR="00D623C4" w:rsidRPr="000974A4" w:rsidRDefault="005A0933" w:rsidP="00993475">
      <w:pPr>
        <w:tabs>
          <w:tab w:val="right" w:pos="851"/>
          <w:tab w:val="left" w:pos="1134"/>
          <w:tab w:val="left" w:pos="1559"/>
          <w:tab w:val="left" w:pos="1984"/>
          <w:tab w:val="left" w:leader="dot" w:pos="8080"/>
          <w:tab w:val="right" w:pos="8929"/>
          <w:tab w:val="right" w:pos="9638"/>
        </w:tabs>
        <w:spacing w:after="120" w:line="220" w:lineRule="atLeast"/>
        <w:ind w:left="1985" w:hanging="1980"/>
        <w:rPr>
          <w:rStyle w:val="Hyperlink"/>
          <w:lang w:val="de-DE"/>
        </w:rPr>
      </w:pPr>
      <w:r w:rsidRPr="000974A4">
        <w:rPr>
          <w:lang w:val="de-DE"/>
        </w:rPr>
        <w:tab/>
      </w:r>
      <w:r w:rsidRPr="000974A4">
        <w:rPr>
          <w:lang w:val="de-DE"/>
        </w:rPr>
        <w:tab/>
      </w:r>
      <w:r w:rsidRPr="000974A4">
        <w:rPr>
          <w:lang w:val="de-DE"/>
        </w:rPr>
        <w:tab/>
        <w:t>3.</w:t>
      </w:r>
      <w:r w:rsidRPr="000974A4">
        <w:rPr>
          <w:lang w:val="de-DE"/>
        </w:rPr>
        <w:tab/>
      </w:r>
      <w:r w:rsidR="00993475" w:rsidRPr="000974A4">
        <w:rPr>
          <w:lang w:val="de-DE"/>
        </w:rPr>
        <w:t>Aktueller Stand der Zulassung von Ladungsrechnern</w:t>
      </w:r>
      <w:r w:rsidRPr="000974A4">
        <w:rPr>
          <w:lang w:val="de-DE"/>
        </w:rPr>
        <w:tab/>
      </w:r>
      <w:r w:rsidR="00295597" w:rsidRPr="000974A4">
        <w:rPr>
          <w:rStyle w:val="Hyperlink"/>
          <w:lang w:val="de-DE"/>
        </w:rPr>
        <w:tab/>
      </w:r>
      <w:r w:rsidR="00A46BD8" w:rsidRPr="000974A4">
        <w:rPr>
          <w:rStyle w:val="Hyperlink"/>
          <w:lang w:val="de-DE"/>
        </w:rPr>
        <w:t>31-35</w:t>
      </w:r>
      <w:r w:rsidR="00A46BD8" w:rsidRPr="000974A4">
        <w:rPr>
          <w:rStyle w:val="Hyperlink"/>
          <w:lang w:val="de-DE"/>
        </w:rPr>
        <w:tab/>
        <w:t>9</w:t>
      </w:r>
    </w:p>
    <w:p w14:paraId="2E89B9E4" w14:textId="40795A01" w:rsidR="00295597" w:rsidRPr="000974A4" w:rsidRDefault="00D623C4" w:rsidP="00993475">
      <w:pPr>
        <w:tabs>
          <w:tab w:val="right" w:pos="851"/>
          <w:tab w:val="left" w:pos="1134"/>
          <w:tab w:val="left" w:pos="1559"/>
          <w:tab w:val="left" w:pos="1984"/>
          <w:tab w:val="left" w:leader="dot" w:pos="8080"/>
          <w:tab w:val="right" w:pos="8929"/>
          <w:tab w:val="right" w:pos="9638"/>
        </w:tabs>
        <w:spacing w:after="120" w:line="220" w:lineRule="atLeast"/>
        <w:ind w:left="1985" w:hanging="1980"/>
        <w:rPr>
          <w:rStyle w:val="Hyperlink"/>
          <w:lang w:val="de-DE"/>
        </w:rPr>
      </w:pPr>
      <w:r w:rsidRPr="000974A4">
        <w:rPr>
          <w:rStyle w:val="Hyperlink"/>
          <w:lang w:val="de-DE"/>
        </w:rPr>
        <w:tab/>
      </w:r>
      <w:r w:rsidR="00993475" w:rsidRPr="000974A4">
        <w:rPr>
          <w:rStyle w:val="Hyperlink"/>
          <w:lang w:val="de-DE"/>
        </w:rPr>
        <w:t>VI.</w:t>
      </w:r>
      <w:r w:rsidR="00295597" w:rsidRPr="000974A4">
        <w:rPr>
          <w:rStyle w:val="Hyperlink"/>
          <w:lang w:val="de-DE"/>
        </w:rPr>
        <w:tab/>
      </w:r>
      <w:r w:rsidR="00993475" w:rsidRPr="000974A4">
        <w:rPr>
          <w:lang w:val="de-DE"/>
        </w:rPr>
        <w:t>Vorschläge für Änderungen der dem ADN beigefügten Verordnung (TOP 5)</w:t>
      </w:r>
      <w:r w:rsidR="00295597" w:rsidRPr="000974A4">
        <w:rPr>
          <w:rStyle w:val="Hyperlink"/>
          <w:lang w:val="de-DE"/>
        </w:rPr>
        <w:tab/>
      </w:r>
      <w:r w:rsidR="00295597" w:rsidRPr="000974A4">
        <w:rPr>
          <w:rStyle w:val="Hyperlink"/>
          <w:lang w:val="de-DE"/>
        </w:rPr>
        <w:tab/>
      </w:r>
      <w:r w:rsidR="00826CF2" w:rsidRPr="000974A4">
        <w:rPr>
          <w:rStyle w:val="Hyperlink"/>
          <w:lang w:val="de-DE"/>
        </w:rPr>
        <w:t>36-71</w:t>
      </w:r>
      <w:r w:rsidR="00826CF2" w:rsidRPr="000974A4">
        <w:rPr>
          <w:rStyle w:val="Hyperlink"/>
          <w:lang w:val="de-DE"/>
        </w:rPr>
        <w:tab/>
        <w:t>10</w:t>
      </w:r>
    </w:p>
    <w:p w14:paraId="74AD2103" w14:textId="5C208B17" w:rsidR="00295597" w:rsidRPr="000974A4" w:rsidRDefault="00295597" w:rsidP="00993475">
      <w:pPr>
        <w:tabs>
          <w:tab w:val="right" w:pos="851"/>
          <w:tab w:val="left" w:pos="1134"/>
          <w:tab w:val="left" w:pos="1559"/>
          <w:tab w:val="left" w:pos="1984"/>
          <w:tab w:val="left" w:leader="dot" w:pos="8080"/>
          <w:tab w:val="right" w:pos="8929"/>
          <w:tab w:val="right" w:pos="9638"/>
        </w:tabs>
        <w:spacing w:after="120" w:line="220" w:lineRule="atLeast"/>
        <w:ind w:left="1559" w:hanging="1559"/>
        <w:rPr>
          <w:rStyle w:val="Hyperlink"/>
          <w:lang w:val="de-DE"/>
        </w:rPr>
      </w:pPr>
      <w:r w:rsidRPr="000974A4">
        <w:rPr>
          <w:rStyle w:val="Hyperlink"/>
          <w:lang w:val="de-DE"/>
        </w:rPr>
        <w:tab/>
      </w:r>
      <w:r w:rsidRPr="000974A4">
        <w:rPr>
          <w:rStyle w:val="Hyperlink"/>
          <w:lang w:val="de-DE"/>
        </w:rPr>
        <w:tab/>
      </w:r>
      <w:r w:rsidR="00993475" w:rsidRPr="000974A4">
        <w:rPr>
          <w:rStyle w:val="Hyperlink"/>
          <w:lang w:val="de-DE"/>
        </w:rPr>
        <w:t>A.</w:t>
      </w:r>
      <w:r w:rsidRPr="000974A4">
        <w:rPr>
          <w:rStyle w:val="Hyperlink"/>
          <w:lang w:val="de-DE"/>
        </w:rPr>
        <w:tab/>
      </w:r>
      <w:r w:rsidR="00993475" w:rsidRPr="000974A4">
        <w:rPr>
          <w:lang w:val="de-DE"/>
        </w:rPr>
        <w:t>Arbeiten der Gemeinsamen RID/ADR/ADN-Tagung</w:t>
      </w:r>
      <w:r w:rsidRPr="000974A4">
        <w:rPr>
          <w:rStyle w:val="Hyperlink"/>
          <w:lang w:val="de-DE"/>
        </w:rPr>
        <w:tab/>
      </w:r>
      <w:r w:rsidRPr="000974A4">
        <w:rPr>
          <w:rStyle w:val="Hyperlink"/>
          <w:lang w:val="de-DE"/>
        </w:rPr>
        <w:tab/>
      </w:r>
      <w:r w:rsidR="00826CF2" w:rsidRPr="000974A4">
        <w:rPr>
          <w:rStyle w:val="Hyperlink"/>
          <w:lang w:val="de-DE"/>
        </w:rPr>
        <w:t>36-38</w:t>
      </w:r>
      <w:r w:rsidR="00826CF2" w:rsidRPr="000974A4">
        <w:rPr>
          <w:rStyle w:val="Hyperlink"/>
          <w:lang w:val="de-DE"/>
        </w:rPr>
        <w:tab/>
        <w:t>10</w:t>
      </w:r>
    </w:p>
    <w:p w14:paraId="30D87158" w14:textId="0B529A88" w:rsidR="004D18E6" w:rsidRPr="000974A4" w:rsidRDefault="00295597" w:rsidP="00993475">
      <w:pPr>
        <w:tabs>
          <w:tab w:val="right" w:pos="851"/>
          <w:tab w:val="left" w:pos="1134"/>
          <w:tab w:val="left" w:pos="1559"/>
          <w:tab w:val="left" w:pos="1984"/>
          <w:tab w:val="left" w:leader="dot" w:pos="8080"/>
          <w:tab w:val="right" w:pos="8929"/>
          <w:tab w:val="right" w:pos="9638"/>
        </w:tabs>
        <w:spacing w:after="120" w:line="220" w:lineRule="atLeast"/>
        <w:ind w:left="1559" w:hanging="1559"/>
        <w:rPr>
          <w:rStyle w:val="Hyperlink"/>
          <w:lang w:val="de-DE"/>
        </w:rPr>
      </w:pPr>
      <w:r w:rsidRPr="000974A4">
        <w:rPr>
          <w:rStyle w:val="Hyperlink"/>
          <w:lang w:val="de-DE"/>
        </w:rPr>
        <w:tab/>
      </w:r>
      <w:r w:rsidRPr="000974A4">
        <w:rPr>
          <w:rStyle w:val="Hyperlink"/>
          <w:lang w:val="de-DE"/>
        </w:rPr>
        <w:tab/>
      </w:r>
      <w:r w:rsidR="00993475" w:rsidRPr="000974A4">
        <w:rPr>
          <w:rStyle w:val="Hyperlink"/>
          <w:lang w:val="de-DE"/>
        </w:rPr>
        <w:t>B.</w:t>
      </w:r>
      <w:r w:rsidRPr="000974A4">
        <w:rPr>
          <w:rStyle w:val="Hyperlink"/>
          <w:lang w:val="de-DE"/>
        </w:rPr>
        <w:tab/>
      </w:r>
      <w:r w:rsidR="00993475" w:rsidRPr="000974A4">
        <w:rPr>
          <w:lang w:val="de-DE"/>
        </w:rPr>
        <w:t>Weitere Änderungsvorschläge</w:t>
      </w:r>
      <w:r w:rsidRPr="000974A4">
        <w:rPr>
          <w:rStyle w:val="Hyperlink"/>
          <w:lang w:val="de-DE"/>
        </w:rPr>
        <w:tab/>
      </w:r>
      <w:r w:rsidR="00826CF2" w:rsidRPr="000974A4">
        <w:rPr>
          <w:rStyle w:val="Hyperlink"/>
          <w:lang w:val="de-DE"/>
        </w:rPr>
        <w:tab/>
        <w:t>39-71</w:t>
      </w:r>
      <w:r w:rsidR="00826CF2" w:rsidRPr="000974A4">
        <w:rPr>
          <w:rStyle w:val="Hyperlink"/>
          <w:lang w:val="de-DE"/>
        </w:rPr>
        <w:tab/>
        <w:t>11</w:t>
      </w:r>
    </w:p>
    <w:p w14:paraId="417DC11A" w14:textId="7F3B43EF" w:rsidR="004D18E6" w:rsidRPr="000974A4" w:rsidRDefault="004D18E6" w:rsidP="00993475">
      <w:pPr>
        <w:tabs>
          <w:tab w:val="right" w:pos="851"/>
          <w:tab w:val="left" w:pos="1134"/>
          <w:tab w:val="left" w:pos="1559"/>
          <w:tab w:val="left" w:pos="1984"/>
          <w:tab w:val="left" w:leader="dot" w:pos="8080"/>
          <w:tab w:val="right" w:pos="8929"/>
          <w:tab w:val="right" w:pos="9638"/>
        </w:tabs>
        <w:spacing w:after="120" w:line="220" w:lineRule="atLeast"/>
        <w:ind w:left="1980" w:hanging="1980"/>
        <w:rPr>
          <w:lang w:val="de-DE"/>
        </w:rPr>
      </w:pPr>
      <w:r w:rsidRPr="000974A4">
        <w:rPr>
          <w:rStyle w:val="Hyperlink"/>
          <w:lang w:val="de-DE"/>
        </w:rPr>
        <w:tab/>
      </w:r>
      <w:r w:rsidRPr="000974A4">
        <w:rPr>
          <w:rStyle w:val="Hyperlink"/>
          <w:lang w:val="de-DE"/>
        </w:rPr>
        <w:tab/>
      </w:r>
      <w:r w:rsidRPr="000974A4">
        <w:rPr>
          <w:rStyle w:val="Hyperlink"/>
          <w:lang w:val="de-DE"/>
        </w:rPr>
        <w:tab/>
      </w:r>
      <w:r w:rsidR="00B36B20" w:rsidRPr="000974A4">
        <w:rPr>
          <w:rStyle w:val="Hyperlink"/>
          <w:lang w:val="de-DE"/>
        </w:rPr>
        <w:t>1</w:t>
      </w:r>
      <w:r w:rsidRPr="000974A4">
        <w:rPr>
          <w:lang w:val="de-DE"/>
        </w:rPr>
        <w:t>.</w:t>
      </w:r>
      <w:r w:rsidRPr="000974A4">
        <w:rPr>
          <w:lang w:val="de-DE"/>
        </w:rPr>
        <w:tab/>
      </w:r>
      <w:r w:rsidR="00993475" w:rsidRPr="000974A4">
        <w:rPr>
          <w:lang w:val="de-DE"/>
        </w:rPr>
        <w:t xml:space="preserve">Besondere Vorschriften für die Beförderung </w:t>
      </w:r>
      <w:proofErr w:type="spellStart"/>
      <w:r w:rsidR="00993475" w:rsidRPr="000974A4">
        <w:rPr>
          <w:lang w:val="de-DE"/>
        </w:rPr>
        <w:t>selbstzersetzlicher</w:t>
      </w:r>
      <w:proofErr w:type="spellEnd"/>
      <w:r w:rsidR="00993475" w:rsidRPr="000974A4">
        <w:rPr>
          <w:lang w:val="de-DE"/>
        </w:rPr>
        <w:t xml:space="preserve"> Stoffe der </w:t>
      </w:r>
      <w:r w:rsidR="00913A18" w:rsidRPr="000974A4">
        <w:rPr>
          <w:lang w:val="de-DE"/>
        </w:rPr>
        <w:br/>
      </w:r>
      <w:r w:rsidR="00993475" w:rsidRPr="000974A4">
        <w:rPr>
          <w:lang w:val="de-DE"/>
        </w:rPr>
        <w:t xml:space="preserve">Klasse 4.1, organischer Peroxide der Klasse 5.2 und anderer Stoffe (als </w:t>
      </w:r>
      <w:r w:rsidR="00913A18" w:rsidRPr="000974A4">
        <w:rPr>
          <w:lang w:val="de-DE"/>
        </w:rPr>
        <w:br/>
      </w:r>
      <w:proofErr w:type="spellStart"/>
      <w:r w:rsidR="00993475" w:rsidRPr="000974A4">
        <w:rPr>
          <w:lang w:val="de-DE"/>
        </w:rPr>
        <w:t>selbstzersetzliche</w:t>
      </w:r>
      <w:proofErr w:type="spellEnd"/>
      <w:r w:rsidR="00993475" w:rsidRPr="000974A4">
        <w:rPr>
          <w:lang w:val="de-DE"/>
        </w:rPr>
        <w:t xml:space="preserve"> Stoffe und organische Peroxide), die durch Temperatur</w:t>
      </w:r>
      <w:r w:rsidR="00913A18" w:rsidRPr="000974A4">
        <w:rPr>
          <w:lang w:val="de-DE"/>
        </w:rPr>
        <w:softHyphen/>
      </w:r>
      <w:r w:rsidR="00913A18" w:rsidRPr="000974A4">
        <w:rPr>
          <w:lang w:val="de-DE"/>
        </w:rPr>
        <w:br/>
      </w:r>
      <w:proofErr w:type="spellStart"/>
      <w:r w:rsidR="00993475" w:rsidRPr="000974A4">
        <w:rPr>
          <w:lang w:val="de-DE"/>
        </w:rPr>
        <w:t>kontrolle</w:t>
      </w:r>
      <w:proofErr w:type="spellEnd"/>
      <w:r w:rsidR="00993475" w:rsidRPr="000974A4">
        <w:rPr>
          <w:lang w:val="de-DE"/>
        </w:rPr>
        <w:t xml:space="preserve"> stabilisiert werden:</w:t>
      </w:r>
      <w:r w:rsidR="00BB059C" w:rsidRPr="000974A4">
        <w:rPr>
          <w:lang w:val="de-DE"/>
        </w:rPr>
        <w:t xml:space="preserve"> </w:t>
      </w:r>
      <w:r w:rsidR="00993475" w:rsidRPr="000974A4">
        <w:rPr>
          <w:lang w:val="de-DE"/>
        </w:rPr>
        <w:t>Abschnitt 7.1.7:</w:t>
      </w:r>
      <w:r w:rsidRPr="000974A4">
        <w:rPr>
          <w:lang w:val="de-DE"/>
        </w:rPr>
        <w:tab/>
      </w:r>
      <w:r w:rsidR="00826CF2" w:rsidRPr="000974A4">
        <w:rPr>
          <w:lang w:val="de-DE"/>
        </w:rPr>
        <w:tab/>
        <w:t>39-41</w:t>
      </w:r>
      <w:r w:rsidR="00826CF2" w:rsidRPr="000974A4">
        <w:rPr>
          <w:lang w:val="de-DE"/>
        </w:rPr>
        <w:tab/>
        <w:t>11</w:t>
      </w:r>
    </w:p>
    <w:p w14:paraId="327A86F1" w14:textId="63BA3763" w:rsidR="00B36B20" w:rsidRPr="000974A4" w:rsidRDefault="004D18E6" w:rsidP="00993475">
      <w:pPr>
        <w:tabs>
          <w:tab w:val="right" w:pos="851"/>
          <w:tab w:val="left" w:pos="1134"/>
          <w:tab w:val="left" w:pos="1559"/>
          <w:tab w:val="left" w:pos="1984"/>
          <w:tab w:val="left" w:leader="dot" w:pos="8080"/>
          <w:tab w:val="right" w:pos="8929"/>
          <w:tab w:val="right" w:pos="9638"/>
        </w:tabs>
        <w:spacing w:after="120" w:line="220" w:lineRule="atLeast"/>
        <w:ind w:left="1980" w:hanging="1980"/>
        <w:rPr>
          <w:lang w:val="de-DE"/>
        </w:rPr>
      </w:pPr>
      <w:r w:rsidRPr="000974A4">
        <w:rPr>
          <w:lang w:val="de-DE"/>
        </w:rPr>
        <w:tab/>
      </w:r>
      <w:r w:rsidRPr="000974A4">
        <w:rPr>
          <w:lang w:val="de-DE"/>
        </w:rPr>
        <w:tab/>
      </w:r>
      <w:r w:rsidRPr="000974A4">
        <w:rPr>
          <w:lang w:val="de-DE"/>
        </w:rPr>
        <w:tab/>
      </w:r>
      <w:r w:rsidR="00B36B20" w:rsidRPr="000974A4">
        <w:rPr>
          <w:lang w:val="de-DE"/>
        </w:rPr>
        <w:t>2.</w:t>
      </w:r>
      <w:r w:rsidR="00B36B20" w:rsidRPr="000974A4">
        <w:rPr>
          <w:lang w:val="de-DE"/>
        </w:rPr>
        <w:tab/>
      </w:r>
      <w:r w:rsidR="00993475" w:rsidRPr="000974A4">
        <w:rPr>
          <w:lang w:val="de-DE"/>
        </w:rPr>
        <w:t>Klarstellung des Absatzes 1.1.3.6.1</w:t>
      </w:r>
      <w:r w:rsidR="00B36B20" w:rsidRPr="000974A4">
        <w:rPr>
          <w:lang w:val="de-DE"/>
        </w:rPr>
        <w:tab/>
      </w:r>
      <w:r w:rsidR="00826CF2" w:rsidRPr="000974A4">
        <w:rPr>
          <w:lang w:val="de-DE"/>
        </w:rPr>
        <w:tab/>
        <w:t>42</w:t>
      </w:r>
      <w:r w:rsidR="00826CF2" w:rsidRPr="000974A4">
        <w:rPr>
          <w:lang w:val="de-DE"/>
        </w:rPr>
        <w:tab/>
        <w:t>11</w:t>
      </w:r>
    </w:p>
    <w:p w14:paraId="5395E6BF" w14:textId="77777777" w:rsidR="004E750C" w:rsidRPr="000974A4" w:rsidRDefault="004E750C">
      <w:pPr>
        <w:suppressAutoHyphens w:val="0"/>
        <w:spacing w:line="240" w:lineRule="auto"/>
        <w:rPr>
          <w:rStyle w:val="Hyperlink"/>
          <w:lang w:val="de-DE"/>
        </w:rPr>
      </w:pPr>
      <w:r w:rsidRPr="000974A4">
        <w:rPr>
          <w:rStyle w:val="Hyperlink"/>
          <w:lang w:val="de-DE"/>
        </w:rPr>
        <w:br w:type="page"/>
      </w:r>
    </w:p>
    <w:p w14:paraId="62657E7F" w14:textId="2F185587" w:rsidR="004D18E6" w:rsidRPr="000974A4" w:rsidRDefault="004D18E6" w:rsidP="00993475">
      <w:pPr>
        <w:tabs>
          <w:tab w:val="right" w:pos="851"/>
          <w:tab w:val="left" w:pos="1134"/>
          <w:tab w:val="left" w:pos="1559"/>
          <w:tab w:val="left" w:pos="1984"/>
          <w:tab w:val="left" w:leader="dot" w:pos="8080"/>
          <w:tab w:val="right" w:pos="8929"/>
          <w:tab w:val="right" w:pos="9638"/>
        </w:tabs>
        <w:spacing w:after="120" w:line="220" w:lineRule="atLeast"/>
        <w:ind w:left="1980" w:hanging="1980"/>
        <w:rPr>
          <w:lang w:val="de-DE"/>
        </w:rPr>
      </w:pPr>
      <w:r w:rsidRPr="000974A4">
        <w:rPr>
          <w:rStyle w:val="Hyperlink"/>
          <w:lang w:val="de-DE"/>
        </w:rPr>
        <w:lastRenderedPageBreak/>
        <w:tab/>
      </w:r>
      <w:r w:rsidRPr="000974A4">
        <w:rPr>
          <w:rStyle w:val="Hyperlink"/>
          <w:lang w:val="de-DE"/>
        </w:rPr>
        <w:tab/>
      </w:r>
      <w:r w:rsidRPr="000974A4">
        <w:rPr>
          <w:rStyle w:val="Hyperlink"/>
          <w:lang w:val="de-DE"/>
        </w:rPr>
        <w:tab/>
      </w:r>
      <w:r w:rsidR="00B36B20" w:rsidRPr="000974A4">
        <w:rPr>
          <w:rStyle w:val="Hyperlink"/>
          <w:lang w:val="de-DE"/>
        </w:rPr>
        <w:t>3</w:t>
      </w:r>
      <w:r w:rsidRPr="000974A4">
        <w:rPr>
          <w:rStyle w:val="Hyperlink"/>
          <w:lang w:val="de-DE"/>
        </w:rPr>
        <w:t>.</w:t>
      </w:r>
      <w:r w:rsidRPr="000974A4">
        <w:rPr>
          <w:rStyle w:val="Hyperlink"/>
          <w:lang w:val="de-DE"/>
        </w:rPr>
        <w:tab/>
      </w:r>
      <w:r w:rsidR="00993475" w:rsidRPr="000974A4">
        <w:rPr>
          <w:rStyle w:val="Hyperlink"/>
          <w:lang w:val="de-DE"/>
        </w:rPr>
        <w:t>Feuerlöscheinrichtungen (Absatz 9.1.0.40.1)</w:t>
      </w:r>
      <w:r w:rsidRPr="000974A4">
        <w:rPr>
          <w:lang w:val="de-DE"/>
        </w:rPr>
        <w:tab/>
      </w:r>
      <w:r w:rsidR="00826CF2" w:rsidRPr="000974A4">
        <w:rPr>
          <w:lang w:val="de-DE"/>
        </w:rPr>
        <w:tab/>
        <w:t>43</w:t>
      </w:r>
      <w:r w:rsidR="00826CF2" w:rsidRPr="000974A4">
        <w:rPr>
          <w:lang w:val="de-DE"/>
        </w:rPr>
        <w:tab/>
        <w:t>11</w:t>
      </w:r>
    </w:p>
    <w:p w14:paraId="6AB2B4A3" w14:textId="47A11378" w:rsidR="004D18E6" w:rsidRPr="000974A4" w:rsidRDefault="004D18E6" w:rsidP="00993475">
      <w:pPr>
        <w:tabs>
          <w:tab w:val="right" w:pos="851"/>
          <w:tab w:val="left" w:pos="1134"/>
          <w:tab w:val="left" w:pos="1559"/>
          <w:tab w:val="left" w:pos="1984"/>
          <w:tab w:val="left" w:leader="dot" w:pos="8080"/>
          <w:tab w:val="right" w:pos="8929"/>
          <w:tab w:val="right" w:pos="9638"/>
        </w:tabs>
        <w:spacing w:after="120" w:line="220" w:lineRule="atLeast"/>
        <w:ind w:left="1980" w:hanging="1980"/>
        <w:rPr>
          <w:lang w:val="de-DE"/>
        </w:rPr>
      </w:pPr>
      <w:r w:rsidRPr="000974A4">
        <w:rPr>
          <w:lang w:val="de-DE"/>
        </w:rPr>
        <w:tab/>
      </w:r>
      <w:r w:rsidRPr="000974A4">
        <w:rPr>
          <w:lang w:val="de-DE"/>
        </w:rPr>
        <w:tab/>
      </w:r>
      <w:r w:rsidRPr="000974A4">
        <w:rPr>
          <w:lang w:val="de-DE"/>
        </w:rPr>
        <w:tab/>
      </w:r>
      <w:r w:rsidR="00B36B20" w:rsidRPr="000974A4">
        <w:rPr>
          <w:lang w:val="de-DE"/>
        </w:rPr>
        <w:t>4</w:t>
      </w:r>
      <w:r w:rsidRPr="000974A4">
        <w:rPr>
          <w:lang w:val="de-DE"/>
        </w:rPr>
        <w:t>.</w:t>
      </w:r>
      <w:r w:rsidRPr="000974A4">
        <w:rPr>
          <w:lang w:val="de-DE"/>
        </w:rPr>
        <w:tab/>
      </w:r>
      <w:r w:rsidR="00993475" w:rsidRPr="000974A4">
        <w:rPr>
          <w:lang w:val="de-DE"/>
        </w:rPr>
        <w:t>Bauwerkstoffe (Unterabschnitt 9.1.0.0)</w:t>
      </w:r>
      <w:r w:rsidRPr="000974A4">
        <w:rPr>
          <w:lang w:val="de-DE"/>
        </w:rPr>
        <w:tab/>
      </w:r>
      <w:r w:rsidR="00826CF2" w:rsidRPr="000974A4">
        <w:rPr>
          <w:lang w:val="de-DE"/>
        </w:rPr>
        <w:tab/>
        <w:t>44</w:t>
      </w:r>
      <w:r w:rsidR="00826CF2" w:rsidRPr="000974A4">
        <w:rPr>
          <w:lang w:val="de-DE"/>
        </w:rPr>
        <w:tab/>
        <w:t>11</w:t>
      </w:r>
    </w:p>
    <w:p w14:paraId="64C8BDA2" w14:textId="5EB869B6" w:rsidR="004D18E6" w:rsidRPr="000974A4" w:rsidRDefault="004D18E6" w:rsidP="00F723C1">
      <w:pPr>
        <w:tabs>
          <w:tab w:val="right" w:pos="851"/>
          <w:tab w:val="left" w:pos="1134"/>
          <w:tab w:val="left" w:pos="1559"/>
          <w:tab w:val="left" w:pos="1984"/>
          <w:tab w:val="left" w:leader="dot" w:pos="8080"/>
          <w:tab w:val="right" w:pos="8929"/>
          <w:tab w:val="right" w:pos="9638"/>
        </w:tabs>
        <w:spacing w:after="120" w:line="220" w:lineRule="atLeast"/>
        <w:ind w:left="1980" w:hanging="1980"/>
        <w:rPr>
          <w:lang w:val="de-DE"/>
        </w:rPr>
      </w:pPr>
      <w:r w:rsidRPr="000974A4">
        <w:rPr>
          <w:lang w:val="de-DE"/>
        </w:rPr>
        <w:tab/>
      </w:r>
      <w:r w:rsidRPr="000974A4">
        <w:rPr>
          <w:lang w:val="de-DE"/>
        </w:rPr>
        <w:tab/>
      </w:r>
      <w:r w:rsidRPr="000974A4">
        <w:rPr>
          <w:lang w:val="de-DE"/>
        </w:rPr>
        <w:tab/>
      </w:r>
      <w:r w:rsidR="00B36B20" w:rsidRPr="000974A4">
        <w:rPr>
          <w:lang w:val="de-DE"/>
        </w:rPr>
        <w:t>5</w:t>
      </w:r>
      <w:r w:rsidRPr="000974A4">
        <w:rPr>
          <w:lang w:val="de-DE"/>
        </w:rPr>
        <w:t>.</w:t>
      </w:r>
      <w:r w:rsidRPr="000974A4">
        <w:rPr>
          <w:lang w:val="de-DE"/>
        </w:rPr>
        <w:tab/>
      </w:r>
      <w:r w:rsidR="00993475" w:rsidRPr="000974A4">
        <w:rPr>
          <w:lang w:val="de-DE"/>
        </w:rPr>
        <w:t xml:space="preserve">Bunkern von </w:t>
      </w:r>
      <w:r w:rsidR="00F723C1" w:rsidRPr="000974A4">
        <w:rPr>
          <w:lang w:val="de-DE"/>
        </w:rPr>
        <w:t>verf</w:t>
      </w:r>
      <w:r w:rsidR="00993475" w:rsidRPr="000974A4">
        <w:rPr>
          <w:lang w:val="de-DE"/>
        </w:rPr>
        <w:t>lüssig</w:t>
      </w:r>
      <w:r w:rsidR="00F723C1" w:rsidRPr="000974A4">
        <w:rPr>
          <w:lang w:val="de-DE"/>
        </w:rPr>
        <w:t>tem E</w:t>
      </w:r>
      <w:r w:rsidR="00993475" w:rsidRPr="000974A4">
        <w:rPr>
          <w:lang w:val="de-DE"/>
        </w:rPr>
        <w:t>rdgas (LNG)</w:t>
      </w:r>
      <w:r w:rsidRPr="000974A4">
        <w:rPr>
          <w:lang w:val="de-DE"/>
        </w:rPr>
        <w:tab/>
      </w:r>
      <w:r w:rsidR="00826CF2" w:rsidRPr="000974A4">
        <w:rPr>
          <w:lang w:val="de-DE"/>
        </w:rPr>
        <w:tab/>
        <w:t>45-47</w:t>
      </w:r>
      <w:r w:rsidR="00826CF2" w:rsidRPr="000974A4">
        <w:rPr>
          <w:lang w:val="de-DE"/>
        </w:rPr>
        <w:tab/>
        <w:t>11</w:t>
      </w:r>
    </w:p>
    <w:p w14:paraId="041FE9B0" w14:textId="000D0EA6" w:rsidR="004D18E6" w:rsidRPr="000974A4" w:rsidRDefault="004D18E6" w:rsidP="00F723C1">
      <w:pPr>
        <w:tabs>
          <w:tab w:val="right" w:pos="851"/>
          <w:tab w:val="left" w:pos="1134"/>
          <w:tab w:val="left" w:pos="1559"/>
          <w:tab w:val="left" w:pos="1984"/>
          <w:tab w:val="left" w:leader="dot" w:pos="8080"/>
          <w:tab w:val="right" w:pos="8929"/>
          <w:tab w:val="right" w:pos="9638"/>
        </w:tabs>
        <w:spacing w:after="120" w:line="220" w:lineRule="atLeast"/>
        <w:ind w:left="1980" w:hanging="1980"/>
        <w:rPr>
          <w:lang w:val="de-DE"/>
        </w:rPr>
      </w:pPr>
      <w:r w:rsidRPr="000974A4">
        <w:rPr>
          <w:lang w:val="de-DE"/>
        </w:rPr>
        <w:tab/>
      </w:r>
      <w:r w:rsidRPr="000974A4">
        <w:rPr>
          <w:lang w:val="de-DE"/>
        </w:rPr>
        <w:tab/>
      </w:r>
      <w:r w:rsidRPr="000974A4">
        <w:rPr>
          <w:lang w:val="de-DE"/>
        </w:rPr>
        <w:tab/>
      </w:r>
      <w:r w:rsidR="00B36B20" w:rsidRPr="000974A4">
        <w:rPr>
          <w:lang w:val="de-DE"/>
        </w:rPr>
        <w:t>6</w:t>
      </w:r>
      <w:r w:rsidRPr="000974A4">
        <w:rPr>
          <w:lang w:val="de-DE"/>
        </w:rPr>
        <w:t>.</w:t>
      </w:r>
      <w:r w:rsidRPr="000974A4">
        <w:rPr>
          <w:lang w:val="de-DE"/>
        </w:rPr>
        <w:tab/>
      </w:r>
      <w:r w:rsidR="00F723C1" w:rsidRPr="000974A4">
        <w:rPr>
          <w:lang w:val="de-DE"/>
        </w:rPr>
        <w:t>Änderungen und Berichtigungen der dem ADN beigefügten Verordnung</w:t>
      </w:r>
      <w:r w:rsidRPr="000974A4">
        <w:rPr>
          <w:lang w:val="de-DE"/>
        </w:rPr>
        <w:tab/>
      </w:r>
      <w:r w:rsidR="00826CF2" w:rsidRPr="000974A4">
        <w:rPr>
          <w:lang w:val="de-DE"/>
        </w:rPr>
        <w:tab/>
        <w:t>48-50</w:t>
      </w:r>
      <w:r w:rsidR="00826CF2" w:rsidRPr="000974A4">
        <w:rPr>
          <w:lang w:val="de-DE"/>
        </w:rPr>
        <w:tab/>
        <w:t>12</w:t>
      </w:r>
    </w:p>
    <w:p w14:paraId="5754C5C0" w14:textId="32A58AA1" w:rsidR="004D18E6" w:rsidRPr="000974A4" w:rsidRDefault="004D18E6" w:rsidP="00F723C1">
      <w:pPr>
        <w:tabs>
          <w:tab w:val="right" w:pos="851"/>
          <w:tab w:val="left" w:pos="1134"/>
          <w:tab w:val="left" w:pos="1559"/>
          <w:tab w:val="left" w:pos="1984"/>
          <w:tab w:val="left" w:leader="dot" w:pos="8080"/>
          <w:tab w:val="right" w:pos="8929"/>
          <w:tab w:val="right" w:pos="9638"/>
        </w:tabs>
        <w:spacing w:after="120" w:line="220" w:lineRule="atLeast"/>
        <w:ind w:left="1980" w:hanging="1980"/>
        <w:rPr>
          <w:lang w:val="de-DE"/>
        </w:rPr>
      </w:pPr>
      <w:r w:rsidRPr="000974A4">
        <w:rPr>
          <w:lang w:val="de-DE"/>
        </w:rPr>
        <w:tab/>
      </w:r>
      <w:r w:rsidRPr="000974A4">
        <w:rPr>
          <w:lang w:val="de-DE"/>
        </w:rPr>
        <w:tab/>
      </w:r>
      <w:r w:rsidRPr="000974A4">
        <w:rPr>
          <w:lang w:val="de-DE"/>
        </w:rPr>
        <w:tab/>
      </w:r>
      <w:r w:rsidR="00B36B20" w:rsidRPr="000974A4">
        <w:rPr>
          <w:lang w:val="de-DE"/>
        </w:rPr>
        <w:t>7</w:t>
      </w:r>
      <w:r w:rsidRPr="000974A4">
        <w:rPr>
          <w:lang w:val="de-DE"/>
        </w:rPr>
        <w:t>.</w:t>
      </w:r>
      <w:r w:rsidRPr="000974A4">
        <w:rPr>
          <w:lang w:val="de-DE"/>
        </w:rPr>
        <w:tab/>
      </w:r>
      <w:r w:rsidR="00F723C1" w:rsidRPr="000974A4">
        <w:rPr>
          <w:lang w:val="de-DE"/>
        </w:rPr>
        <w:t>Tabelle C:</w:t>
      </w:r>
      <w:r w:rsidR="00393DF5" w:rsidRPr="000974A4">
        <w:rPr>
          <w:lang w:val="de-DE"/>
        </w:rPr>
        <w:t xml:space="preserve"> </w:t>
      </w:r>
      <w:r w:rsidR="00F723C1" w:rsidRPr="000974A4">
        <w:rPr>
          <w:lang w:val="de-DE"/>
        </w:rPr>
        <w:t>UN-Nr. 3295</w:t>
      </w:r>
      <w:r w:rsidRPr="000974A4">
        <w:rPr>
          <w:lang w:val="de-DE"/>
        </w:rPr>
        <w:tab/>
      </w:r>
      <w:r w:rsidR="00826CF2" w:rsidRPr="000974A4">
        <w:rPr>
          <w:lang w:val="de-DE"/>
        </w:rPr>
        <w:tab/>
        <w:t>51</w:t>
      </w:r>
      <w:r w:rsidR="00826CF2" w:rsidRPr="000974A4">
        <w:rPr>
          <w:lang w:val="de-DE"/>
        </w:rPr>
        <w:tab/>
        <w:t>12</w:t>
      </w:r>
    </w:p>
    <w:p w14:paraId="498B3AA3" w14:textId="4B1CC20E" w:rsidR="004D18E6" w:rsidRPr="000974A4" w:rsidRDefault="004D18E6" w:rsidP="00F723C1">
      <w:pPr>
        <w:tabs>
          <w:tab w:val="right" w:pos="851"/>
          <w:tab w:val="left" w:pos="1134"/>
          <w:tab w:val="left" w:pos="1559"/>
          <w:tab w:val="left" w:pos="1984"/>
          <w:tab w:val="left" w:leader="dot" w:pos="8080"/>
          <w:tab w:val="right" w:pos="8929"/>
          <w:tab w:val="right" w:pos="9638"/>
        </w:tabs>
        <w:spacing w:after="120" w:line="220" w:lineRule="atLeast"/>
        <w:ind w:left="1980" w:hanging="1980"/>
        <w:rPr>
          <w:lang w:val="de-DE"/>
        </w:rPr>
      </w:pPr>
      <w:r w:rsidRPr="000974A4">
        <w:rPr>
          <w:lang w:val="de-DE"/>
        </w:rPr>
        <w:tab/>
      </w:r>
      <w:r w:rsidRPr="000974A4">
        <w:rPr>
          <w:lang w:val="de-DE"/>
        </w:rPr>
        <w:tab/>
      </w:r>
      <w:r w:rsidRPr="000974A4">
        <w:rPr>
          <w:lang w:val="de-DE"/>
        </w:rPr>
        <w:tab/>
      </w:r>
      <w:r w:rsidR="00B36B20" w:rsidRPr="000974A4">
        <w:rPr>
          <w:lang w:val="de-DE"/>
        </w:rPr>
        <w:t>8</w:t>
      </w:r>
      <w:r w:rsidRPr="000974A4">
        <w:rPr>
          <w:lang w:val="de-DE"/>
        </w:rPr>
        <w:t>.</w:t>
      </w:r>
      <w:r w:rsidRPr="000974A4">
        <w:rPr>
          <w:lang w:val="de-DE"/>
        </w:rPr>
        <w:tab/>
      </w:r>
      <w:r w:rsidR="00F723C1" w:rsidRPr="000974A4">
        <w:rPr>
          <w:lang w:val="de-DE"/>
        </w:rPr>
        <w:t>Vorschläge zur Anpassung der Verweise auf die CEVNI im ADN</w:t>
      </w:r>
      <w:r w:rsidRPr="000974A4">
        <w:rPr>
          <w:lang w:val="de-DE"/>
        </w:rPr>
        <w:tab/>
      </w:r>
      <w:r w:rsidR="00826CF2" w:rsidRPr="000974A4">
        <w:rPr>
          <w:lang w:val="de-DE"/>
        </w:rPr>
        <w:tab/>
        <w:t>52</w:t>
      </w:r>
      <w:r w:rsidR="00826CF2" w:rsidRPr="000974A4">
        <w:rPr>
          <w:lang w:val="de-DE"/>
        </w:rPr>
        <w:tab/>
        <w:t>12</w:t>
      </w:r>
    </w:p>
    <w:p w14:paraId="7D5569C2" w14:textId="0B7A3F18" w:rsidR="004D18E6" w:rsidRPr="000974A4" w:rsidRDefault="004D18E6" w:rsidP="008106AE">
      <w:pPr>
        <w:tabs>
          <w:tab w:val="right" w:pos="851"/>
          <w:tab w:val="left" w:pos="1134"/>
          <w:tab w:val="left" w:pos="1559"/>
          <w:tab w:val="left" w:pos="1984"/>
          <w:tab w:val="left" w:leader="dot" w:pos="8080"/>
          <w:tab w:val="right" w:pos="8929"/>
          <w:tab w:val="right" w:pos="9638"/>
        </w:tabs>
        <w:spacing w:after="120" w:line="220" w:lineRule="atLeast"/>
        <w:ind w:left="1980" w:hanging="1980"/>
        <w:rPr>
          <w:lang w:val="de-DE"/>
        </w:rPr>
      </w:pPr>
      <w:r w:rsidRPr="000974A4">
        <w:rPr>
          <w:lang w:val="de-DE"/>
        </w:rPr>
        <w:tab/>
      </w:r>
      <w:r w:rsidRPr="000974A4">
        <w:rPr>
          <w:lang w:val="de-DE"/>
        </w:rPr>
        <w:tab/>
      </w:r>
      <w:r w:rsidRPr="000974A4">
        <w:rPr>
          <w:lang w:val="de-DE"/>
        </w:rPr>
        <w:tab/>
      </w:r>
      <w:r w:rsidR="00B36B20" w:rsidRPr="000974A4">
        <w:rPr>
          <w:lang w:val="de-DE"/>
        </w:rPr>
        <w:t>9</w:t>
      </w:r>
      <w:r w:rsidRPr="000974A4">
        <w:rPr>
          <w:lang w:val="de-DE"/>
        </w:rPr>
        <w:t>.</w:t>
      </w:r>
      <w:r w:rsidRPr="000974A4">
        <w:rPr>
          <w:lang w:val="de-DE"/>
        </w:rPr>
        <w:tab/>
      </w:r>
      <w:r w:rsidR="008106AE" w:rsidRPr="000974A4">
        <w:rPr>
          <w:lang w:val="de-DE"/>
        </w:rPr>
        <w:t>Berichtigung</w:t>
      </w:r>
      <w:r w:rsidR="00F723C1" w:rsidRPr="000974A4">
        <w:rPr>
          <w:lang w:val="de-DE"/>
        </w:rPr>
        <w:t xml:space="preserve"> der Beispiele für Schiffstypen in</w:t>
      </w:r>
      <w:r w:rsidR="008106AE" w:rsidRPr="000974A4">
        <w:rPr>
          <w:lang w:val="de-DE"/>
        </w:rPr>
        <w:t xml:space="preserve"> Abschnitt</w:t>
      </w:r>
      <w:r w:rsidR="00F723C1" w:rsidRPr="000974A4">
        <w:rPr>
          <w:lang w:val="de-DE"/>
        </w:rPr>
        <w:t xml:space="preserve"> 1.2.1</w:t>
      </w:r>
      <w:r w:rsidRPr="000974A4">
        <w:rPr>
          <w:lang w:val="de-DE"/>
        </w:rPr>
        <w:tab/>
      </w:r>
      <w:r w:rsidR="00826CF2" w:rsidRPr="000974A4">
        <w:rPr>
          <w:lang w:val="de-DE"/>
        </w:rPr>
        <w:tab/>
        <w:t>53</w:t>
      </w:r>
      <w:r w:rsidR="00826CF2" w:rsidRPr="000974A4">
        <w:rPr>
          <w:lang w:val="de-DE"/>
        </w:rPr>
        <w:tab/>
        <w:t>12</w:t>
      </w:r>
    </w:p>
    <w:p w14:paraId="1C3F9FA5" w14:textId="5592D7CA" w:rsidR="00B36B20" w:rsidRPr="000974A4" w:rsidRDefault="00B36B20" w:rsidP="008106AE">
      <w:pPr>
        <w:tabs>
          <w:tab w:val="right" w:pos="851"/>
          <w:tab w:val="left" w:pos="1134"/>
          <w:tab w:val="left" w:pos="1559"/>
          <w:tab w:val="left" w:pos="1984"/>
          <w:tab w:val="left" w:leader="dot" w:pos="8080"/>
          <w:tab w:val="right" w:pos="8929"/>
          <w:tab w:val="right" w:pos="9638"/>
        </w:tabs>
        <w:spacing w:after="120" w:line="220" w:lineRule="atLeast"/>
        <w:ind w:left="1980" w:hanging="1980"/>
        <w:rPr>
          <w:lang w:val="de-DE"/>
        </w:rPr>
      </w:pPr>
      <w:r w:rsidRPr="000974A4">
        <w:rPr>
          <w:lang w:val="de-DE"/>
        </w:rPr>
        <w:tab/>
      </w:r>
      <w:r w:rsidRPr="000974A4">
        <w:rPr>
          <w:lang w:val="de-DE"/>
        </w:rPr>
        <w:tab/>
      </w:r>
      <w:r w:rsidRPr="000974A4">
        <w:rPr>
          <w:lang w:val="de-DE"/>
        </w:rPr>
        <w:tab/>
        <w:t>10.</w:t>
      </w:r>
      <w:r w:rsidRPr="000974A4">
        <w:rPr>
          <w:lang w:val="de-DE"/>
        </w:rPr>
        <w:tab/>
      </w:r>
      <w:r w:rsidR="008106AE" w:rsidRPr="000974A4">
        <w:rPr>
          <w:lang w:val="de-DE"/>
        </w:rPr>
        <w:t>Aktualisierung der Schiffskontrolllisten gemäß Absatz 1.8.1.2.1</w:t>
      </w:r>
      <w:r w:rsidRPr="000974A4">
        <w:rPr>
          <w:lang w:val="de-DE"/>
        </w:rPr>
        <w:tab/>
      </w:r>
      <w:r w:rsidR="00826CF2" w:rsidRPr="000974A4">
        <w:rPr>
          <w:lang w:val="de-DE"/>
        </w:rPr>
        <w:tab/>
        <w:t>54</w:t>
      </w:r>
      <w:r w:rsidR="00826CF2" w:rsidRPr="000974A4">
        <w:rPr>
          <w:lang w:val="de-DE"/>
        </w:rPr>
        <w:tab/>
        <w:t>12</w:t>
      </w:r>
    </w:p>
    <w:p w14:paraId="6471A5F6" w14:textId="1FAA20D6" w:rsidR="005A0933" w:rsidRPr="000974A4" w:rsidRDefault="005A0933" w:rsidP="008106AE">
      <w:pPr>
        <w:tabs>
          <w:tab w:val="right" w:pos="851"/>
          <w:tab w:val="left" w:pos="1134"/>
          <w:tab w:val="left" w:pos="1559"/>
          <w:tab w:val="left" w:pos="1984"/>
          <w:tab w:val="left" w:leader="dot" w:pos="8080"/>
          <w:tab w:val="right" w:pos="8929"/>
          <w:tab w:val="right" w:pos="9638"/>
        </w:tabs>
        <w:spacing w:after="120" w:line="220" w:lineRule="atLeast"/>
        <w:ind w:left="1980" w:hanging="1980"/>
        <w:rPr>
          <w:lang w:val="de-DE"/>
        </w:rPr>
      </w:pPr>
      <w:r w:rsidRPr="000974A4">
        <w:rPr>
          <w:lang w:val="de-DE"/>
        </w:rPr>
        <w:tab/>
      </w:r>
      <w:r w:rsidRPr="000974A4">
        <w:rPr>
          <w:lang w:val="de-DE"/>
        </w:rPr>
        <w:tab/>
      </w:r>
      <w:r w:rsidRPr="000974A4">
        <w:rPr>
          <w:lang w:val="de-DE"/>
        </w:rPr>
        <w:tab/>
      </w:r>
      <w:r w:rsidR="00B36B20" w:rsidRPr="000974A4">
        <w:rPr>
          <w:lang w:val="de-DE"/>
        </w:rPr>
        <w:t>11</w:t>
      </w:r>
      <w:r w:rsidRPr="000974A4">
        <w:rPr>
          <w:lang w:val="de-DE"/>
        </w:rPr>
        <w:t>.</w:t>
      </w:r>
      <w:r w:rsidRPr="000974A4">
        <w:rPr>
          <w:lang w:val="de-DE"/>
        </w:rPr>
        <w:tab/>
      </w:r>
      <w:r w:rsidR="008106AE" w:rsidRPr="000974A4">
        <w:rPr>
          <w:lang w:val="de-DE"/>
        </w:rPr>
        <w:t>Unterabschnitt 3.2.3.3, Schema A:</w:t>
      </w:r>
      <w:r w:rsidR="00393DF5" w:rsidRPr="000974A4">
        <w:rPr>
          <w:lang w:val="de-DE"/>
        </w:rPr>
        <w:t xml:space="preserve"> </w:t>
      </w:r>
      <w:r w:rsidR="008106AE" w:rsidRPr="000974A4">
        <w:rPr>
          <w:lang w:val="de-DE"/>
        </w:rPr>
        <w:t xml:space="preserve">Kriterien für die Ladetankausrüstung </w:t>
      </w:r>
      <w:r w:rsidR="00913A18" w:rsidRPr="000974A4">
        <w:rPr>
          <w:lang w:val="de-DE"/>
        </w:rPr>
        <w:br/>
      </w:r>
      <w:r w:rsidR="008106AE" w:rsidRPr="000974A4">
        <w:rPr>
          <w:lang w:val="de-DE"/>
        </w:rPr>
        <w:t>von C-Schiffen</w:t>
      </w:r>
      <w:r w:rsidRPr="000974A4">
        <w:rPr>
          <w:lang w:val="de-DE"/>
        </w:rPr>
        <w:tab/>
      </w:r>
      <w:r w:rsidR="00826CF2" w:rsidRPr="000974A4">
        <w:rPr>
          <w:lang w:val="de-DE"/>
        </w:rPr>
        <w:tab/>
        <w:t>55-56</w:t>
      </w:r>
      <w:r w:rsidR="00826CF2" w:rsidRPr="000974A4">
        <w:rPr>
          <w:lang w:val="de-DE"/>
        </w:rPr>
        <w:tab/>
        <w:t>13</w:t>
      </w:r>
    </w:p>
    <w:p w14:paraId="276CF947" w14:textId="13982226" w:rsidR="00B36B20" w:rsidRPr="000974A4" w:rsidRDefault="00B36B20" w:rsidP="00C46D83">
      <w:pPr>
        <w:tabs>
          <w:tab w:val="right" w:pos="851"/>
          <w:tab w:val="left" w:pos="1134"/>
          <w:tab w:val="left" w:pos="1559"/>
          <w:tab w:val="left" w:pos="1984"/>
          <w:tab w:val="left" w:leader="dot" w:pos="8080"/>
          <w:tab w:val="right" w:pos="8929"/>
          <w:tab w:val="right" w:pos="9638"/>
        </w:tabs>
        <w:spacing w:after="120" w:line="220" w:lineRule="atLeast"/>
        <w:ind w:left="1980" w:hanging="1980"/>
        <w:rPr>
          <w:rStyle w:val="Hyperlink"/>
          <w:lang w:val="de-DE"/>
        </w:rPr>
      </w:pPr>
      <w:r w:rsidRPr="000974A4">
        <w:rPr>
          <w:rStyle w:val="Hyperlink"/>
          <w:lang w:val="de-DE"/>
        </w:rPr>
        <w:tab/>
      </w:r>
      <w:r w:rsidRPr="000974A4">
        <w:rPr>
          <w:rStyle w:val="Hyperlink"/>
          <w:lang w:val="de-DE"/>
        </w:rPr>
        <w:tab/>
      </w:r>
      <w:r w:rsidRPr="000974A4">
        <w:rPr>
          <w:rStyle w:val="Hyperlink"/>
          <w:lang w:val="de-DE"/>
        </w:rPr>
        <w:tab/>
        <w:t>12.</w:t>
      </w:r>
      <w:r w:rsidRPr="000974A4">
        <w:rPr>
          <w:rStyle w:val="Hyperlink"/>
          <w:lang w:val="de-DE"/>
        </w:rPr>
        <w:tab/>
      </w:r>
      <w:r w:rsidR="008106AE" w:rsidRPr="000974A4">
        <w:rPr>
          <w:rStyle w:val="Hyperlink"/>
          <w:lang w:val="de-DE"/>
        </w:rPr>
        <w:t>Begriffsbestimmung „Gasabfuhrleitung“</w:t>
      </w:r>
      <w:r w:rsidR="00C46D83" w:rsidRPr="000974A4">
        <w:rPr>
          <w:rStyle w:val="Hyperlink"/>
          <w:lang w:val="de-DE"/>
        </w:rPr>
        <w:t xml:space="preserve"> „an Bord“</w:t>
      </w:r>
      <w:r w:rsidR="008106AE" w:rsidRPr="000974A4">
        <w:rPr>
          <w:rStyle w:val="Hyperlink"/>
          <w:lang w:val="de-DE"/>
        </w:rPr>
        <w:t xml:space="preserve"> in Abschnitt 1.2.1</w:t>
      </w:r>
      <w:r w:rsidRPr="000974A4">
        <w:rPr>
          <w:rStyle w:val="Hyperlink"/>
          <w:lang w:val="de-DE"/>
        </w:rPr>
        <w:tab/>
      </w:r>
      <w:r w:rsidRPr="000974A4">
        <w:rPr>
          <w:rStyle w:val="Hyperlink"/>
          <w:lang w:val="de-DE"/>
        </w:rPr>
        <w:tab/>
      </w:r>
      <w:r w:rsidR="00826CF2" w:rsidRPr="000974A4">
        <w:rPr>
          <w:rStyle w:val="Hyperlink"/>
          <w:lang w:val="de-DE"/>
        </w:rPr>
        <w:t>57</w:t>
      </w:r>
      <w:r w:rsidR="00826CF2" w:rsidRPr="000974A4">
        <w:rPr>
          <w:rStyle w:val="Hyperlink"/>
          <w:lang w:val="de-DE"/>
        </w:rPr>
        <w:tab/>
        <w:t>13</w:t>
      </w:r>
    </w:p>
    <w:p w14:paraId="5F199D1A" w14:textId="3DE6D1C8" w:rsidR="00B36B20" w:rsidRPr="000974A4" w:rsidRDefault="00B36B20" w:rsidP="00C46D83">
      <w:pPr>
        <w:tabs>
          <w:tab w:val="right" w:pos="851"/>
          <w:tab w:val="left" w:pos="1134"/>
          <w:tab w:val="left" w:pos="1559"/>
          <w:tab w:val="left" w:pos="1984"/>
          <w:tab w:val="left" w:leader="dot" w:pos="8080"/>
          <w:tab w:val="right" w:pos="8929"/>
          <w:tab w:val="right" w:pos="9638"/>
        </w:tabs>
        <w:spacing w:after="120" w:line="220" w:lineRule="atLeast"/>
        <w:ind w:left="1980" w:hanging="1980"/>
        <w:rPr>
          <w:lang w:val="de-DE"/>
        </w:rPr>
      </w:pPr>
      <w:r w:rsidRPr="000974A4">
        <w:rPr>
          <w:lang w:val="de-DE"/>
        </w:rPr>
        <w:tab/>
      </w:r>
      <w:r w:rsidRPr="000974A4">
        <w:rPr>
          <w:lang w:val="de-DE"/>
        </w:rPr>
        <w:tab/>
      </w:r>
      <w:r w:rsidRPr="000974A4">
        <w:rPr>
          <w:lang w:val="de-DE"/>
        </w:rPr>
        <w:tab/>
        <w:t>13.</w:t>
      </w:r>
      <w:r w:rsidRPr="000974A4">
        <w:rPr>
          <w:lang w:val="de-DE"/>
        </w:rPr>
        <w:tab/>
      </w:r>
      <w:r w:rsidR="00C46D83" w:rsidRPr="000974A4">
        <w:rPr>
          <w:lang w:val="de-DE"/>
        </w:rPr>
        <w:t>Kopfzeile der Tabelle C</w:t>
      </w:r>
      <w:r w:rsidRPr="000974A4">
        <w:rPr>
          <w:lang w:val="de-DE"/>
        </w:rPr>
        <w:tab/>
      </w:r>
      <w:r w:rsidRPr="000974A4">
        <w:rPr>
          <w:lang w:val="de-DE"/>
        </w:rPr>
        <w:tab/>
      </w:r>
      <w:r w:rsidR="00826CF2" w:rsidRPr="000974A4">
        <w:rPr>
          <w:lang w:val="de-DE"/>
        </w:rPr>
        <w:t>58</w:t>
      </w:r>
      <w:r w:rsidR="00826CF2" w:rsidRPr="000974A4">
        <w:rPr>
          <w:lang w:val="de-DE"/>
        </w:rPr>
        <w:tab/>
        <w:t>13</w:t>
      </w:r>
    </w:p>
    <w:p w14:paraId="7F86F61A" w14:textId="07C6306B" w:rsidR="00B36B20" w:rsidRPr="000974A4" w:rsidRDefault="00B36B20" w:rsidP="00C46D83">
      <w:pPr>
        <w:tabs>
          <w:tab w:val="right" w:pos="851"/>
          <w:tab w:val="left" w:pos="1134"/>
          <w:tab w:val="left" w:pos="1559"/>
          <w:tab w:val="left" w:pos="1984"/>
          <w:tab w:val="left" w:leader="dot" w:pos="8080"/>
          <w:tab w:val="right" w:pos="8929"/>
          <w:tab w:val="right" w:pos="9638"/>
        </w:tabs>
        <w:spacing w:after="120" w:line="220" w:lineRule="atLeast"/>
        <w:ind w:left="1980" w:hanging="1980"/>
        <w:rPr>
          <w:lang w:val="de-DE"/>
        </w:rPr>
      </w:pPr>
      <w:r w:rsidRPr="000974A4">
        <w:rPr>
          <w:rStyle w:val="Hyperlink"/>
          <w:lang w:val="de-DE"/>
        </w:rPr>
        <w:tab/>
      </w:r>
      <w:r w:rsidRPr="000974A4">
        <w:rPr>
          <w:rStyle w:val="Hyperlink"/>
          <w:lang w:val="de-DE"/>
        </w:rPr>
        <w:tab/>
      </w:r>
      <w:r w:rsidRPr="000974A4">
        <w:rPr>
          <w:rStyle w:val="Hyperlink"/>
          <w:lang w:val="de-DE"/>
        </w:rPr>
        <w:tab/>
        <w:t>14.</w:t>
      </w:r>
      <w:r w:rsidRPr="000974A4">
        <w:rPr>
          <w:rStyle w:val="Hyperlink"/>
          <w:lang w:val="de-DE"/>
        </w:rPr>
        <w:tab/>
      </w:r>
      <w:r w:rsidR="00C46D83" w:rsidRPr="000974A4">
        <w:rPr>
          <w:lang w:val="de-DE"/>
        </w:rPr>
        <w:t>Implementierung des modifizierten Explosionsschutzkonzepts</w:t>
      </w:r>
      <w:r w:rsidR="00C46D83" w:rsidRPr="000974A4">
        <w:rPr>
          <w:lang w:val="de-DE"/>
        </w:rPr>
        <w:br/>
        <w:t>auf Binnenschiffen: Auslegungsfragen</w:t>
      </w:r>
      <w:r w:rsidRPr="000974A4">
        <w:rPr>
          <w:lang w:val="de-DE"/>
        </w:rPr>
        <w:tab/>
      </w:r>
      <w:r w:rsidR="00826CF2" w:rsidRPr="000974A4">
        <w:rPr>
          <w:lang w:val="de-DE"/>
        </w:rPr>
        <w:tab/>
        <w:t>59-66</w:t>
      </w:r>
      <w:r w:rsidR="00826CF2" w:rsidRPr="000974A4">
        <w:rPr>
          <w:lang w:val="de-DE"/>
        </w:rPr>
        <w:tab/>
        <w:t>13</w:t>
      </w:r>
    </w:p>
    <w:p w14:paraId="75B3D3D0" w14:textId="0C475BDB" w:rsidR="00B36B20" w:rsidRPr="000974A4" w:rsidRDefault="00B36B20" w:rsidP="00C46D83">
      <w:pPr>
        <w:tabs>
          <w:tab w:val="right" w:pos="851"/>
          <w:tab w:val="left" w:pos="1134"/>
          <w:tab w:val="left" w:pos="1559"/>
          <w:tab w:val="left" w:pos="1984"/>
          <w:tab w:val="left" w:leader="dot" w:pos="8080"/>
          <w:tab w:val="right" w:pos="8929"/>
          <w:tab w:val="right" w:pos="9638"/>
        </w:tabs>
        <w:spacing w:after="120" w:line="220" w:lineRule="atLeast"/>
        <w:ind w:left="1980" w:hanging="1980"/>
        <w:rPr>
          <w:lang w:val="de-DE"/>
        </w:rPr>
      </w:pPr>
      <w:r w:rsidRPr="000974A4">
        <w:rPr>
          <w:lang w:val="de-DE"/>
        </w:rPr>
        <w:tab/>
      </w:r>
      <w:r w:rsidRPr="000974A4">
        <w:rPr>
          <w:lang w:val="de-DE"/>
        </w:rPr>
        <w:tab/>
      </w:r>
      <w:r w:rsidRPr="000974A4">
        <w:rPr>
          <w:lang w:val="de-DE"/>
        </w:rPr>
        <w:tab/>
        <w:t>15.</w:t>
      </w:r>
      <w:r w:rsidRPr="000974A4">
        <w:rPr>
          <w:lang w:val="de-DE"/>
        </w:rPr>
        <w:tab/>
      </w:r>
      <w:r w:rsidR="00C46D83" w:rsidRPr="000974A4">
        <w:rPr>
          <w:lang w:val="de-DE"/>
        </w:rPr>
        <w:t>Absatz 9.3.x.8.4</w:t>
      </w:r>
      <w:r w:rsidRPr="000974A4">
        <w:rPr>
          <w:lang w:val="de-DE"/>
        </w:rPr>
        <w:tab/>
      </w:r>
      <w:r w:rsidR="00826CF2" w:rsidRPr="000974A4">
        <w:rPr>
          <w:lang w:val="de-DE"/>
        </w:rPr>
        <w:tab/>
        <w:t>67-68</w:t>
      </w:r>
      <w:r w:rsidR="00826CF2" w:rsidRPr="000974A4">
        <w:rPr>
          <w:lang w:val="de-DE"/>
        </w:rPr>
        <w:tab/>
        <w:t>14</w:t>
      </w:r>
    </w:p>
    <w:p w14:paraId="713B4681" w14:textId="4F1A5A43" w:rsidR="00B36B20" w:rsidRPr="000974A4" w:rsidRDefault="00B36B20" w:rsidP="00C46D83">
      <w:pPr>
        <w:tabs>
          <w:tab w:val="right" w:pos="851"/>
          <w:tab w:val="left" w:pos="1134"/>
          <w:tab w:val="left" w:pos="1559"/>
          <w:tab w:val="left" w:pos="1984"/>
          <w:tab w:val="left" w:leader="dot" w:pos="8080"/>
          <w:tab w:val="right" w:pos="8929"/>
          <w:tab w:val="right" w:pos="9638"/>
        </w:tabs>
        <w:spacing w:after="120" w:line="220" w:lineRule="atLeast"/>
        <w:ind w:left="1980" w:hanging="1980"/>
        <w:rPr>
          <w:lang w:val="de-DE"/>
        </w:rPr>
      </w:pPr>
      <w:r w:rsidRPr="000974A4">
        <w:rPr>
          <w:lang w:val="de-DE"/>
        </w:rPr>
        <w:tab/>
      </w:r>
      <w:r w:rsidRPr="000974A4">
        <w:rPr>
          <w:lang w:val="de-DE"/>
        </w:rPr>
        <w:tab/>
      </w:r>
      <w:r w:rsidRPr="000974A4">
        <w:rPr>
          <w:lang w:val="de-DE"/>
        </w:rPr>
        <w:tab/>
        <w:t>16.</w:t>
      </w:r>
      <w:r w:rsidRPr="000974A4">
        <w:rPr>
          <w:lang w:val="de-DE"/>
        </w:rPr>
        <w:tab/>
      </w:r>
      <w:r w:rsidRPr="000974A4">
        <w:rPr>
          <w:lang w:val="de-DE"/>
        </w:rPr>
        <w:tab/>
      </w:r>
      <w:r w:rsidR="00C46D83" w:rsidRPr="000974A4">
        <w:rPr>
          <w:lang w:val="de-DE"/>
        </w:rPr>
        <w:t>Beispiele für die Stauung und Trennung der Container</w:t>
      </w:r>
      <w:r w:rsidRPr="000974A4">
        <w:rPr>
          <w:lang w:val="de-DE"/>
        </w:rPr>
        <w:tab/>
      </w:r>
      <w:r w:rsidR="00826CF2" w:rsidRPr="000974A4">
        <w:rPr>
          <w:lang w:val="de-DE"/>
        </w:rPr>
        <w:tab/>
        <w:t>69-70</w:t>
      </w:r>
      <w:r w:rsidR="00826CF2" w:rsidRPr="000974A4">
        <w:rPr>
          <w:lang w:val="de-DE"/>
        </w:rPr>
        <w:tab/>
        <w:t>14</w:t>
      </w:r>
    </w:p>
    <w:p w14:paraId="4B103F98" w14:textId="0CF6CC67" w:rsidR="00B36B20" w:rsidRPr="000974A4" w:rsidRDefault="00B36B20" w:rsidP="00C46D83">
      <w:pPr>
        <w:tabs>
          <w:tab w:val="right" w:pos="851"/>
          <w:tab w:val="left" w:pos="1134"/>
          <w:tab w:val="left" w:pos="1559"/>
          <w:tab w:val="left" w:pos="1984"/>
          <w:tab w:val="left" w:leader="dot" w:pos="8080"/>
          <w:tab w:val="right" w:pos="8929"/>
          <w:tab w:val="right" w:pos="9638"/>
        </w:tabs>
        <w:spacing w:after="120" w:line="220" w:lineRule="atLeast"/>
        <w:ind w:left="1980" w:hanging="1980"/>
        <w:rPr>
          <w:lang w:val="de-DE"/>
        </w:rPr>
      </w:pPr>
      <w:r w:rsidRPr="000974A4">
        <w:rPr>
          <w:lang w:val="de-DE"/>
        </w:rPr>
        <w:tab/>
      </w:r>
      <w:r w:rsidRPr="000974A4">
        <w:rPr>
          <w:lang w:val="de-DE"/>
        </w:rPr>
        <w:tab/>
      </w:r>
      <w:r w:rsidRPr="000974A4">
        <w:rPr>
          <w:lang w:val="de-DE"/>
        </w:rPr>
        <w:tab/>
        <w:t>17.</w:t>
      </w:r>
      <w:r w:rsidRPr="000974A4">
        <w:rPr>
          <w:lang w:val="de-DE"/>
        </w:rPr>
        <w:tab/>
      </w:r>
      <w:r w:rsidR="00C46D83" w:rsidRPr="000974A4">
        <w:rPr>
          <w:lang w:val="de-DE"/>
        </w:rPr>
        <w:t xml:space="preserve">UN-Nr. 2057 </w:t>
      </w:r>
      <w:proofErr w:type="spellStart"/>
      <w:r w:rsidR="00C46D83" w:rsidRPr="000974A4">
        <w:rPr>
          <w:lang w:val="de-DE"/>
        </w:rPr>
        <w:t>Tripropylen</w:t>
      </w:r>
      <w:proofErr w:type="spellEnd"/>
      <w:r w:rsidRPr="000974A4">
        <w:rPr>
          <w:lang w:val="de-DE"/>
        </w:rPr>
        <w:tab/>
      </w:r>
      <w:r w:rsidR="00826CF2" w:rsidRPr="000974A4">
        <w:rPr>
          <w:lang w:val="de-DE"/>
        </w:rPr>
        <w:tab/>
        <w:t>71</w:t>
      </w:r>
      <w:r w:rsidR="00826CF2" w:rsidRPr="000974A4">
        <w:rPr>
          <w:lang w:val="de-DE"/>
        </w:rPr>
        <w:tab/>
        <w:t>15</w:t>
      </w:r>
    </w:p>
    <w:p w14:paraId="6B7E5493" w14:textId="53CD0B24" w:rsidR="00295597" w:rsidRPr="000974A4" w:rsidRDefault="00295597" w:rsidP="00C46D83">
      <w:pPr>
        <w:tabs>
          <w:tab w:val="right" w:pos="851"/>
          <w:tab w:val="left" w:pos="1134"/>
          <w:tab w:val="left" w:pos="1559"/>
          <w:tab w:val="left" w:pos="1984"/>
          <w:tab w:val="left" w:leader="dot" w:pos="8080"/>
          <w:tab w:val="right" w:pos="8929"/>
          <w:tab w:val="right" w:pos="9638"/>
        </w:tabs>
        <w:spacing w:after="120" w:line="220" w:lineRule="atLeast"/>
        <w:ind w:left="1980" w:hanging="1980"/>
        <w:rPr>
          <w:rStyle w:val="Hyperlink"/>
          <w:lang w:val="de-DE"/>
        </w:rPr>
      </w:pPr>
      <w:r w:rsidRPr="000974A4">
        <w:rPr>
          <w:rStyle w:val="Hyperlink"/>
          <w:lang w:val="de-DE"/>
        </w:rPr>
        <w:tab/>
      </w:r>
      <w:r w:rsidR="00C46D83" w:rsidRPr="000974A4">
        <w:rPr>
          <w:rStyle w:val="Hyperlink"/>
          <w:lang w:val="de-DE"/>
        </w:rPr>
        <w:t>VII.</w:t>
      </w:r>
      <w:r w:rsidRPr="000974A4">
        <w:rPr>
          <w:rStyle w:val="Hyperlink"/>
          <w:lang w:val="de-DE"/>
        </w:rPr>
        <w:tab/>
      </w:r>
      <w:r w:rsidR="00C46D83" w:rsidRPr="000974A4">
        <w:rPr>
          <w:lang w:val="de-DE"/>
        </w:rPr>
        <w:t>Berichte informeller Arbeitsgruppen (TOP 6)</w:t>
      </w:r>
      <w:r w:rsidRPr="000974A4">
        <w:rPr>
          <w:rStyle w:val="Hyperlink"/>
          <w:lang w:val="de-DE"/>
        </w:rPr>
        <w:tab/>
      </w:r>
      <w:r w:rsidR="00826CF2" w:rsidRPr="000974A4">
        <w:rPr>
          <w:rStyle w:val="Hyperlink"/>
          <w:lang w:val="de-DE"/>
        </w:rPr>
        <w:tab/>
        <w:t>72-79</w:t>
      </w:r>
      <w:r w:rsidR="00826CF2" w:rsidRPr="000974A4">
        <w:rPr>
          <w:rStyle w:val="Hyperlink"/>
          <w:lang w:val="de-DE"/>
        </w:rPr>
        <w:tab/>
        <w:t>15</w:t>
      </w:r>
    </w:p>
    <w:p w14:paraId="5099B1FE" w14:textId="70C2F9C1" w:rsidR="00C46D83" w:rsidRPr="000974A4" w:rsidRDefault="00C46D83" w:rsidP="00C46D83">
      <w:pPr>
        <w:pStyle w:val="ListParagraph"/>
        <w:numPr>
          <w:ilvl w:val="0"/>
          <w:numId w:val="3"/>
        </w:numPr>
        <w:tabs>
          <w:tab w:val="right" w:pos="851"/>
          <w:tab w:val="left" w:pos="1134"/>
          <w:tab w:val="left" w:pos="1559"/>
          <w:tab w:val="left" w:pos="1984"/>
          <w:tab w:val="left" w:leader="dot" w:pos="8080"/>
          <w:tab w:val="right" w:pos="8929"/>
          <w:tab w:val="right" w:pos="9638"/>
        </w:tabs>
        <w:spacing w:after="120" w:line="220" w:lineRule="atLeast"/>
        <w:rPr>
          <w:lang w:val="de-DE"/>
        </w:rPr>
      </w:pPr>
      <w:r w:rsidRPr="000974A4">
        <w:rPr>
          <w:lang w:val="de-DE"/>
        </w:rPr>
        <w:t>Bericht der informellen Arbeitsgruppe „Membrantanks“</w:t>
      </w:r>
      <w:r w:rsidRPr="000974A4">
        <w:rPr>
          <w:lang w:val="de-DE"/>
        </w:rPr>
        <w:tab/>
      </w:r>
      <w:r w:rsidRPr="000974A4">
        <w:rPr>
          <w:lang w:val="de-DE"/>
        </w:rPr>
        <w:tab/>
        <w:t>72-74</w:t>
      </w:r>
      <w:r w:rsidRPr="000974A4">
        <w:rPr>
          <w:lang w:val="de-DE"/>
        </w:rPr>
        <w:tab/>
        <w:t>15</w:t>
      </w:r>
    </w:p>
    <w:p w14:paraId="7C47573A" w14:textId="392149F1" w:rsidR="004D18E6" w:rsidRPr="000974A4" w:rsidRDefault="00C46D83" w:rsidP="00C46D83">
      <w:pPr>
        <w:tabs>
          <w:tab w:val="right" w:pos="851"/>
          <w:tab w:val="left" w:pos="1134"/>
          <w:tab w:val="left" w:pos="1559"/>
          <w:tab w:val="left" w:pos="1984"/>
          <w:tab w:val="left" w:leader="dot" w:pos="8080"/>
          <w:tab w:val="right" w:pos="8929"/>
          <w:tab w:val="right" w:pos="9638"/>
        </w:tabs>
        <w:spacing w:after="120" w:line="220" w:lineRule="atLeast"/>
        <w:ind w:left="1140"/>
        <w:rPr>
          <w:rStyle w:val="Hyperlink"/>
          <w:lang w:val="de-DE"/>
        </w:rPr>
      </w:pPr>
      <w:r w:rsidRPr="000974A4">
        <w:rPr>
          <w:rStyle w:val="Hyperlink"/>
          <w:lang w:val="de-DE"/>
        </w:rPr>
        <w:t>B.</w:t>
      </w:r>
      <w:r w:rsidR="004D18E6" w:rsidRPr="000974A4">
        <w:rPr>
          <w:rStyle w:val="Hyperlink"/>
          <w:lang w:val="de-DE"/>
        </w:rPr>
        <w:tab/>
      </w:r>
      <w:r w:rsidRPr="000974A4">
        <w:rPr>
          <w:lang w:val="de-DE"/>
        </w:rPr>
        <w:t>Fahrplan zum Mischen an Bord von Binnentankschiffen</w:t>
      </w:r>
      <w:r w:rsidR="004D18E6" w:rsidRPr="000974A4">
        <w:rPr>
          <w:lang w:val="de-DE"/>
        </w:rPr>
        <w:tab/>
      </w:r>
      <w:r w:rsidR="00826CF2" w:rsidRPr="000974A4">
        <w:rPr>
          <w:lang w:val="de-DE"/>
        </w:rPr>
        <w:tab/>
        <w:t>75-79</w:t>
      </w:r>
      <w:r w:rsidR="00826CF2" w:rsidRPr="000974A4">
        <w:rPr>
          <w:lang w:val="de-DE"/>
        </w:rPr>
        <w:tab/>
        <w:t>15</w:t>
      </w:r>
    </w:p>
    <w:p w14:paraId="57EA4B99" w14:textId="3DE3C7B6" w:rsidR="00295597" w:rsidRPr="000974A4" w:rsidRDefault="00295597" w:rsidP="00C46D83">
      <w:pPr>
        <w:tabs>
          <w:tab w:val="right" w:pos="851"/>
          <w:tab w:val="left" w:pos="1134"/>
          <w:tab w:val="left" w:pos="1559"/>
          <w:tab w:val="left" w:pos="1984"/>
          <w:tab w:val="left" w:leader="dot" w:pos="8080"/>
          <w:tab w:val="right" w:pos="8929"/>
          <w:tab w:val="right" w:pos="9638"/>
        </w:tabs>
        <w:spacing w:after="120" w:line="220" w:lineRule="atLeast"/>
        <w:ind w:left="1134" w:hanging="992"/>
        <w:rPr>
          <w:rStyle w:val="Hyperlink"/>
          <w:lang w:val="de-DE"/>
        </w:rPr>
      </w:pPr>
      <w:r w:rsidRPr="000974A4">
        <w:rPr>
          <w:rStyle w:val="Hyperlink"/>
          <w:lang w:val="de-DE"/>
        </w:rPr>
        <w:tab/>
      </w:r>
      <w:r w:rsidR="00C46D83" w:rsidRPr="000974A4">
        <w:rPr>
          <w:rStyle w:val="Hyperlink"/>
          <w:lang w:val="de-DE"/>
        </w:rPr>
        <w:t>VIII.</w:t>
      </w:r>
      <w:r w:rsidRPr="000974A4">
        <w:rPr>
          <w:rStyle w:val="Hyperlink"/>
          <w:lang w:val="de-DE"/>
        </w:rPr>
        <w:tab/>
      </w:r>
      <w:r w:rsidR="00C46D83" w:rsidRPr="000974A4">
        <w:rPr>
          <w:lang w:val="de-DE"/>
        </w:rPr>
        <w:t>Arbeitsprogramm und Sitzungsplan (TOP 7)</w:t>
      </w:r>
      <w:r w:rsidRPr="000974A4">
        <w:rPr>
          <w:rStyle w:val="Hyperlink"/>
          <w:lang w:val="de-DE"/>
        </w:rPr>
        <w:tab/>
      </w:r>
      <w:r w:rsidRPr="000974A4">
        <w:rPr>
          <w:rStyle w:val="Hyperlink"/>
          <w:lang w:val="de-DE"/>
        </w:rPr>
        <w:tab/>
      </w:r>
      <w:r w:rsidR="00826CF2" w:rsidRPr="000974A4">
        <w:rPr>
          <w:rStyle w:val="Hyperlink"/>
          <w:lang w:val="de-DE"/>
        </w:rPr>
        <w:t>80-82</w:t>
      </w:r>
      <w:r w:rsidR="00826CF2" w:rsidRPr="000974A4">
        <w:rPr>
          <w:rStyle w:val="Hyperlink"/>
          <w:lang w:val="de-DE"/>
        </w:rPr>
        <w:tab/>
        <w:t>16</w:t>
      </w:r>
    </w:p>
    <w:p w14:paraId="52630C6A" w14:textId="27FBD9F7" w:rsidR="00295597" w:rsidRPr="000974A4" w:rsidRDefault="00295597" w:rsidP="00C46D83">
      <w:pPr>
        <w:tabs>
          <w:tab w:val="right" w:pos="851"/>
          <w:tab w:val="left" w:pos="1134"/>
          <w:tab w:val="left" w:pos="1559"/>
          <w:tab w:val="left" w:pos="1984"/>
          <w:tab w:val="left" w:leader="dot" w:pos="8080"/>
          <w:tab w:val="right" w:pos="8929"/>
          <w:tab w:val="right" w:pos="9638"/>
        </w:tabs>
        <w:spacing w:after="120" w:line="220" w:lineRule="atLeast"/>
        <w:ind w:left="1559" w:hanging="1559"/>
        <w:rPr>
          <w:rStyle w:val="Hyperlink"/>
          <w:lang w:val="de-DE"/>
        </w:rPr>
      </w:pPr>
      <w:r w:rsidRPr="000974A4">
        <w:rPr>
          <w:rStyle w:val="Hyperlink"/>
          <w:lang w:val="de-DE"/>
        </w:rPr>
        <w:tab/>
      </w:r>
      <w:r w:rsidRPr="000974A4">
        <w:rPr>
          <w:rStyle w:val="Hyperlink"/>
          <w:lang w:val="de-DE"/>
        </w:rPr>
        <w:tab/>
      </w:r>
      <w:r w:rsidR="00C46D83" w:rsidRPr="000974A4">
        <w:rPr>
          <w:rStyle w:val="Hyperlink"/>
          <w:lang w:val="de-DE"/>
        </w:rPr>
        <w:t>A.</w:t>
      </w:r>
      <w:r w:rsidRPr="000974A4">
        <w:rPr>
          <w:rStyle w:val="Hyperlink"/>
          <w:lang w:val="de-DE"/>
        </w:rPr>
        <w:tab/>
      </w:r>
      <w:r w:rsidR="00C46D83" w:rsidRPr="000974A4">
        <w:rPr>
          <w:lang w:val="de-DE"/>
        </w:rPr>
        <w:t>Sitzungsplan</w:t>
      </w:r>
      <w:r w:rsidRPr="000974A4">
        <w:rPr>
          <w:rStyle w:val="Hyperlink"/>
          <w:lang w:val="de-DE"/>
        </w:rPr>
        <w:tab/>
      </w:r>
      <w:r w:rsidRPr="000974A4">
        <w:rPr>
          <w:rStyle w:val="Hyperlink"/>
          <w:lang w:val="de-DE"/>
        </w:rPr>
        <w:tab/>
      </w:r>
      <w:r w:rsidR="00826CF2" w:rsidRPr="000974A4">
        <w:rPr>
          <w:rStyle w:val="Hyperlink"/>
          <w:lang w:val="de-DE"/>
        </w:rPr>
        <w:t>80</w:t>
      </w:r>
      <w:r w:rsidR="00826CF2" w:rsidRPr="000974A4">
        <w:rPr>
          <w:rStyle w:val="Hyperlink"/>
          <w:lang w:val="de-DE"/>
        </w:rPr>
        <w:tab/>
        <w:t>16</w:t>
      </w:r>
    </w:p>
    <w:p w14:paraId="3CE02490" w14:textId="172DD66A" w:rsidR="00295597" w:rsidRPr="000974A4" w:rsidRDefault="00295597" w:rsidP="00C46D83">
      <w:pPr>
        <w:tabs>
          <w:tab w:val="right" w:pos="851"/>
          <w:tab w:val="left" w:pos="1134"/>
          <w:tab w:val="left" w:pos="1559"/>
          <w:tab w:val="left" w:pos="1984"/>
          <w:tab w:val="left" w:leader="dot" w:pos="8080"/>
          <w:tab w:val="right" w:pos="8929"/>
          <w:tab w:val="right" w:pos="9638"/>
        </w:tabs>
        <w:spacing w:after="120" w:line="220" w:lineRule="atLeast"/>
        <w:ind w:left="1559" w:hanging="1559"/>
        <w:rPr>
          <w:rStyle w:val="Hyperlink"/>
          <w:lang w:val="de-DE"/>
        </w:rPr>
      </w:pPr>
      <w:r w:rsidRPr="000974A4">
        <w:rPr>
          <w:rStyle w:val="Hyperlink"/>
          <w:lang w:val="de-DE"/>
        </w:rPr>
        <w:tab/>
      </w:r>
      <w:r w:rsidRPr="000974A4">
        <w:rPr>
          <w:rStyle w:val="Hyperlink"/>
          <w:lang w:val="de-DE"/>
        </w:rPr>
        <w:tab/>
      </w:r>
      <w:r w:rsidR="00C46D83" w:rsidRPr="000974A4">
        <w:rPr>
          <w:rStyle w:val="Hyperlink"/>
          <w:lang w:val="de-DE"/>
        </w:rPr>
        <w:t>B.</w:t>
      </w:r>
      <w:r w:rsidRPr="000974A4">
        <w:rPr>
          <w:rStyle w:val="Hyperlink"/>
          <w:lang w:val="de-DE"/>
        </w:rPr>
        <w:tab/>
      </w:r>
      <w:r w:rsidR="00C46D83" w:rsidRPr="000974A4">
        <w:rPr>
          <w:lang w:val="de-DE"/>
        </w:rPr>
        <w:t>Informelle Arbeitsgruppe „Stoffe“</w:t>
      </w:r>
      <w:r w:rsidRPr="000974A4">
        <w:rPr>
          <w:rStyle w:val="Hyperlink"/>
          <w:lang w:val="de-DE"/>
        </w:rPr>
        <w:tab/>
      </w:r>
      <w:r w:rsidRPr="000974A4">
        <w:rPr>
          <w:rStyle w:val="Hyperlink"/>
          <w:lang w:val="de-DE"/>
        </w:rPr>
        <w:tab/>
      </w:r>
      <w:r w:rsidR="00826CF2" w:rsidRPr="000974A4">
        <w:rPr>
          <w:rStyle w:val="Hyperlink"/>
          <w:lang w:val="de-DE"/>
        </w:rPr>
        <w:t>81-82</w:t>
      </w:r>
      <w:r w:rsidR="00826CF2" w:rsidRPr="000974A4">
        <w:rPr>
          <w:rStyle w:val="Hyperlink"/>
          <w:lang w:val="de-DE"/>
        </w:rPr>
        <w:tab/>
        <w:t>16</w:t>
      </w:r>
    </w:p>
    <w:p w14:paraId="7DE76AEC" w14:textId="51839655" w:rsidR="00295597" w:rsidRPr="000974A4" w:rsidRDefault="00295597" w:rsidP="00C46D83">
      <w:pPr>
        <w:tabs>
          <w:tab w:val="right" w:pos="851"/>
          <w:tab w:val="left" w:pos="1134"/>
          <w:tab w:val="left" w:pos="1559"/>
          <w:tab w:val="left" w:pos="1984"/>
          <w:tab w:val="left" w:leader="dot" w:pos="8080"/>
          <w:tab w:val="right" w:pos="8929"/>
          <w:tab w:val="right" w:pos="9638"/>
        </w:tabs>
        <w:spacing w:after="120" w:line="220" w:lineRule="atLeast"/>
        <w:ind w:left="1134" w:hanging="992"/>
        <w:rPr>
          <w:rStyle w:val="Hyperlink"/>
          <w:lang w:val="de-DE"/>
        </w:rPr>
      </w:pPr>
      <w:r w:rsidRPr="000974A4">
        <w:rPr>
          <w:rStyle w:val="Hyperlink"/>
          <w:lang w:val="de-DE"/>
        </w:rPr>
        <w:tab/>
      </w:r>
      <w:r w:rsidR="00C46D83" w:rsidRPr="000974A4">
        <w:rPr>
          <w:rStyle w:val="Hyperlink"/>
          <w:lang w:val="de-DE"/>
        </w:rPr>
        <w:t>IX.</w:t>
      </w:r>
      <w:r w:rsidRPr="000974A4">
        <w:rPr>
          <w:rStyle w:val="Hyperlink"/>
          <w:lang w:val="de-DE"/>
        </w:rPr>
        <w:tab/>
      </w:r>
      <w:r w:rsidR="00C46D83" w:rsidRPr="000974A4">
        <w:rPr>
          <w:lang w:val="de-DE"/>
        </w:rPr>
        <w:t>Verschiedenes (TOP 8)</w:t>
      </w:r>
      <w:r w:rsidRPr="000974A4">
        <w:rPr>
          <w:rStyle w:val="Hyperlink"/>
          <w:lang w:val="de-DE"/>
        </w:rPr>
        <w:tab/>
      </w:r>
      <w:r w:rsidRPr="000974A4">
        <w:rPr>
          <w:rStyle w:val="Hyperlink"/>
          <w:lang w:val="de-DE"/>
        </w:rPr>
        <w:tab/>
      </w:r>
      <w:r w:rsidR="00826CF2" w:rsidRPr="000974A4">
        <w:rPr>
          <w:rStyle w:val="Hyperlink"/>
          <w:lang w:val="de-DE"/>
        </w:rPr>
        <w:t>83-85</w:t>
      </w:r>
      <w:r w:rsidR="00826CF2" w:rsidRPr="000974A4">
        <w:rPr>
          <w:rStyle w:val="Hyperlink"/>
          <w:lang w:val="de-DE"/>
        </w:rPr>
        <w:tab/>
        <w:t>16</w:t>
      </w:r>
    </w:p>
    <w:p w14:paraId="4FC18676" w14:textId="36AED590" w:rsidR="0044295A" w:rsidRPr="000974A4" w:rsidRDefault="0044295A" w:rsidP="00C46D83">
      <w:pPr>
        <w:tabs>
          <w:tab w:val="right" w:pos="851"/>
          <w:tab w:val="left" w:pos="1134"/>
          <w:tab w:val="left" w:pos="1559"/>
          <w:tab w:val="left" w:pos="1984"/>
          <w:tab w:val="left" w:leader="dot" w:pos="8080"/>
          <w:tab w:val="right" w:pos="8929"/>
          <w:tab w:val="right" w:pos="9638"/>
        </w:tabs>
        <w:spacing w:after="120" w:line="220" w:lineRule="atLeast"/>
        <w:ind w:left="1980" w:hanging="1980"/>
        <w:rPr>
          <w:lang w:val="de-DE"/>
        </w:rPr>
      </w:pPr>
      <w:r w:rsidRPr="000974A4">
        <w:rPr>
          <w:lang w:val="de-DE"/>
        </w:rPr>
        <w:tab/>
      </w:r>
      <w:r w:rsidRPr="000974A4">
        <w:rPr>
          <w:lang w:val="de-DE"/>
        </w:rPr>
        <w:tab/>
        <w:t>1.</w:t>
      </w:r>
      <w:r w:rsidRPr="000974A4">
        <w:rPr>
          <w:lang w:val="de-DE"/>
        </w:rPr>
        <w:tab/>
      </w:r>
      <w:r w:rsidR="00C46D83" w:rsidRPr="000974A4">
        <w:rPr>
          <w:lang w:val="de-DE"/>
        </w:rPr>
        <w:t>Europäische Binnenschifffahrtsplattform</w:t>
      </w:r>
      <w:r w:rsidRPr="000974A4">
        <w:rPr>
          <w:lang w:val="de-DE"/>
        </w:rPr>
        <w:tab/>
      </w:r>
      <w:r w:rsidRPr="000974A4">
        <w:rPr>
          <w:lang w:val="de-DE"/>
        </w:rPr>
        <w:tab/>
      </w:r>
      <w:r w:rsidR="00826CF2" w:rsidRPr="000974A4">
        <w:rPr>
          <w:lang w:val="de-DE"/>
        </w:rPr>
        <w:t>83</w:t>
      </w:r>
      <w:r w:rsidR="00826CF2" w:rsidRPr="000974A4">
        <w:rPr>
          <w:lang w:val="de-DE"/>
        </w:rPr>
        <w:tab/>
        <w:t>16</w:t>
      </w:r>
    </w:p>
    <w:p w14:paraId="31FDCBEF" w14:textId="24B8BD9D" w:rsidR="005A0933" w:rsidRPr="000974A4" w:rsidRDefault="0044295A" w:rsidP="00C46D83">
      <w:pPr>
        <w:tabs>
          <w:tab w:val="right" w:pos="851"/>
          <w:tab w:val="left" w:pos="1134"/>
          <w:tab w:val="left" w:pos="1559"/>
          <w:tab w:val="left" w:pos="1984"/>
          <w:tab w:val="left" w:leader="dot" w:pos="8080"/>
          <w:tab w:val="right" w:pos="8929"/>
          <w:tab w:val="right" w:pos="9638"/>
        </w:tabs>
        <w:spacing w:after="120" w:line="220" w:lineRule="atLeast"/>
        <w:rPr>
          <w:lang w:val="de-DE"/>
        </w:rPr>
      </w:pPr>
      <w:r w:rsidRPr="000974A4">
        <w:rPr>
          <w:rStyle w:val="Hyperlink"/>
          <w:lang w:val="de-DE"/>
        </w:rPr>
        <w:tab/>
      </w:r>
      <w:r w:rsidRPr="000974A4">
        <w:rPr>
          <w:rStyle w:val="Hyperlink"/>
          <w:lang w:val="de-DE"/>
        </w:rPr>
        <w:tab/>
      </w:r>
      <w:r w:rsidRPr="000974A4">
        <w:rPr>
          <w:lang w:val="de-DE"/>
        </w:rPr>
        <w:t xml:space="preserve">2. </w:t>
      </w:r>
      <w:r w:rsidRPr="000974A4">
        <w:rPr>
          <w:lang w:val="de-DE"/>
        </w:rPr>
        <w:tab/>
      </w:r>
      <w:r w:rsidR="00C46D83" w:rsidRPr="000974A4">
        <w:rPr>
          <w:lang w:val="de-DE"/>
        </w:rPr>
        <w:t xml:space="preserve">Danksagung an Herrn </w:t>
      </w:r>
      <w:proofErr w:type="spellStart"/>
      <w:r w:rsidR="00C46D83" w:rsidRPr="000974A4">
        <w:rPr>
          <w:lang w:val="de-DE"/>
        </w:rPr>
        <w:t>Roggeman</w:t>
      </w:r>
      <w:proofErr w:type="spellEnd"/>
      <w:r w:rsidR="00C46D83" w:rsidRPr="000974A4">
        <w:rPr>
          <w:lang w:val="de-DE"/>
        </w:rPr>
        <w:t xml:space="preserve"> (Belgien)</w:t>
      </w:r>
      <w:r w:rsidR="005A0933" w:rsidRPr="000974A4">
        <w:rPr>
          <w:lang w:val="de-DE"/>
        </w:rPr>
        <w:tab/>
      </w:r>
      <w:r w:rsidR="00826CF2" w:rsidRPr="000974A4">
        <w:rPr>
          <w:lang w:val="de-DE"/>
        </w:rPr>
        <w:tab/>
        <w:t>84</w:t>
      </w:r>
      <w:r w:rsidR="00826CF2" w:rsidRPr="000974A4">
        <w:rPr>
          <w:lang w:val="de-DE"/>
        </w:rPr>
        <w:tab/>
        <w:t>17</w:t>
      </w:r>
    </w:p>
    <w:p w14:paraId="70854E63" w14:textId="5F6EFAA4" w:rsidR="005A0933" w:rsidRPr="000974A4" w:rsidRDefault="0044295A" w:rsidP="00C46D83">
      <w:pPr>
        <w:tabs>
          <w:tab w:val="right" w:pos="851"/>
          <w:tab w:val="left" w:pos="1134"/>
          <w:tab w:val="left" w:pos="1559"/>
          <w:tab w:val="left" w:pos="1984"/>
          <w:tab w:val="left" w:leader="dot" w:pos="8080"/>
          <w:tab w:val="right" w:pos="8929"/>
          <w:tab w:val="right" w:pos="9638"/>
        </w:tabs>
        <w:spacing w:after="120" w:line="220" w:lineRule="atLeast"/>
        <w:ind w:firstLine="851"/>
        <w:rPr>
          <w:lang w:val="de-DE"/>
        </w:rPr>
      </w:pPr>
      <w:r w:rsidRPr="000974A4">
        <w:rPr>
          <w:rStyle w:val="Hyperlink"/>
          <w:lang w:val="de-DE"/>
        </w:rPr>
        <w:tab/>
        <w:t>3</w:t>
      </w:r>
      <w:r w:rsidR="005A0933" w:rsidRPr="000974A4">
        <w:rPr>
          <w:rStyle w:val="Hyperlink"/>
          <w:lang w:val="de-DE"/>
        </w:rPr>
        <w:t>.</w:t>
      </w:r>
      <w:r w:rsidR="005A0933" w:rsidRPr="000974A4">
        <w:rPr>
          <w:rStyle w:val="Hyperlink"/>
          <w:lang w:val="de-DE"/>
        </w:rPr>
        <w:tab/>
      </w:r>
      <w:r w:rsidR="00C46D83" w:rsidRPr="000974A4">
        <w:rPr>
          <w:lang w:val="de-DE"/>
        </w:rPr>
        <w:t>Multilaterales Abkommen M024</w:t>
      </w:r>
      <w:r w:rsidR="00F975C8" w:rsidRPr="000974A4">
        <w:rPr>
          <w:lang w:val="de-DE"/>
        </w:rPr>
        <w:tab/>
      </w:r>
      <w:r w:rsidR="00826CF2" w:rsidRPr="000974A4">
        <w:rPr>
          <w:lang w:val="de-DE"/>
        </w:rPr>
        <w:tab/>
        <w:t>85</w:t>
      </w:r>
      <w:r w:rsidR="00826CF2" w:rsidRPr="000974A4">
        <w:rPr>
          <w:lang w:val="de-DE"/>
        </w:rPr>
        <w:tab/>
        <w:t>17</w:t>
      </w:r>
    </w:p>
    <w:p w14:paraId="451D1F81" w14:textId="653D41E9" w:rsidR="00F975C8" w:rsidRPr="000974A4" w:rsidRDefault="00F975C8" w:rsidP="00C46D83">
      <w:pPr>
        <w:tabs>
          <w:tab w:val="right" w:pos="851"/>
          <w:tab w:val="left" w:pos="1134"/>
          <w:tab w:val="left" w:pos="1559"/>
          <w:tab w:val="left" w:pos="1984"/>
          <w:tab w:val="left" w:leader="dot" w:pos="8080"/>
          <w:tab w:val="right" w:pos="8929"/>
          <w:tab w:val="right" w:pos="9638"/>
        </w:tabs>
        <w:spacing w:after="120" w:line="220" w:lineRule="atLeast"/>
        <w:ind w:left="1134" w:hanging="992"/>
        <w:rPr>
          <w:lang w:val="de-DE"/>
        </w:rPr>
      </w:pPr>
      <w:r w:rsidRPr="000974A4">
        <w:rPr>
          <w:rStyle w:val="Hyperlink"/>
          <w:lang w:val="de-DE"/>
        </w:rPr>
        <w:tab/>
      </w:r>
      <w:r w:rsidR="00C46D83" w:rsidRPr="000974A4">
        <w:rPr>
          <w:rStyle w:val="Hyperlink"/>
          <w:lang w:val="de-DE"/>
        </w:rPr>
        <w:t>X.</w:t>
      </w:r>
      <w:r w:rsidRPr="000974A4">
        <w:rPr>
          <w:rStyle w:val="Hyperlink"/>
          <w:lang w:val="de-DE"/>
        </w:rPr>
        <w:tab/>
      </w:r>
      <w:r w:rsidR="00C46D83" w:rsidRPr="000974A4">
        <w:rPr>
          <w:lang w:val="de-DE"/>
        </w:rPr>
        <w:t>Genehmigung des Sitzungsprotokolls (TOP 9)</w:t>
      </w:r>
      <w:r w:rsidRPr="000974A4">
        <w:rPr>
          <w:lang w:val="de-DE"/>
        </w:rPr>
        <w:tab/>
      </w:r>
      <w:r w:rsidR="00826CF2" w:rsidRPr="000974A4">
        <w:rPr>
          <w:lang w:val="de-DE"/>
        </w:rPr>
        <w:tab/>
        <w:t>86</w:t>
      </w:r>
      <w:r w:rsidR="00826CF2" w:rsidRPr="000974A4">
        <w:rPr>
          <w:lang w:val="de-DE"/>
        </w:rPr>
        <w:tab/>
        <w:t>17</w:t>
      </w:r>
    </w:p>
    <w:p w14:paraId="30A33F67" w14:textId="118A06FB" w:rsidR="00040566" w:rsidRPr="000974A4" w:rsidRDefault="00040566" w:rsidP="00F975C8">
      <w:pPr>
        <w:tabs>
          <w:tab w:val="right" w:pos="851"/>
          <w:tab w:val="left" w:pos="1134"/>
          <w:tab w:val="left" w:pos="1559"/>
          <w:tab w:val="left" w:pos="1984"/>
          <w:tab w:val="left" w:leader="dot" w:pos="8080"/>
          <w:tab w:val="right" w:pos="8929"/>
          <w:tab w:val="right" w:pos="9638"/>
        </w:tabs>
        <w:spacing w:after="120" w:line="220" w:lineRule="atLeast"/>
        <w:ind w:left="1134" w:hanging="992"/>
        <w:rPr>
          <w:rStyle w:val="Hyperlink"/>
          <w:lang w:val="de-DE"/>
        </w:rPr>
      </w:pPr>
    </w:p>
    <w:p w14:paraId="773A828D" w14:textId="36E448A4" w:rsidR="00393DF5" w:rsidRPr="000974A4" w:rsidRDefault="00393DF5" w:rsidP="00040566">
      <w:pPr>
        <w:tabs>
          <w:tab w:val="left" w:pos="3960"/>
        </w:tabs>
        <w:rPr>
          <w:lang w:val="de-DE"/>
        </w:rPr>
      </w:pPr>
    </w:p>
    <w:p w14:paraId="094E754D" w14:textId="00129425" w:rsidR="00295597" w:rsidRPr="000974A4" w:rsidRDefault="00C46D83" w:rsidP="00C46D83">
      <w:pPr>
        <w:keepNext/>
        <w:keepLines/>
        <w:tabs>
          <w:tab w:val="right" w:pos="850"/>
          <w:tab w:val="left" w:pos="1134"/>
          <w:tab w:val="left" w:pos="1559"/>
          <w:tab w:val="left" w:pos="1984"/>
          <w:tab w:val="left" w:leader="dot" w:pos="7654"/>
          <w:tab w:val="right" w:pos="8929"/>
          <w:tab w:val="right" w:pos="9638"/>
        </w:tabs>
        <w:spacing w:after="120" w:line="220" w:lineRule="atLeast"/>
        <w:ind w:left="1980" w:hanging="1980"/>
        <w:rPr>
          <w:lang w:val="de-DE"/>
        </w:rPr>
      </w:pPr>
      <w:r w:rsidRPr="000974A4">
        <w:rPr>
          <w:lang w:val="de-DE"/>
        </w:rPr>
        <w:t>Anlagen</w:t>
      </w:r>
    </w:p>
    <w:p w14:paraId="1091F6AF" w14:textId="5CBA72B4" w:rsidR="00B36B20" w:rsidRPr="000974A4" w:rsidRDefault="00295597" w:rsidP="00040566">
      <w:pPr>
        <w:keepNext/>
        <w:keepLines/>
        <w:tabs>
          <w:tab w:val="right" w:pos="850"/>
          <w:tab w:val="left" w:pos="1134"/>
          <w:tab w:val="left" w:pos="1559"/>
          <w:tab w:val="left" w:pos="1984"/>
          <w:tab w:val="left" w:leader="dot" w:pos="8900"/>
          <w:tab w:val="right" w:pos="9638"/>
        </w:tabs>
        <w:spacing w:after="120"/>
        <w:ind w:left="1134" w:hanging="1134"/>
        <w:rPr>
          <w:lang w:val="de-DE"/>
        </w:rPr>
      </w:pPr>
      <w:r w:rsidRPr="000974A4">
        <w:rPr>
          <w:lang w:val="de-DE"/>
        </w:rPr>
        <w:tab/>
      </w:r>
      <w:bookmarkStart w:id="5" w:name="_Hlk3803174"/>
      <w:r w:rsidR="00C46D83" w:rsidRPr="000974A4">
        <w:rPr>
          <w:lang w:val="de-DE"/>
        </w:rPr>
        <w:t>I.</w:t>
      </w:r>
      <w:r w:rsidR="00B36B20" w:rsidRPr="000974A4">
        <w:rPr>
          <w:lang w:val="de-DE"/>
        </w:rPr>
        <w:tab/>
      </w:r>
      <w:r w:rsidR="00040566" w:rsidRPr="000974A4">
        <w:rPr>
          <w:lang w:val="de-DE"/>
        </w:rPr>
        <w:t>Änderungs</w:t>
      </w:r>
      <w:r w:rsidR="001D6297" w:rsidRPr="000974A4">
        <w:rPr>
          <w:lang w:val="de-DE"/>
        </w:rPr>
        <w:t>vorschläg</w:t>
      </w:r>
      <w:r w:rsidR="00040566" w:rsidRPr="000974A4">
        <w:rPr>
          <w:lang w:val="de-DE"/>
        </w:rPr>
        <w:t>e zu</w:t>
      </w:r>
      <w:r w:rsidR="00C46D83" w:rsidRPr="000974A4">
        <w:rPr>
          <w:lang w:val="de-DE"/>
        </w:rPr>
        <w:t xml:space="preserve"> der dem ADN beigefügten Verordnung, die am 1. Januar 2021 </w:t>
      </w:r>
      <w:r w:rsidR="00913A18" w:rsidRPr="000974A4">
        <w:rPr>
          <w:lang w:val="de-DE"/>
        </w:rPr>
        <w:br/>
      </w:r>
      <w:r w:rsidR="00C46D83" w:rsidRPr="000974A4">
        <w:rPr>
          <w:lang w:val="de-DE"/>
        </w:rPr>
        <w:t>in Kraft treten sollen</w:t>
      </w:r>
      <w:r w:rsidR="00B36B20" w:rsidRPr="000974A4">
        <w:rPr>
          <w:lang w:val="de-DE"/>
        </w:rPr>
        <w:tab/>
      </w:r>
      <w:r w:rsidR="00B36B20" w:rsidRPr="000974A4">
        <w:rPr>
          <w:lang w:val="de-DE"/>
        </w:rPr>
        <w:tab/>
      </w:r>
      <w:r w:rsidR="00826CF2" w:rsidRPr="000974A4">
        <w:rPr>
          <w:lang w:val="de-DE"/>
        </w:rPr>
        <w:t>18</w:t>
      </w:r>
    </w:p>
    <w:p w14:paraId="62826748" w14:textId="4DA6721D" w:rsidR="00CB69FF" w:rsidRPr="000974A4" w:rsidRDefault="00B36B20" w:rsidP="00E8772F">
      <w:pPr>
        <w:keepNext/>
        <w:keepLines/>
        <w:tabs>
          <w:tab w:val="right" w:pos="850"/>
          <w:tab w:val="left" w:pos="1134"/>
          <w:tab w:val="left" w:pos="1559"/>
          <w:tab w:val="left" w:pos="1984"/>
          <w:tab w:val="left" w:leader="dot" w:pos="8900"/>
          <w:tab w:val="right" w:pos="9638"/>
        </w:tabs>
        <w:spacing w:after="120"/>
        <w:ind w:left="1134" w:hanging="1134"/>
        <w:rPr>
          <w:lang w:val="de-DE"/>
        </w:rPr>
      </w:pPr>
      <w:r w:rsidRPr="000974A4">
        <w:rPr>
          <w:lang w:val="de-DE"/>
        </w:rPr>
        <w:tab/>
      </w:r>
      <w:r w:rsidR="00040566" w:rsidRPr="000974A4">
        <w:rPr>
          <w:lang w:val="de-DE"/>
        </w:rPr>
        <w:t>II.</w:t>
      </w:r>
      <w:r w:rsidRPr="000974A4">
        <w:rPr>
          <w:lang w:val="de-DE"/>
        </w:rPr>
        <w:tab/>
      </w:r>
      <w:r w:rsidR="00040566" w:rsidRPr="000974A4">
        <w:rPr>
          <w:bCs/>
          <w:lang w:val="de-DE"/>
        </w:rPr>
        <w:t>Berichtigungen am Dokument ECE/TRANS/276 (ADN-</w:t>
      </w:r>
      <w:r w:rsidR="001D6297" w:rsidRPr="000974A4">
        <w:rPr>
          <w:bCs/>
          <w:lang w:val="de-DE"/>
        </w:rPr>
        <w:t>Ausgabe</w:t>
      </w:r>
      <w:r w:rsidR="00040566" w:rsidRPr="000974A4">
        <w:rPr>
          <w:bCs/>
          <w:lang w:val="de-DE"/>
        </w:rPr>
        <w:t xml:space="preserve"> 2019)</w:t>
      </w:r>
      <w:r w:rsidR="00040566" w:rsidRPr="000974A4">
        <w:rPr>
          <w:bCs/>
          <w:lang w:val="de-DE"/>
        </w:rPr>
        <w:br/>
        <w:t>(be</w:t>
      </w:r>
      <w:r w:rsidR="001D6297" w:rsidRPr="000974A4">
        <w:rPr>
          <w:bCs/>
          <w:lang w:val="de-DE"/>
        </w:rPr>
        <w:t>dürf</w:t>
      </w:r>
      <w:r w:rsidR="00040566" w:rsidRPr="000974A4">
        <w:rPr>
          <w:bCs/>
          <w:lang w:val="de-DE"/>
        </w:rPr>
        <w:t>en nicht de</w:t>
      </w:r>
      <w:r w:rsidR="001D6297" w:rsidRPr="000974A4">
        <w:rPr>
          <w:bCs/>
          <w:lang w:val="de-DE"/>
        </w:rPr>
        <w:t>r</w:t>
      </w:r>
      <w:r w:rsidR="00040566" w:rsidRPr="000974A4">
        <w:rPr>
          <w:bCs/>
          <w:lang w:val="de-DE"/>
        </w:rPr>
        <w:t xml:space="preserve"> Zustimmung der Vertragsparteien)</w:t>
      </w:r>
      <w:r w:rsidRPr="000974A4">
        <w:rPr>
          <w:lang w:val="de-DE"/>
        </w:rPr>
        <w:tab/>
      </w:r>
      <w:r w:rsidR="00826CF2" w:rsidRPr="000974A4">
        <w:rPr>
          <w:lang w:val="de-DE"/>
        </w:rPr>
        <w:tab/>
        <w:t>22</w:t>
      </w:r>
    </w:p>
    <w:p w14:paraId="4AB14641" w14:textId="4CDC0B9C" w:rsidR="00B36B20" w:rsidRPr="000974A4" w:rsidRDefault="00CB69FF" w:rsidP="001D6297">
      <w:pPr>
        <w:keepNext/>
        <w:keepLines/>
        <w:tabs>
          <w:tab w:val="right" w:pos="850"/>
          <w:tab w:val="left" w:pos="1134"/>
          <w:tab w:val="left" w:pos="1559"/>
          <w:tab w:val="left" w:pos="1984"/>
          <w:tab w:val="left" w:leader="dot" w:pos="8900"/>
          <w:tab w:val="right" w:pos="9638"/>
        </w:tabs>
        <w:spacing w:after="120"/>
        <w:ind w:left="1134" w:hanging="1134"/>
        <w:rPr>
          <w:lang w:val="de-DE"/>
        </w:rPr>
      </w:pPr>
      <w:r w:rsidRPr="000974A4">
        <w:rPr>
          <w:lang w:val="de-DE"/>
        </w:rPr>
        <w:tab/>
      </w:r>
      <w:r w:rsidR="001D6297" w:rsidRPr="000974A4">
        <w:rPr>
          <w:lang w:val="de-DE"/>
        </w:rPr>
        <w:t>III.</w:t>
      </w:r>
      <w:r w:rsidRPr="000974A4">
        <w:rPr>
          <w:lang w:val="de-DE"/>
        </w:rPr>
        <w:tab/>
      </w:r>
      <w:r w:rsidR="001D6297" w:rsidRPr="000974A4">
        <w:rPr>
          <w:lang w:val="de-DE"/>
        </w:rPr>
        <w:t>Berichtigungsvorschläge zu der dem ADN beigefügten Verordnung</w:t>
      </w:r>
      <w:r w:rsidR="001D6297" w:rsidRPr="000974A4">
        <w:rPr>
          <w:lang w:val="de-DE"/>
        </w:rPr>
        <w:br/>
        <w:t>(bedürfen der Zustimmung der Vertragsparteien)</w:t>
      </w:r>
      <w:bookmarkEnd w:id="5"/>
      <w:r w:rsidRPr="000974A4">
        <w:rPr>
          <w:lang w:val="de-DE"/>
        </w:rPr>
        <w:tab/>
      </w:r>
      <w:r w:rsidR="00B36B20" w:rsidRPr="000974A4">
        <w:rPr>
          <w:lang w:val="de-DE"/>
        </w:rPr>
        <w:tab/>
      </w:r>
      <w:r w:rsidR="00826CF2" w:rsidRPr="000974A4">
        <w:rPr>
          <w:lang w:val="de-DE"/>
        </w:rPr>
        <w:t>24</w:t>
      </w:r>
    </w:p>
    <w:p w14:paraId="77C6F05C" w14:textId="682EF7B1" w:rsidR="00B36B20" w:rsidRPr="000974A4" w:rsidRDefault="00B36B20">
      <w:pPr>
        <w:suppressAutoHyphens w:val="0"/>
        <w:spacing w:line="240" w:lineRule="auto"/>
        <w:rPr>
          <w:lang w:val="de-DE"/>
        </w:rPr>
      </w:pPr>
      <w:r w:rsidRPr="000974A4">
        <w:rPr>
          <w:lang w:val="de-DE"/>
        </w:rPr>
        <w:br w:type="page"/>
      </w:r>
    </w:p>
    <w:p w14:paraId="25FFF428" w14:textId="57F4C1D3" w:rsidR="00547F60" w:rsidRPr="000974A4" w:rsidRDefault="00547F60" w:rsidP="00626B49">
      <w:pPr>
        <w:pStyle w:val="HChG"/>
        <w:spacing w:before="240"/>
        <w:rPr>
          <w:lang w:val="de-DE"/>
        </w:rPr>
      </w:pPr>
      <w:r w:rsidRPr="000974A4">
        <w:rPr>
          <w:lang w:val="de-DE"/>
        </w:rPr>
        <w:lastRenderedPageBreak/>
        <w:tab/>
        <w:t>I.</w:t>
      </w:r>
      <w:r w:rsidRPr="000974A4">
        <w:rPr>
          <w:lang w:val="de-DE"/>
        </w:rPr>
        <w:tab/>
      </w:r>
      <w:r w:rsidRPr="000974A4">
        <w:rPr>
          <w:lang w:val="de-DE"/>
        </w:rPr>
        <w:tab/>
      </w:r>
      <w:r w:rsidR="001D6297" w:rsidRPr="000974A4">
        <w:rPr>
          <w:lang w:val="de-DE"/>
        </w:rPr>
        <w:t>Teilnehmer</w:t>
      </w:r>
    </w:p>
    <w:p w14:paraId="67466A63" w14:textId="67E7843A" w:rsidR="00547F60" w:rsidRPr="000974A4" w:rsidRDefault="00547F60" w:rsidP="00B803DF">
      <w:pPr>
        <w:pStyle w:val="SingleTxtG"/>
        <w:rPr>
          <w:lang w:val="de-DE"/>
        </w:rPr>
      </w:pPr>
      <w:r w:rsidRPr="000974A4">
        <w:rPr>
          <w:lang w:val="de-DE"/>
        </w:rPr>
        <w:t>1.</w:t>
      </w:r>
      <w:r w:rsidRPr="000974A4">
        <w:rPr>
          <w:lang w:val="de-DE"/>
        </w:rPr>
        <w:tab/>
      </w:r>
      <w:r w:rsidR="001D6297" w:rsidRPr="000974A4">
        <w:rPr>
          <w:lang w:val="de-DE"/>
        </w:rPr>
        <w:t xml:space="preserve">Die Gemeinsame Expertentagung für die dem Europäischen Übereinkommen über die internationale Beförderung von gefährlichen Gütern auf Binnenwasserstraßen (ADN) beigefügte Verordnung (ADN-Sicherheitsausschuss) hielt vom 21. bis 25. </w:t>
      </w:r>
      <w:r w:rsidR="00E82251" w:rsidRPr="000974A4">
        <w:rPr>
          <w:lang w:val="de-DE"/>
        </w:rPr>
        <w:t>Januar</w:t>
      </w:r>
      <w:r w:rsidR="001D6297" w:rsidRPr="000974A4">
        <w:rPr>
          <w:lang w:val="de-DE"/>
        </w:rPr>
        <w:t xml:space="preserve"> 2019 in Genf ihre </w:t>
      </w:r>
      <w:r w:rsidR="00E82251" w:rsidRPr="000974A4">
        <w:rPr>
          <w:lang w:val="de-DE"/>
        </w:rPr>
        <w:t>vier</w:t>
      </w:r>
      <w:r w:rsidR="001D6297" w:rsidRPr="000974A4">
        <w:rPr>
          <w:lang w:val="de-DE"/>
        </w:rPr>
        <w:t>unddreißigste Sitzung ab.</w:t>
      </w:r>
    </w:p>
    <w:p w14:paraId="136C393A" w14:textId="7250537D" w:rsidR="00547F60" w:rsidRPr="000974A4" w:rsidRDefault="00547F60" w:rsidP="00B803DF">
      <w:pPr>
        <w:pStyle w:val="SingleTxtG"/>
        <w:rPr>
          <w:lang w:val="de-DE"/>
        </w:rPr>
      </w:pPr>
      <w:r w:rsidRPr="000974A4">
        <w:rPr>
          <w:lang w:val="de-DE"/>
        </w:rPr>
        <w:t>2.</w:t>
      </w:r>
      <w:r w:rsidRPr="000974A4">
        <w:rPr>
          <w:lang w:val="de-DE"/>
        </w:rPr>
        <w:tab/>
      </w:r>
      <w:r w:rsidR="00E82251" w:rsidRPr="000974A4">
        <w:rPr>
          <w:lang w:val="de-DE"/>
        </w:rPr>
        <w:t>An den Arbeiten dieser Sitzung beteiligten sich Vertreter der folgenden Länder:</w:t>
      </w:r>
      <w:r w:rsidRPr="000974A4">
        <w:rPr>
          <w:lang w:val="de-DE"/>
        </w:rPr>
        <w:t xml:space="preserve"> </w:t>
      </w:r>
      <w:r w:rsidR="00E82251" w:rsidRPr="000974A4">
        <w:rPr>
          <w:lang w:val="de-DE"/>
        </w:rPr>
        <w:t>Belgien, Deutschland, Frankreich, Kroatien, Luxemburg, Niederlande, Österreich, Rumänien, Russische Föderation, Schweiz, Slowakei und Tschechische Republik.</w:t>
      </w:r>
      <w:r w:rsidRPr="000974A4">
        <w:rPr>
          <w:lang w:val="de-DE"/>
        </w:rPr>
        <w:t xml:space="preserve"> </w:t>
      </w:r>
    </w:p>
    <w:p w14:paraId="39DC10B5" w14:textId="7FF33FFD" w:rsidR="00547F60" w:rsidRPr="000974A4" w:rsidRDefault="00547F60" w:rsidP="00B803DF">
      <w:pPr>
        <w:pStyle w:val="SingleTxtG"/>
        <w:rPr>
          <w:lang w:val="de-DE"/>
        </w:rPr>
      </w:pPr>
      <w:r w:rsidRPr="000974A4">
        <w:rPr>
          <w:lang w:val="de-DE"/>
        </w:rPr>
        <w:t>3.</w:t>
      </w:r>
      <w:r w:rsidRPr="000974A4">
        <w:rPr>
          <w:lang w:val="de-DE"/>
        </w:rPr>
        <w:tab/>
      </w:r>
      <w:r w:rsidR="00E82251" w:rsidRPr="000974A4">
        <w:rPr>
          <w:lang w:val="de-DE"/>
        </w:rPr>
        <w:t>Folgende zwischenstaatliche Organisationen waren vertreten: Zentralkommission für die Rheinschifffahrt (ZKR), Donaukommission und Europäische Union.</w:t>
      </w:r>
      <w:r w:rsidRPr="000974A4">
        <w:rPr>
          <w:lang w:val="de-DE"/>
        </w:rPr>
        <w:t xml:space="preserve"> </w:t>
      </w:r>
    </w:p>
    <w:p w14:paraId="4A79B0CB" w14:textId="408B9985" w:rsidR="00547F60" w:rsidRPr="000974A4" w:rsidRDefault="00547F60" w:rsidP="00B803DF">
      <w:pPr>
        <w:pStyle w:val="SingleTxtG"/>
        <w:rPr>
          <w:lang w:val="de-DE"/>
        </w:rPr>
      </w:pPr>
      <w:r w:rsidRPr="000974A4">
        <w:rPr>
          <w:lang w:val="de-DE"/>
        </w:rPr>
        <w:t>4.</w:t>
      </w:r>
      <w:r w:rsidRPr="000974A4">
        <w:rPr>
          <w:lang w:val="de-DE"/>
        </w:rPr>
        <w:tab/>
      </w:r>
      <w:r w:rsidR="00E82251" w:rsidRPr="000974A4">
        <w:rPr>
          <w:lang w:val="de-DE"/>
        </w:rPr>
        <w:t>Ebenfalls vertreten waren folgende nichtstaatliche Organisationen:</w:t>
      </w:r>
      <w:r w:rsidRPr="000974A4">
        <w:rPr>
          <w:lang w:val="de-DE"/>
        </w:rPr>
        <w:t xml:space="preserve"> </w:t>
      </w:r>
      <w:r w:rsidR="00E82251" w:rsidRPr="000974A4">
        <w:rPr>
          <w:lang w:val="de-DE"/>
        </w:rPr>
        <w:t xml:space="preserve">Europäische Binnenschifffahrts-Union (EBU), European </w:t>
      </w:r>
      <w:proofErr w:type="spellStart"/>
      <w:r w:rsidR="00E82251" w:rsidRPr="000974A4">
        <w:rPr>
          <w:lang w:val="de-DE"/>
        </w:rPr>
        <w:t>Bulk</w:t>
      </w:r>
      <w:proofErr w:type="spellEnd"/>
      <w:r w:rsidR="00E82251" w:rsidRPr="000974A4">
        <w:rPr>
          <w:lang w:val="de-DE"/>
        </w:rPr>
        <w:t xml:space="preserve"> </w:t>
      </w:r>
      <w:proofErr w:type="spellStart"/>
      <w:r w:rsidR="00E82251" w:rsidRPr="000974A4">
        <w:rPr>
          <w:lang w:val="de-DE"/>
        </w:rPr>
        <w:t>Oil</w:t>
      </w:r>
      <w:proofErr w:type="spellEnd"/>
      <w:r w:rsidR="00E82251" w:rsidRPr="000974A4">
        <w:rPr>
          <w:lang w:val="de-DE"/>
        </w:rPr>
        <w:t xml:space="preserve"> Traders’ </w:t>
      </w:r>
      <w:proofErr w:type="spellStart"/>
      <w:r w:rsidR="00E82251" w:rsidRPr="000974A4">
        <w:rPr>
          <w:lang w:val="de-DE"/>
        </w:rPr>
        <w:t>Association</w:t>
      </w:r>
      <w:proofErr w:type="spellEnd"/>
      <w:r w:rsidR="00E82251" w:rsidRPr="000974A4">
        <w:rPr>
          <w:lang w:val="de-DE"/>
        </w:rPr>
        <w:t xml:space="preserve"> (EBOTA), Europäischer Rat der Chemischen Industrieverbände (CEFIC), Europäische Schifferorganisation (ESO), Verband europäischer Tanklager (FETSA), </w:t>
      </w:r>
      <w:proofErr w:type="spellStart"/>
      <w:r w:rsidR="00E82251" w:rsidRPr="000974A4">
        <w:rPr>
          <w:lang w:val="de-DE"/>
        </w:rPr>
        <w:t>FuelsEurope</w:t>
      </w:r>
      <w:proofErr w:type="spellEnd"/>
      <w:r w:rsidR="00E82251" w:rsidRPr="000974A4">
        <w:rPr>
          <w:lang w:val="de-DE"/>
        </w:rPr>
        <w:t>, Internationaler Ausschuss für die Verhütung von Arbeitsunfällen in der Binnenschifffahrt (CIPA) und Empfohlene ADN-Klassifikationsgesellschaften.</w:t>
      </w:r>
      <w:r w:rsidR="001177E8" w:rsidRPr="000974A4" w:rsidDel="001177E8">
        <w:rPr>
          <w:lang w:val="de-DE"/>
        </w:rPr>
        <w:t xml:space="preserve"> </w:t>
      </w:r>
    </w:p>
    <w:p w14:paraId="398028B3" w14:textId="7EACE1CC" w:rsidR="00547F60" w:rsidRPr="000974A4" w:rsidRDefault="00547F60" w:rsidP="00E82251">
      <w:pPr>
        <w:pStyle w:val="HChG"/>
        <w:rPr>
          <w:lang w:val="de-DE"/>
        </w:rPr>
      </w:pPr>
      <w:r w:rsidRPr="000974A4">
        <w:rPr>
          <w:lang w:val="de-DE"/>
        </w:rPr>
        <w:tab/>
      </w:r>
      <w:r w:rsidR="00E82251" w:rsidRPr="000974A4">
        <w:rPr>
          <w:lang w:val="de-DE"/>
        </w:rPr>
        <w:t>II.</w:t>
      </w:r>
      <w:r w:rsidRPr="000974A4">
        <w:rPr>
          <w:lang w:val="de-DE"/>
        </w:rPr>
        <w:tab/>
      </w:r>
      <w:r w:rsidR="00E82251" w:rsidRPr="000974A4">
        <w:rPr>
          <w:lang w:val="de-DE"/>
        </w:rPr>
        <w:t>Genehmigung der Tagesordnung (TOP 1)</w:t>
      </w:r>
    </w:p>
    <w:p w14:paraId="04A62369" w14:textId="4301BF13" w:rsidR="00547F60" w:rsidRPr="000974A4" w:rsidRDefault="00547F60" w:rsidP="00E82251">
      <w:pPr>
        <w:tabs>
          <w:tab w:val="left" w:pos="1701"/>
          <w:tab w:val="left" w:pos="3119"/>
        </w:tabs>
        <w:spacing w:after="120"/>
        <w:ind w:left="1134" w:hanging="1134"/>
        <w:rPr>
          <w:lang w:val="de-DE"/>
        </w:rPr>
      </w:pPr>
      <w:r w:rsidRPr="000974A4">
        <w:rPr>
          <w:i/>
          <w:iCs/>
          <w:lang w:val="de-DE"/>
        </w:rPr>
        <w:tab/>
      </w:r>
      <w:r w:rsidR="00E82251" w:rsidRPr="000974A4">
        <w:rPr>
          <w:i/>
          <w:iCs/>
          <w:lang w:val="de-DE"/>
        </w:rPr>
        <w:t>Dokumente:</w:t>
      </w:r>
      <w:r w:rsidRPr="000974A4">
        <w:rPr>
          <w:lang w:val="de-DE"/>
        </w:rPr>
        <w:tab/>
      </w:r>
      <w:r w:rsidR="00E82251" w:rsidRPr="000974A4">
        <w:rPr>
          <w:lang w:val="de-DE"/>
        </w:rPr>
        <w:t>ECE/TRANS/WP.15/AC.2/69 (Sekretariat)</w:t>
      </w:r>
    </w:p>
    <w:p w14:paraId="74A93873" w14:textId="0473DCEB" w:rsidR="00547F60" w:rsidRPr="000974A4" w:rsidRDefault="00547F60" w:rsidP="00E82251">
      <w:pPr>
        <w:tabs>
          <w:tab w:val="left" w:pos="1134"/>
          <w:tab w:val="left" w:pos="1701"/>
          <w:tab w:val="left" w:pos="3119"/>
        </w:tabs>
        <w:spacing w:after="120"/>
        <w:rPr>
          <w:lang w:val="de-DE"/>
        </w:rPr>
      </w:pPr>
      <w:r w:rsidRPr="000974A4">
        <w:rPr>
          <w:i/>
          <w:iCs/>
          <w:lang w:val="de-DE"/>
        </w:rPr>
        <w:tab/>
      </w:r>
      <w:r w:rsidRPr="000974A4">
        <w:rPr>
          <w:i/>
          <w:iCs/>
          <w:lang w:val="de-DE"/>
        </w:rPr>
        <w:tab/>
      </w:r>
      <w:r w:rsidRPr="000974A4">
        <w:rPr>
          <w:i/>
          <w:iCs/>
          <w:lang w:val="de-DE"/>
        </w:rPr>
        <w:tab/>
      </w:r>
      <w:r w:rsidR="00E82251" w:rsidRPr="000974A4">
        <w:rPr>
          <w:lang w:val="de-DE"/>
        </w:rPr>
        <w:t>ECE/TRANS/WP.15/AC.2/69/Add.1 (Sekretariat)</w:t>
      </w:r>
    </w:p>
    <w:p w14:paraId="1AE794A8" w14:textId="76781EC2" w:rsidR="00547F60" w:rsidRPr="000974A4" w:rsidRDefault="00E82251" w:rsidP="00E82251">
      <w:pPr>
        <w:pStyle w:val="SingleTxtG"/>
        <w:tabs>
          <w:tab w:val="left" w:pos="3119"/>
        </w:tabs>
        <w:spacing w:after="240"/>
        <w:rPr>
          <w:lang w:val="de-DE"/>
        </w:rPr>
      </w:pPr>
      <w:r w:rsidRPr="000974A4">
        <w:rPr>
          <w:i/>
          <w:iCs/>
          <w:lang w:val="de-DE"/>
        </w:rPr>
        <w:t>Informelle Dokumente:</w:t>
      </w:r>
      <w:r w:rsidR="00547F60" w:rsidRPr="000974A4">
        <w:rPr>
          <w:lang w:val="de-DE"/>
        </w:rPr>
        <w:t xml:space="preserve"> </w:t>
      </w:r>
      <w:r w:rsidR="00547F60" w:rsidRPr="000974A4">
        <w:rPr>
          <w:lang w:val="de-DE"/>
        </w:rPr>
        <w:tab/>
      </w:r>
      <w:r w:rsidRPr="000974A4">
        <w:rPr>
          <w:lang w:val="de-DE"/>
        </w:rPr>
        <w:t>INF.1 und INF.17 (Sekretariat)</w:t>
      </w:r>
    </w:p>
    <w:p w14:paraId="413EB4B1" w14:textId="6C0CEBAC" w:rsidR="00547F60" w:rsidRPr="000974A4" w:rsidRDefault="00547F60" w:rsidP="00B803DF">
      <w:pPr>
        <w:pStyle w:val="SingleTxtG"/>
        <w:spacing w:after="240"/>
        <w:rPr>
          <w:lang w:val="de-DE"/>
        </w:rPr>
      </w:pPr>
      <w:r w:rsidRPr="000974A4">
        <w:rPr>
          <w:lang w:val="de-DE"/>
        </w:rPr>
        <w:t>5.</w:t>
      </w:r>
      <w:r w:rsidRPr="000974A4">
        <w:rPr>
          <w:lang w:val="de-DE"/>
        </w:rPr>
        <w:tab/>
      </w:r>
      <w:r w:rsidR="00E82251" w:rsidRPr="000974A4">
        <w:rPr>
          <w:lang w:val="de-DE"/>
        </w:rPr>
        <w:t>Der Sicherheitsausschuss genehmigte die vom Sekretariat vorbereitete Tagesordnung in der durch das informelle Dokument INF.1 zur Berücksichtigung der informellen Dokumente INF.1 bis INF.20 geänderten Fassung.</w:t>
      </w:r>
    </w:p>
    <w:p w14:paraId="03D173BF" w14:textId="5613CE74" w:rsidR="00913182" w:rsidRPr="000974A4" w:rsidRDefault="00913182" w:rsidP="00B803DF">
      <w:pPr>
        <w:pStyle w:val="HChG"/>
        <w:rPr>
          <w:lang w:val="de-DE"/>
        </w:rPr>
      </w:pPr>
      <w:r w:rsidRPr="000974A4">
        <w:rPr>
          <w:lang w:val="de-DE"/>
        </w:rPr>
        <w:tab/>
      </w:r>
      <w:r w:rsidR="00E82251" w:rsidRPr="000974A4">
        <w:rPr>
          <w:lang w:val="de-DE"/>
        </w:rPr>
        <w:t>III.</w:t>
      </w:r>
      <w:r w:rsidRPr="000974A4">
        <w:rPr>
          <w:lang w:val="de-DE"/>
        </w:rPr>
        <w:tab/>
      </w:r>
      <w:r w:rsidR="00E82251" w:rsidRPr="000974A4">
        <w:rPr>
          <w:lang w:val="de-DE"/>
        </w:rPr>
        <w:t>Wahl des Büros für 2019 (TOP 2)</w:t>
      </w:r>
    </w:p>
    <w:p w14:paraId="77B14CB6" w14:textId="4FF4F9E5" w:rsidR="00913182" w:rsidRPr="000974A4" w:rsidRDefault="00913182" w:rsidP="00B803DF">
      <w:pPr>
        <w:pStyle w:val="SingleTxtG"/>
        <w:rPr>
          <w:lang w:val="de-DE"/>
        </w:rPr>
      </w:pPr>
      <w:r w:rsidRPr="000974A4">
        <w:rPr>
          <w:lang w:val="de-DE"/>
        </w:rPr>
        <w:t>6.</w:t>
      </w:r>
      <w:r w:rsidRPr="000974A4">
        <w:rPr>
          <w:lang w:val="de-DE"/>
        </w:rPr>
        <w:tab/>
      </w:r>
      <w:r w:rsidR="00E82251" w:rsidRPr="000974A4">
        <w:rPr>
          <w:lang w:val="de-DE"/>
        </w:rPr>
        <w:t xml:space="preserve">Auf Vorschlag der Vertreter der Schweiz und Luxemburgs wählte der Sicherheitsausschuss Herrn H. Langenberg (Niederlande) und Herrn B. </w:t>
      </w:r>
      <w:proofErr w:type="spellStart"/>
      <w:r w:rsidR="00E82251" w:rsidRPr="000974A4">
        <w:rPr>
          <w:lang w:val="de-DE"/>
        </w:rPr>
        <w:t>Birklhuber</w:t>
      </w:r>
      <w:proofErr w:type="spellEnd"/>
      <w:r w:rsidR="00E82251" w:rsidRPr="000974A4">
        <w:rPr>
          <w:lang w:val="de-DE"/>
        </w:rPr>
        <w:t xml:space="preserve"> (Österreich) zum Vorsitzenden und stellvertretenden Vorsitzenden für die Sitzungsperiode 2019.</w:t>
      </w:r>
    </w:p>
    <w:p w14:paraId="319EA289" w14:textId="6C904D46" w:rsidR="00295597" w:rsidRPr="000974A4" w:rsidRDefault="006C5078" w:rsidP="00626B49">
      <w:pPr>
        <w:pStyle w:val="HChG"/>
        <w:spacing w:before="240"/>
        <w:rPr>
          <w:lang w:val="de-DE"/>
        </w:rPr>
      </w:pPr>
      <w:bookmarkStart w:id="6" w:name="_Hlk536607958"/>
      <w:r w:rsidRPr="000974A4">
        <w:rPr>
          <w:lang w:val="de-DE"/>
        </w:rPr>
        <w:tab/>
      </w:r>
      <w:bookmarkStart w:id="7" w:name="_Hlk536608040"/>
      <w:bookmarkEnd w:id="6"/>
      <w:r w:rsidR="00E82251" w:rsidRPr="000974A4">
        <w:rPr>
          <w:lang w:val="de-DE"/>
        </w:rPr>
        <w:t>IV.</w:t>
      </w:r>
      <w:r w:rsidRPr="000974A4">
        <w:rPr>
          <w:lang w:val="de-DE"/>
        </w:rPr>
        <w:tab/>
      </w:r>
      <w:bookmarkEnd w:id="7"/>
      <w:r w:rsidR="00E82251" w:rsidRPr="000974A4">
        <w:rPr>
          <w:lang w:val="de-DE"/>
        </w:rPr>
        <w:t xml:space="preserve">Fragen im Zusammenhang mit den Arbeiten der Organe der Vereinten Nationen und anderer Organisationen (TOP 3) </w:t>
      </w:r>
    </w:p>
    <w:p w14:paraId="2DCE2D26" w14:textId="6919D277" w:rsidR="006C5078" w:rsidRPr="000974A4" w:rsidRDefault="006C5078" w:rsidP="00626B49">
      <w:pPr>
        <w:pStyle w:val="H1G"/>
        <w:spacing w:before="240"/>
        <w:rPr>
          <w:lang w:val="de-DE"/>
        </w:rPr>
      </w:pPr>
      <w:r w:rsidRPr="000974A4">
        <w:rPr>
          <w:lang w:val="de-DE"/>
        </w:rPr>
        <w:tab/>
      </w:r>
      <w:r w:rsidR="00E82251" w:rsidRPr="000974A4">
        <w:rPr>
          <w:lang w:val="de-DE"/>
        </w:rPr>
        <w:t>A.</w:t>
      </w:r>
      <w:r w:rsidRPr="000974A4">
        <w:rPr>
          <w:lang w:val="de-DE"/>
        </w:rPr>
        <w:tab/>
      </w:r>
      <w:r w:rsidR="00E82251" w:rsidRPr="000974A4">
        <w:rPr>
          <w:lang w:val="de-DE"/>
        </w:rPr>
        <w:t>Strategie der Europäischen Union für den Donauraum (EUSDR): Arbeit in den Prioritätsbereichen 1A und 11</w:t>
      </w:r>
    </w:p>
    <w:p w14:paraId="59A6DA4D" w14:textId="54B9B61C" w:rsidR="006C5078" w:rsidRPr="000974A4" w:rsidRDefault="006C5078" w:rsidP="00E82251">
      <w:pPr>
        <w:tabs>
          <w:tab w:val="left" w:pos="1134"/>
          <w:tab w:val="left" w:pos="3119"/>
        </w:tabs>
        <w:spacing w:after="120"/>
        <w:rPr>
          <w:lang w:val="de-DE"/>
        </w:rPr>
      </w:pPr>
      <w:r w:rsidRPr="000974A4">
        <w:rPr>
          <w:lang w:val="de-DE"/>
        </w:rPr>
        <w:tab/>
      </w:r>
      <w:r w:rsidR="00E82251" w:rsidRPr="000974A4">
        <w:rPr>
          <w:i/>
          <w:iCs/>
          <w:lang w:val="de-DE"/>
        </w:rPr>
        <w:t>Informelles Dokument:</w:t>
      </w:r>
      <w:r w:rsidRPr="000974A4">
        <w:rPr>
          <w:lang w:val="de-DE"/>
        </w:rPr>
        <w:tab/>
      </w:r>
      <w:r w:rsidR="00E82251" w:rsidRPr="000974A4">
        <w:rPr>
          <w:lang w:val="de-DE"/>
        </w:rPr>
        <w:t>INF.8 (Donaukommission)</w:t>
      </w:r>
    </w:p>
    <w:p w14:paraId="7111B175" w14:textId="77CF4FBC" w:rsidR="006C5078" w:rsidRPr="000974A4" w:rsidRDefault="006C5078" w:rsidP="00B803DF">
      <w:pPr>
        <w:pStyle w:val="SingleTxtG"/>
        <w:rPr>
          <w:lang w:val="de-DE"/>
        </w:rPr>
      </w:pPr>
      <w:r w:rsidRPr="000974A4">
        <w:rPr>
          <w:lang w:val="de-DE"/>
        </w:rPr>
        <w:t>7.</w:t>
      </w:r>
      <w:r w:rsidRPr="000974A4">
        <w:rPr>
          <w:lang w:val="de-DE"/>
        </w:rPr>
        <w:tab/>
      </w:r>
      <w:r w:rsidR="00E82251" w:rsidRPr="000974A4">
        <w:rPr>
          <w:lang w:val="de-DE"/>
        </w:rPr>
        <w:t>Der Sicherheitsausschuss nahm Kenntnis von den Informationen in der Anlage zum informellen Dokument INF.8 über einen transnationalen Workshop zur praktischen Umsetzung der Maßnahme M04, der am 27. März 2019 in Tegernsee (Deutschland) stattfinden wird.</w:t>
      </w:r>
      <w:r w:rsidRPr="000974A4">
        <w:rPr>
          <w:lang w:val="de-DE"/>
        </w:rPr>
        <w:t xml:space="preserve"> </w:t>
      </w:r>
      <w:r w:rsidR="00B11F85" w:rsidRPr="000974A4">
        <w:rPr>
          <w:lang w:val="de-DE"/>
        </w:rPr>
        <w:t>Es wurde festgestellt, dass der Workshop Aspekte im Zusammenhang mit den Prioritätsbereichen 1A (Wassermobilität) und 11 (Sicherheit) der EUSDR behandeln wird.</w:t>
      </w:r>
      <w:r w:rsidRPr="000974A4">
        <w:rPr>
          <w:lang w:val="de-DE"/>
        </w:rPr>
        <w:t xml:space="preserve"> </w:t>
      </w:r>
    </w:p>
    <w:p w14:paraId="560609AB" w14:textId="77777777" w:rsidR="004E750C" w:rsidRPr="000974A4" w:rsidRDefault="004E750C">
      <w:pPr>
        <w:suppressAutoHyphens w:val="0"/>
        <w:spacing w:line="240" w:lineRule="auto"/>
        <w:rPr>
          <w:lang w:val="de-DE"/>
        </w:rPr>
      </w:pPr>
      <w:r w:rsidRPr="000974A4">
        <w:rPr>
          <w:lang w:val="de-DE"/>
        </w:rPr>
        <w:br w:type="page"/>
      </w:r>
    </w:p>
    <w:p w14:paraId="4ED1CE83" w14:textId="4742500E" w:rsidR="006C5078" w:rsidRPr="000974A4" w:rsidRDefault="006C5078" w:rsidP="00B803DF">
      <w:pPr>
        <w:pStyle w:val="SingleTxtG"/>
        <w:rPr>
          <w:lang w:val="de-DE"/>
        </w:rPr>
      </w:pPr>
      <w:r w:rsidRPr="000974A4">
        <w:rPr>
          <w:lang w:val="de-DE"/>
        </w:rPr>
        <w:lastRenderedPageBreak/>
        <w:t>8.</w:t>
      </w:r>
      <w:r w:rsidRPr="000974A4">
        <w:rPr>
          <w:lang w:val="de-DE"/>
        </w:rPr>
        <w:tab/>
      </w:r>
      <w:r w:rsidR="00B11F85" w:rsidRPr="000974A4">
        <w:rPr>
          <w:lang w:val="de-DE"/>
        </w:rPr>
        <w:t xml:space="preserve">Der Vertreter Deutschlands erklärte, dass </w:t>
      </w:r>
      <w:r w:rsidR="00DF7A8F" w:rsidRPr="000974A4">
        <w:rPr>
          <w:lang w:val="de-DE"/>
        </w:rPr>
        <w:t>es in diesem</w:t>
      </w:r>
      <w:r w:rsidR="00B11F85" w:rsidRPr="000974A4">
        <w:rPr>
          <w:lang w:val="de-DE"/>
        </w:rPr>
        <w:t xml:space="preserve"> Workshop nicht </w:t>
      </w:r>
      <w:r w:rsidR="00DF7A8F" w:rsidRPr="000974A4">
        <w:rPr>
          <w:lang w:val="de-DE"/>
        </w:rPr>
        <w:t xml:space="preserve">um die Behandlung </w:t>
      </w:r>
      <w:r w:rsidR="00B11F85" w:rsidRPr="000974A4">
        <w:rPr>
          <w:lang w:val="de-DE"/>
        </w:rPr>
        <w:t>technische</w:t>
      </w:r>
      <w:r w:rsidR="00DF7A8F" w:rsidRPr="000974A4">
        <w:rPr>
          <w:lang w:val="de-DE"/>
        </w:rPr>
        <w:t>r</w:t>
      </w:r>
      <w:r w:rsidR="00B11F85" w:rsidRPr="000974A4">
        <w:rPr>
          <w:lang w:val="de-DE"/>
        </w:rPr>
        <w:t xml:space="preserve"> Vorschriften für die Beförderung gefährlicher Güter auf den unter das ADN fallenden Binnenwasserstraßen </w:t>
      </w:r>
      <w:r w:rsidR="00DF7A8F" w:rsidRPr="000974A4">
        <w:rPr>
          <w:lang w:val="de-DE"/>
        </w:rPr>
        <w:t>gehen soll</w:t>
      </w:r>
      <w:r w:rsidR="00B11F85" w:rsidRPr="000974A4">
        <w:rPr>
          <w:lang w:val="de-DE"/>
        </w:rPr>
        <w:t xml:space="preserve">, sondern </w:t>
      </w:r>
      <w:r w:rsidR="00DF7A8F" w:rsidRPr="000974A4">
        <w:rPr>
          <w:lang w:val="de-DE"/>
        </w:rPr>
        <w:t>darum</w:t>
      </w:r>
      <w:r w:rsidR="00B11F85" w:rsidRPr="000974A4">
        <w:rPr>
          <w:lang w:val="de-DE"/>
        </w:rPr>
        <w:t>, wie die Schiffskontrollen gemäß den Abschnitten 1.8.1 und 1.8.2 ADN wirksamer durchgeführt werden können.</w:t>
      </w:r>
    </w:p>
    <w:p w14:paraId="61EC5EEA" w14:textId="6732D229" w:rsidR="006C5078" w:rsidRPr="000974A4" w:rsidRDefault="006C5078" w:rsidP="00B803DF">
      <w:pPr>
        <w:pStyle w:val="SingleTxtG"/>
        <w:rPr>
          <w:highlight w:val="yellow"/>
          <w:lang w:val="de-DE"/>
        </w:rPr>
      </w:pPr>
      <w:r w:rsidRPr="000974A4">
        <w:rPr>
          <w:lang w:val="de-DE"/>
        </w:rPr>
        <w:t>9.</w:t>
      </w:r>
      <w:r w:rsidRPr="000974A4">
        <w:rPr>
          <w:lang w:val="de-DE"/>
        </w:rPr>
        <w:tab/>
      </w:r>
      <w:r w:rsidR="00DF7A8F" w:rsidRPr="000974A4">
        <w:rPr>
          <w:lang w:val="de-DE"/>
        </w:rPr>
        <w:t>Der Sicherheitsausschuss ersuchte den Vertreter der Donaukommission, ihn über die Ergebnisse des Workshops auf dem Laufenden zu halten.</w:t>
      </w:r>
      <w:r w:rsidRPr="000974A4">
        <w:rPr>
          <w:lang w:val="de-DE"/>
        </w:rPr>
        <w:t xml:space="preserve"> </w:t>
      </w:r>
    </w:p>
    <w:p w14:paraId="4402235B" w14:textId="5E3E03E4" w:rsidR="006C5078" w:rsidRPr="000974A4" w:rsidRDefault="006C5078" w:rsidP="00626B49">
      <w:pPr>
        <w:pStyle w:val="H1G"/>
        <w:spacing w:before="240"/>
        <w:rPr>
          <w:lang w:val="de-DE"/>
        </w:rPr>
      </w:pPr>
      <w:r w:rsidRPr="000974A4">
        <w:rPr>
          <w:lang w:val="de-DE"/>
        </w:rPr>
        <w:tab/>
      </w:r>
      <w:r w:rsidR="00DF7A8F" w:rsidRPr="000974A4">
        <w:rPr>
          <w:lang w:val="de-DE"/>
        </w:rPr>
        <w:t>B.</w:t>
      </w:r>
      <w:r w:rsidRPr="000974A4">
        <w:rPr>
          <w:lang w:val="de-DE"/>
        </w:rPr>
        <w:tab/>
      </w:r>
      <w:r w:rsidR="00DF7A8F" w:rsidRPr="000974A4">
        <w:rPr>
          <w:lang w:val="de-DE"/>
        </w:rPr>
        <w:t>Arbeiten des Binnenverkehrsausschusses</w:t>
      </w:r>
    </w:p>
    <w:p w14:paraId="21132690" w14:textId="3108AF99" w:rsidR="006C5078" w:rsidRPr="000974A4" w:rsidRDefault="006C5078" w:rsidP="00B803DF">
      <w:pPr>
        <w:pStyle w:val="SingleTxtG"/>
        <w:rPr>
          <w:lang w:val="de-DE"/>
        </w:rPr>
      </w:pPr>
      <w:bookmarkStart w:id="8" w:name="_Hlk535760431"/>
      <w:r w:rsidRPr="000974A4">
        <w:rPr>
          <w:lang w:val="de-DE"/>
        </w:rPr>
        <w:t>10.</w:t>
      </w:r>
      <w:r w:rsidRPr="000974A4">
        <w:rPr>
          <w:lang w:val="de-DE"/>
        </w:rPr>
        <w:tab/>
      </w:r>
      <w:r w:rsidR="00DF7A8F" w:rsidRPr="000974A4">
        <w:rPr>
          <w:lang w:val="de-DE"/>
        </w:rPr>
        <w:t>Der Sicherheitsausschuss wurde darüber informiert, dass die einundachtzigste Sitzung des Binnenverkehrsausschusses vom 19. bis 22. Februar 2019 in Genf stattfindet.</w:t>
      </w:r>
      <w:r w:rsidRPr="000974A4">
        <w:rPr>
          <w:lang w:val="de-DE"/>
        </w:rPr>
        <w:t xml:space="preserve"> </w:t>
      </w:r>
      <w:r w:rsidR="00D528E1" w:rsidRPr="000974A4">
        <w:rPr>
          <w:lang w:val="de-DE"/>
        </w:rPr>
        <w:t>Es wurde festgestellt, dass der Ausschuss zusätzlich zur Behandlung von Fragen im Zusammenhang mit seiner Arbeit und der seiner Nebenorgane die Möglichkeit zur Prüfung und Annahme seiner Strategie und seines Aktionsplans bis 2030 und zur Überarbeitung seiner Aufgabenstellung haben wird.</w:t>
      </w:r>
      <w:r w:rsidRPr="000974A4">
        <w:rPr>
          <w:lang w:val="de-DE"/>
        </w:rPr>
        <w:t xml:space="preserve"> </w:t>
      </w:r>
      <w:r w:rsidR="00D528E1" w:rsidRPr="000974A4">
        <w:rPr>
          <w:lang w:val="de-DE"/>
        </w:rPr>
        <w:t>Die erläuterte vorläufige Tagesordnung (ECE/TRANS/287/Add.1) und die Unterlagen für die Sitzung sind auf der Website des UNECE-Sekretariats verfügbar</w:t>
      </w:r>
      <w:r w:rsidR="00D528E1" w:rsidRPr="000974A4">
        <w:rPr>
          <w:vertAlign w:val="superscript"/>
          <w:lang w:val="de-DE"/>
        </w:rPr>
        <w:footnoteReference w:id="2"/>
      </w:r>
      <w:r w:rsidR="00D528E1" w:rsidRPr="000974A4">
        <w:rPr>
          <w:lang w:val="de-DE"/>
        </w:rPr>
        <w:t>.</w:t>
      </w:r>
    </w:p>
    <w:bookmarkEnd w:id="8"/>
    <w:p w14:paraId="76BB273E" w14:textId="30729C99" w:rsidR="006C5078" w:rsidRPr="000974A4" w:rsidRDefault="006C5078" w:rsidP="00626B49">
      <w:pPr>
        <w:keepNext/>
        <w:keepLines/>
        <w:tabs>
          <w:tab w:val="right" w:pos="851"/>
        </w:tabs>
        <w:spacing w:before="240" w:after="120" w:line="300" w:lineRule="exact"/>
        <w:ind w:left="1134" w:right="1134" w:hanging="1134"/>
        <w:rPr>
          <w:b/>
          <w:sz w:val="28"/>
          <w:lang w:val="de-DE"/>
        </w:rPr>
      </w:pPr>
      <w:r w:rsidRPr="000974A4">
        <w:rPr>
          <w:b/>
          <w:sz w:val="28"/>
          <w:lang w:val="de-DE"/>
        </w:rPr>
        <w:tab/>
        <w:t>V.</w:t>
      </w:r>
      <w:r w:rsidRPr="000974A4">
        <w:rPr>
          <w:b/>
          <w:sz w:val="28"/>
          <w:lang w:val="de-DE"/>
        </w:rPr>
        <w:tab/>
      </w:r>
      <w:r w:rsidR="00D528E1" w:rsidRPr="000974A4">
        <w:rPr>
          <w:b/>
          <w:sz w:val="28"/>
          <w:lang w:val="de-DE"/>
        </w:rPr>
        <w:t xml:space="preserve">Durchführung des Europäischen Übereinkommens über die internationale Beförderung </w:t>
      </w:r>
      <w:r w:rsidR="00D528E1" w:rsidRPr="000974A4">
        <w:rPr>
          <w:b/>
          <w:sz w:val="28"/>
          <w:lang w:val="de-DE"/>
        </w:rPr>
        <w:br/>
        <w:t>von gefährlichen Gütern auf Binnenwasserstraßen (ADN) (TOP 4)</w:t>
      </w:r>
    </w:p>
    <w:p w14:paraId="04DD79ED" w14:textId="5C9E4391" w:rsidR="006C5078" w:rsidRPr="000974A4" w:rsidRDefault="006C5078" w:rsidP="00626B49">
      <w:pPr>
        <w:keepNext/>
        <w:keepLines/>
        <w:tabs>
          <w:tab w:val="right" w:pos="851"/>
        </w:tabs>
        <w:spacing w:before="120" w:after="120" w:line="270" w:lineRule="exact"/>
        <w:ind w:left="1134" w:right="1134" w:hanging="1134"/>
        <w:rPr>
          <w:b/>
          <w:sz w:val="24"/>
          <w:lang w:val="de-DE"/>
        </w:rPr>
      </w:pPr>
      <w:r w:rsidRPr="000974A4">
        <w:rPr>
          <w:b/>
          <w:sz w:val="24"/>
          <w:lang w:val="de-DE"/>
        </w:rPr>
        <w:tab/>
      </w:r>
      <w:r w:rsidR="00D528E1" w:rsidRPr="000974A4">
        <w:rPr>
          <w:b/>
          <w:sz w:val="24"/>
          <w:lang w:val="de-DE"/>
        </w:rPr>
        <w:t>A.</w:t>
      </w:r>
      <w:r w:rsidRPr="000974A4">
        <w:rPr>
          <w:b/>
          <w:sz w:val="24"/>
          <w:lang w:val="de-DE"/>
        </w:rPr>
        <w:tab/>
      </w:r>
      <w:r w:rsidR="00D528E1" w:rsidRPr="000974A4">
        <w:rPr>
          <w:b/>
          <w:sz w:val="24"/>
          <w:lang w:val="de-DE"/>
        </w:rPr>
        <w:t>Status des ADN</w:t>
      </w:r>
    </w:p>
    <w:p w14:paraId="3F9B2B13" w14:textId="620B1A13" w:rsidR="006C5078" w:rsidRPr="000974A4" w:rsidRDefault="006C5078" w:rsidP="00660406">
      <w:pPr>
        <w:pStyle w:val="SingleTxtG"/>
        <w:tabs>
          <w:tab w:val="left" w:pos="1701"/>
        </w:tabs>
        <w:rPr>
          <w:lang w:val="de-DE"/>
        </w:rPr>
      </w:pPr>
      <w:r w:rsidRPr="000974A4">
        <w:rPr>
          <w:lang w:val="de-DE"/>
        </w:rPr>
        <w:t>11.</w:t>
      </w:r>
      <w:r w:rsidRPr="000974A4">
        <w:rPr>
          <w:lang w:val="de-DE"/>
        </w:rPr>
        <w:tab/>
      </w:r>
      <w:r w:rsidR="000C3655" w:rsidRPr="000974A4">
        <w:rPr>
          <w:lang w:val="de-DE"/>
        </w:rPr>
        <w:t xml:space="preserve">Der Sicherheitsausschuss nahm zur Kenntnis, dass die vom Verwaltungsausschuss </w:t>
      </w:r>
      <w:r w:rsidR="000B5D4D" w:rsidRPr="000974A4">
        <w:rPr>
          <w:lang w:val="de-DE"/>
        </w:rPr>
        <w:t>in</w:t>
      </w:r>
      <w:r w:rsidR="000C3655" w:rsidRPr="000974A4">
        <w:rPr>
          <w:lang w:val="de-DE"/>
        </w:rPr>
        <w:t xml:space="preserve"> dessen </w:t>
      </w:r>
      <w:r w:rsidR="000B5D4D" w:rsidRPr="000974A4">
        <w:rPr>
          <w:lang w:val="de-DE"/>
        </w:rPr>
        <w:t xml:space="preserve">letzten </w:t>
      </w:r>
      <w:r w:rsidR="000C3655" w:rsidRPr="000974A4">
        <w:rPr>
          <w:lang w:val="de-DE"/>
        </w:rPr>
        <w:t xml:space="preserve">beiden Sitzungen angenommenen Änderungs- und Berichtigungsvorschläge wie folgt </w:t>
      </w:r>
      <w:r w:rsidR="000B5D4D" w:rsidRPr="000974A4">
        <w:rPr>
          <w:lang w:val="de-DE"/>
        </w:rPr>
        <w:t xml:space="preserve">als </w:t>
      </w:r>
      <w:r w:rsidR="000C3655" w:rsidRPr="000974A4">
        <w:rPr>
          <w:lang w:val="de-DE"/>
        </w:rPr>
        <w:t xml:space="preserve">angenommen </w:t>
      </w:r>
      <w:r w:rsidR="000B5D4D" w:rsidRPr="000974A4">
        <w:rPr>
          <w:lang w:val="de-DE"/>
        </w:rPr>
        <w:t>gelten</w:t>
      </w:r>
      <w:r w:rsidR="000C3655" w:rsidRPr="000974A4">
        <w:rPr>
          <w:lang w:val="de-DE"/>
        </w:rPr>
        <w:t>:</w:t>
      </w:r>
    </w:p>
    <w:p w14:paraId="3ED057A9" w14:textId="66466691" w:rsidR="006C5078" w:rsidRPr="000974A4" w:rsidRDefault="000B5D4D" w:rsidP="00660406">
      <w:pPr>
        <w:pStyle w:val="SingleTxtG"/>
        <w:ind w:left="2268" w:hanging="567"/>
        <w:rPr>
          <w:lang w:val="de-DE"/>
        </w:rPr>
      </w:pPr>
      <w:r w:rsidRPr="000974A4">
        <w:rPr>
          <w:lang w:val="de-DE"/>
        </w:rPr>
        <w:t>a)</w:t>
      </w:r>
      <w:r w:rsidR="006C5078" w:rsidRPr="000974A4">
        <w:rPr>
          <w:lang w:val="de-DE"/>
        </w:rPr>
        <w:tab/>
      </w:r>
      <w:r w:rsidRPr="000974A4">
        <w:rPr>
          <w:lang w:val="de-DE"/>
        </w:rPr>
        <w:t>Die Änderungsvorschläge in Dokument ECE/ADN/45</w:t>
      </w:r>
      <w:r w:rsidR="00A1265D" w:rsidRPr="000974A4">
        <w:rPr>
          <w:lang w:val="de-DE"/>
        </w:rPr>
        <w:t>, die</w:t>
      </w:r>
      <w:r w:rsidRPr="000974A4">
        <w:rPr>
          <w:lang w:val="de-DE"/>
        </w:rPr>
        <w:t xml:space="preserve"> den Vertragsparteien am 1. Juli 2018 zwecks Zustimmung übermittelt </w:t>
      </w:r>
      <w:r w:rsidR="00A1265D" w:rsidRPr="000974A4">
        <w:rPr>
          <w:lang w:val="de-DE"/>
        </w:rPr>
        <w:t xml:space="preserve">wurden </w:t>
      </w:r>
      <w:r w:rsidRPr="000974A4">
        <w:rPr>
          <w:lang w:val="de-DE"/>
        </w:rPr>
        <w:t>(C.N.297.2018.TREATIES-XI-D-6)</w:t>
      </w:r>
      <w:r w:rsidR="00A1265D" w:rsidRPr="000974A4">
        <w:rPr>
          <w:lang w:val="de-DE"/>
        </w:rPr>
        <w:t>,</w:t>
      </w:r>
      <w:r w:rsidRPr="000974A4">
        <w:rPr>
          <w:lang w:val="de-DE"/>
        </w:rPr>
        <w:t xml:space="preserve"> </w:t>
      </w:r>
      <w:r w:rsidR="004E582C" w:rsidRPr="000974A4">
        <w:rPr>
          <w:lang w:val="de-DE"/>
        </w:rPr>
        <w:t>gelten</w:t>
      </w:r>
      <w:r w:rsidRPr="000974A4">
        <w:rPr>
          <w:lang w:val="de-DE"/>
        </w:rPr>
        <w:t xml:space="preserve"> </w:t>
      </w:r>
      <w:r w:rsidR="004E582C" w:rsidRPr="000974A4">
        <w:rPr>
          <w:lang w:val="de-DE"/>
        </w:rPr>
        <w:t>seit de</w:t>
      </w:r>
      <w:r w:rsidRPr="000974A4">
        <w:rPr>
          <w:lang w:val="de-DE"/>
        </w:rPr>
        <w:t xml:space="preserve">m 1. Oktober 2018 für ein Inkrafttreten am 1. Januar 2019 </w:t>
      </w:r>
      <w:r w:rsidR="004E582C" w:rsidRPr="000974A4">
        <w:rPr>
          <w:lang w:val="de-DE"/>
        </w:rPr>
        <w:t>als</w:t>
      </w:r>
      <w:r w:rsidRPr="000974A4">
        <w:rPr>
          <w:lang w:val="de-DE"/>
        </w:rPr>
        <w:t xml:space="preserve"> angenommen </w:t>
      </w:r>
      <w:r w:rsidR="00212057" w:rsidRPr="000974A4">
        <w:rPr>
          <w:lang w:val="de-DE"/>
        </w:rPr>
        <w:t>(C.N.489.2018.TREATIES-XI-D-6)</w:t>
      </w:r>
      <w:r w:rsidRPr="000974A4">
        <w:rPr>
          <w:lang w:val="de-DE"/>
        </w:rPr>
        <w:t>.</w:t>
      </w:r>
    </w:p>
    <w:p w14:paraId="59BFCD7A" w14:textId="43D7ADA6" w:rsidR="006C5078" w:rsidRPr="000974A4" w:rsidRDefault="003B5A1E" w:rsidP="00660406">
      <w:pPr>
        <w:pStyle w:val="SingleTxtG"/>
        <w:ind w:left="2268" w:hanging="567"/>
        <w:rPr>
          <w:lang w:val="de-DE"/>
        </w:rPr>
      </w:pPr>
      <w:r w:rsidRPr="000974A4">
        <w:rPr>
          <w:lang w:val="de-DE"/>
        </w:rPr>
        <w:t>b)</w:t>
      </w:r>
      <w:r w:rsidR="006C5078" w:rsidRPr="000974A4">
        <w:rPr>
          <w:lang w:val="de-DE"/>
        </w:rPr>
        <w:tab/>
      </w:r>
      <w:r w:rsidRPr="000974A4">
        <w:rPr>
          <w:lang w:val="de-DE"/>
        </w:rPr>
        <w:t xml:space="preserve">Die Änderungsvorschläge in Dokument ECE/ADN/45/Add.1 wurden den Vertragsparteien am 1. </w:t>
      </w:r>
      <w:r w:rsidR="001F4F52" w:rsidRPr="000974A4">
        <w:rPr>
          <w:lang w:val="de-DE"/>
        </w:rPr>
        <w:t>September</w:t>
      </w:r>
      <w:r w:rsidRPr="000974A4">
        <w:rPr>
          <w:lang w:val="de-DE"/>
        </w:rPr>
        <w:t xml:space="preserve"> 2018 zwecks Zustimmung übermittelt (C.N.396.2018.TREATIES-XI-D-6) und am 1. </w:t>
      </w:r>
      <w:r w:rsidR="001F4F52" w:rsidRPr="000974A4">
        <w:rPr>
          <w:lang w:val="de-DE"/>
        </w:rPr>
        <w:t>Dezember</w:t>
      </w:r>
      <w:r w:rsidRPr="000974A4">
        <w:rPr>
          <w:lang w:val="de-DE"/>
        </w:rPr>
        <w:t xml:space="preserve"> 2018 für ein Inkrafttreten am 1. Januar 2019 für angenommen erklärt (C.N.583.2018.TREATIES-XI-D-6).</w:t>
      </w:r>
    </w:p>
    <w:p w14:paraId="2E3AAE6B" w14:textId="0CB4F63A" w:rsidR="006C5078" w:rsidRPr="000974A4" w:rsidRDefault="00A1265D" w:rsidP="004E582C">
      <w:pPr>
        <w:pStyle w:val="SingleTxtG"/>
        <w:ind w:left="2268" w:hanging="567"/>
        <w:rPr>
          <w:lang w:val="de-DE"/>
        </w:rPr>
      </w:pPr>
      <w:r w:rsidRPr="000974A4">
        <w:rPr>
          <w:lang w:val="de-DE"/>
        </w:rPr>
        <w:t>c)</w:t>
      </w:r>
      <w:r w:rsidR="006C5078" w:rsidRPr="000974A4">
        <w:rPr>
          <w:lang w:val="de-DE"/>
        </w:rPr>
        <w:tab/>
      </w:r>
      <w:r w:rsidRPr="000974A4">
        <w:rPr>
          <w:lang w:val="de-DE"/>
        </w:rPr>
        <w:t>Die Berichtigungen in Dokument ECE/ADN/45</w:t>
      </w:r>
      <w:r w:rsidR="00660406" w:rsidRPr="000974A4">
        <w:rPr>
          <w:lang w:val="de-DE"/>
        </w:rPr>
        <w:t>/Corr.1</w:t>
      </w:r>
      <w:r w:rsidRPr="000974A4">
        <w:rPr>
          <w:lang w:val="de-DE"/>
        </w:rPr>
        <w:t>, die den Vertragsparteien am 1. Oktober 2018 zwecks Zustimmung übermittelt wurden (C.N.</w:t>
      </w:r>
      <w:r w:rsidR="001F4F52" w:rsidRPr="000974A4">
        <w:rPr>
          <w:lang w:val="de-DE"/>
        </w:rPr>
        <w:t>471</w:t>
      </w:r>
      <w:r w:rsidRPr="000974A4">
        <w:rPr>
          <w:lang w:val="de-DE"/>
        </w:rPr>
        <w:t xml:space="preserve">.2018.TREATIES-XI-D-6), </w:t>
      </w:r>
      <w:r w:rsidR="004E582C" w:rsidRPr="000974A4">
        <w:rPr>
          <w:lang w:val="de-DE"/>
        </w:rPr>
        <w:t>gelten</w:t>
      </w:r>
      <w:r w:rsidRPr="000974A4">
        <w:rPr>
          <w:lang w:val="de-DE"/>
        </w:rPr>
        <w:t xml:space="preserve"> </w:t>
      </w:r>
      <w:r w:rsidR="004E582C" w:rsidRPr="000974A4">
        <w:rPr>
          <w:lang w:val="de-DE"/>
        </w:rPr>
        <w:t>seit</w:t>
      </w:r>
      <w:r w:rsidRPr="000974A4">
        <w:rPr>
          <w:lang w:val="de-DE"/>
        </w:rPr>
        <w:t xml:space="preserve"> </w:t>
      </w:r>
      <w:r w:rsidR="004E582C" w:rsidRPr="000974A4">
        <w:rPr>
          <w:lang w:val="de-DE"/>
        </w:rPr>
        <w:t xml:space="preserve">dem </w:t>
      </w:r>
      <w:r w:rsidRPr="000974A4">
        <w:rPr>
          <w:lang w:val="de-DE"/>
        </w:rPr>
        <w:t xml:space="preserve">30. Dezember 2018 </w:t>
      </w:r>
      <w:r w:rsidR="004E582C" w:rsidRPr="000974A4">
        <w:rPr>
          <w:lang w:val="de-DE"/>
        </w:rPr>
        <w:t>als</w:t>
      </w:r>
      <w:r w:rsidRPr="000974A4">
        <w:rPr>
          <w:lang w:val="de-DE"/>
        </w:rPr>
        <w:t xml:space="preserve"> angenommen (C.N.</w:t>
      </w:r>
      <w:r w:rsidR="001F4F52" w:rsidRPr="000974A4">
        <w:rPr>
          <w:lang w:val="de-DE"/>
        </w:rPr>
        <w:t>637</w:t>
      </w:r>
      <w:r w:rsidRPr="000974A4">
        <w:rPr>
          <w:lang w:val="de-DE"/>
        </w:rPr>
        <w:t>.2018.TREATIES-XI-D-6).</w:t>
      </w:r>
    </w:p>
    <w:p w14:paraId="1C420455" w14:textId="71900B34" w:rsidR="006C5078" w:rsidRPr="000974A4" w:rsidRDefault="0057404E" w:rsidP="0055003B">
      <w:pPr>
        <w:pStyle w:val="SingleTxtG"/>
        <w:ind w:left="2268" w:hanging="567"/>
        <w:rPr>
          <w:lang w:val="de-DE"/>
        </w:rPr>
      </w:pPr>
      <w:r w:rsidRPr="000974A4">
        <w:rPr>
          <w:lang w:val="de-DE"/>
        </w:rPr>
        <w:t>d)</w:t>
      </w:r>
      <w:r w:rsidR="006C5078" w:rsidRPr="000974A4">
        <w:rPr>
          <w:lang w:val="de-DE"/>
        </w:rPr>
        <w:tab/>
      </w:r>
      <w:r w:rsidRPr="000974A4">
        <w:rPr>
          <w:lang w:val="de-DE"/>
        </w:rPr>
        <w:t>Die Berichtigungen in den Dokumenten ECE/ADN/64/Add.1 (Anlage II) und ECE/TRANS/WP.15/AC.2/68 (Anlag</w:t>
      </w:r>
      <w:r w:rsidR="00586664" w:rsidRPr="000974A4">
        <w:rPr>
          <w:lang w:val="de-DE"/>
        </w:rPr>
        <w:t>e</w:t>
      </w:r>
      <w:r w:rsidRPr="000974A4">
        <w:rPr>
          <w:lang w:val="de-DE"/>
        </w:rPr>
        <w:t xml:space="preserve"> IV), die den Vertragsparteien am 1.</w:t>
      </w:r>
      <w:r w:rsidR="004E582C" w:rsidRPr="000974A4">
        <w:rPr>
          <w:lang w:val="de-DE"/>
        </w:rPr>
        <w:t> </w:t>
      </w:r>
      <w:r w:rsidRPr="000974A4">
        <w:rPr>
          <w:lang w:val="de-DE"/>
        </w:rPr>
        <w:t>Oktober 2018 zwecks Zustimmung übermittelt wurden (C.N.</w:t>
      </w:r>
      <w:r w:rsidR="001F4F52" w:rsidRPr="000974A4">
        <w:rPr>
          <w:lang w:val="de-DE"/>
        </w:rPr>
        <w:t>472</w:t>
      </w:r>
      <w:r w:rsidRPr="000974A4">
        <w:rPr>
          <w:lang w:val="de-DE"/>
        </w:rPr>
        <w:t xml:space="preserve">.2018.TREATIES-XI-D-6), </w:t>
      </w:r>
      <w:r w:rsidR="0055003B" w:rsidRPr="000974A4">
        <w:rPr>
          <w:lang w:val="de-DE"/>
        </w:rPr>
        <w:t>gelten seit</w:t>
      </w:r>
      <w:r w:rsidRPr="000974A4">
        <w:rPr>
          <w:lang w:val="de-DE"/>
        </w:rPr>
        <w:t xml:space="preserve"> </w:t>
      </w:r>
      <w:r w:rsidR="0055003B" w:rsidRPr="000974A4">
        <w:rPr>
          <w:lang w:val="de-DE"/>
        </w:rPr>
        <w:t>de</w:t>
      </w:r>
      <w:r w:rsidRPr="000974A4">
        <w:rPr>
          <w:lang w:val="de-DE"/>
        </w:rPr>
        <w:t xml:space="preserve">m 30. Dezember 2018 </w:t>
      </w:r>
      <w:r w:rsidR="0055003B" w:rsidRPr="000974A4">
        <w:rPr>
          <w:lang w:val="de-DE"/>
        </w:rPr>
        <w:t>als</w:t>
      </w:r>
      <w:r w:rsidRPr="000974A4">
        <w:rPr>
          <w:lang w:val="de-DE"/>
        </w:rPr>
        <w:t xml:space="preserve"> angenommen (C.N.</w:t>
      </w:r>
      <w:r w:rsidR="001F4F52" w:rsidRPr="000974A4">
        <w:rPr>
          <w:lang w:val="de-DE"/>
        </w:rPr>
        <w:t>636</w:t>
      </w:r>
      <w:r w:rsidRPr="000974A4">
        <w:rPr>
          <w:lang w:val="de-DE"/>
        </w:rPr>
        <w:t>.2018.TREATIES-XI-D-6).</w:t>
      </w:r>
    </w:p>
    <w:p w14:paraId="2C00E987" w14:textId="2CE95A7E" w:rsidR="00A01F93" w:rsidRDefault="00A01F93" w:rsidP="00626B49">
      <w:pPr>
        <w:pStyle w:val="H1G"/>
        <w:spacing w:before="120" w:after="120"/>
        <w:rPr>
          <w:lang w:val="de-DE"/>
        </w:rPr>
      </w:pPr>
    </w:p>
    <w:p w14:paraId="6E938885" w14:textId="77777777" w:rsidR="00A01F93" w:rsidRDefault="00A01F93">
      <w:pPr>
        <w:suppressAutoHyphens w:val="0"/>
        <w:spacing w:line="240" w:lineRule="auto"/>
        <w:rPr>
          <w:b/>
          <w:sz w:val="24"/>
          <w:lang w:val="de-DE"/>
        </w:rPr>
      </w:pPr>
      <w:r>
        <w:rPr>
          <w:lang w:val="de-DE"/>
        </w:rPr>
        <w:br w:type="page"/>
      </w:r>
    </w:p>
    <w:p w14:paraId="58B89881" w14:textId="77777777" w:rsidR="00A01F93" w:rsidRDefault="00A01F93" w:rsidP="00A01F93">
      <w:pPr>
        <w:pStyle w:val="H1G"/>
        <w:spacing w:before="0" w:after="0"/>
        <w:rPr>
          <w:lang w:val="de-DE"/>
        </w:rPr>
      </w:pPr>
    </w:p>
    <w:p w14:paraId="2BACF2F8" w14:textId="3CBF6EF2" w:rsidR="006C5078" w:rsidRPr="000974A4" w:rsidRDefault="00A01F93" w:rsidP="00626B49">
      <w:pPr>
        <w:pStyle w:val="H1G"/>
        <w:spacing w:before="120" w:after="120"/>
        <w:rPr>
          <w:lang w:val="de-DE"/>
        </w:rPr>
      </w:pPr>
      <w:r>
        <w:rPr>
          <w:lang w:val="de-DE"/>
        </w:rPr>
        <w:tab/>
      </w:r>
      <w:r w:rsidR="0057404E" w:rsidRPr="000974A4">
        <w:rPr>
          <w:lang w:val="de-DE"/>
        </w:rPr>
        <w:t>B.</w:t>
      </w:r>
      <w:r w:rsidR="006C5078" w:rsidRPr="000974A4">
        <w:rPr>
          <w:lang w:val="de-DE"/>
        </w:rPr>
        <w:tab/>
      </w:r>
      <w:r w:rsidR="0057404E" w:rsidRPr="000974A4">
        <w:rPr>
          <w:lang w:val="de-DE"/>
        </w:rPr>
        <w:t>Ausnahmegenehmigungen, Abweichungen und Gleichwertigkeiten</w:t>
      </w:r>
    </w:p>
    <w:p w14:paraId="24F1CF84" w14:textId="1877D4AC" w:rsidR="006C5078" w:rsidRPr="000974A4" w:rsidRDefault="006C5078" w:rsidP="0055003B">
      <w:pPr>
        <w:pStyle w:val="SingleTxtG"/>
        <w:rPr>
          <w:lang w:val="de-DE"/>
        </w:rPr>
      </w:pPr>
      <w:r w:rsidRPr="000974A4">
        <w:rPr>
          <w:lang w:val="de-DE"/>
        </w:rPr>
        <w:t>12.</w:t>
      </w:r>
      <w:r w:rsidRPr="000974A4">
        <w:rPr>
          <w:lang w:val="de-DE"/>
        </w:rPr>
        <w:tab/>
      </w:r>
      <w:r w:rsidR="0057404E" w:rsidRPr="000974A4">
        <w:rPr>
          <w:lang w:val="de-DE"/>
        </w:rPr>
        <w:t>Da zu diesem Unterpunkt kein Dokument vorgelegt wurde, fand zu diesem Thema keine Diskussion statt.</w:t>
      </w:r>
    </w:p>
    <w:p w14:paraId="6BB2B000" w14:textId="62361667" w:rsidR="006C5078" w:rsidRPr="000974A4" w:rsidRDefault="006C5078" w:rsidP="00626B49">
      <w:pPr>
        <w:pStyle w:val="H1G"/>
        <w:spacing w:before="240" w:after="120"/>
        <w:rPr>
          <w:lang w:val="de-DE"/>
        </w:rPr>
      </w:pPr>
      <w:r w:rsidRPr="000974A4">
        <w:rPr>
          <w:lang w:val="de-DE"/>
        </w:rPr>
        <w:tab/>
      </w:r>
      <w:r w:rsidR="0057404E" w:rsidRPr="000974A4">
        <w:rPr>
          <w:lang w:val="de-DE"/>
        </w:rPr>
        <w:t>C.</w:t>
      </w:r>
      <w:r w:rsidRPr="000974A4">
        <w:rPr>
          <w:lang w:val="de-DE"/>
        </w:rPr>
        <w:tab/>
      </w:r>
      <w:r w:rsidR="0057404E" w:rsidRPr="000974A4">
        <w:rPr>
          <w:lang w:val="de-DE"/>
        </w:rPr>
        <w:t>Auslegung der dem ADN beigefügten Verordnung</w:t>
      </w:r>
    </w:p>
    <w:p w14:paraId="4116E0EB" w14:textId="7890C2FA" w:rsidR="006C5078" w:rsidRPr="000974A4" w:rsidRDefault="006C5078" w:rsidP="00626B49">
      <w:pPr>
        <w:pStyle w:val="H23G"/>
        <w:spacing w:before="120"/>
        <w:rPr>
          <w:lang w:val="de-DE"/>
        </w:rPr>
      </w:pPr>
      <w:r w:rsidRPr="000974A4">
        <w:rPr>
          <w:lang w:val="de-DE"/>
        </w:rPr>
        <w:tab/>
        <w:t>1.</w:t>
      </w:r>
      <w:r w:rsidRPr="000974A4">
        <w:rPr>
          <w:lang w:val="de-DE"/>
        </w:rPr>
        <w:tab/>
      </w:r>
      <w:r w:rsidR="0057404E" w:rsidRPr="000974A4">
        <w:rPr>
          <w:lang w:val="de-DE"/>
        </w:rPr>
        <w:t>Schweres Heizöl als UN-Nr. 3082 oder UN-Nr. 1202</w:t>
      </w:r>
    </w:p>
    <w:p w14:paraId="25BF6706" w14:textId="7787C1AD" w:rsidR="006C5078" w:rsidRPr="000974A4" w:rsidRDefault="006C5078" w:rsidP="0057404E">
      <w:pPr>
        <w:tabs>
          <w:tab w:val="left" w:pos="1701"/>
        </w:tabs>
        <w:spacing w:after="120"/>
        <w:ind w:left="1134" w:hanging="1134"/>
        <w:rPr>
          <w:lang w:val="de-DE"/>
        </w:rPr>
      </w:pPr>
      <w:r w:rsidRPr="000974A4">
        <w:rPr>
          <w:lang w:val="de-DE"/>
        </w:rPr>
        <w:tab/>
      </w:r>
      <w:r w:rsidR="0057404E" w:rsidRPr="000974A4">
        <w:rPr>
          <w:i/>
          <w:iCs/>
          <w:lang w:val="de-DE"/>
        </w:rPr>
        <w:t>Informelles Dokument:</w:t>
      </w:r>
      <w:r w:rsidRPr="000974A4">
        <w:rPr>
          <w:lang w:val="de-DE"/>
        </w:rPr>
        <w:tab/>
        <w:t>INF.11 (</w:t>
      </w:r>
      <w:proofErr w:type="spellStart"/>
      <w:r w:rsidRPr="000974A4">
        <w:rPr>
          <w:lang w:val="de-DE"/>
        </w:rPr>
        <w:t>FuelsEurope</w:t>
      </w:r>
      <w:proofErr w:type="spellEnd"/>
      <w:r w:rsidRPr="000974A4">
        <w:rPr>
          <w:lang w:val="de-DE"/>
        </w:rPr>
        <w:t>)</w:t>
      </w:r>
    </w:p>
    <w:p w14:paraId="3AE007E1" w14:textId="32E3CBBB" w:rsidR="006C5078" w:rsidRPr="000974A4" w:rsidRDefault="006C5078" w:rsidP="0055003B">
      <w:pPr>
        <w:pStyle w:val="SingleTxtG"/>
        <w:rPr>
          <w:lang w:val="de-DE"/>
        </w:rPr>
      </w:pPr>
      <w:r w:rsidRPr="000974A4">
        <w:rPr>
          <w:lang w:val="de-DE"/>
        </w:rPr>
        <w:t>13.</w:t>
      </w:r>
      <w:r w:rsidRPr="000974A4">
        <w:rPr>
          <w:lang w:val="de-DE"/>
        </w:rPr>
        <w:tab/>
      </w:r>
      <w:r w:rsidR="00E55CE0" w:rsidRPr="000974A4">
        <w:rPr>
          <w:lang w:val="de-DE"/>
        </w:rPr>
        <w:t>Der Sicherheitsausschuss nahm zur Kenntnis, dass es Sache des Absenders ist, die zur Beförderung vorgesehenen gefährlichen Güter entsprechend ihren Eigenschaften und den in den geltenden Vorschriften festgelegten Kriterien ordnungsgemäß einzustufen.</w:t>
      </w:r>
      <w:r w:rsidRPr="000974A4">
        <w:rPr>
          <w:lang w:val="de-DE"/>
        </w:rPr>
        <w:t xml:space="preserve"> </w:t>
      </w:r>
    </w:p>
    <w:p w14:paraId="3F9B0D24" w14:textId="21204143" w:rsidR="006C5078" w:rsidRPr="000974A4" w:rsidRDefault="006C5078" w:rsidP="000F2FE9">
      <w:pPr>
        <w:pStyle w:val="SingleTxtG"/>
        <w:rPr>
          <w:lang w:val="de-DE"/>
        </w:rPr>
      </w:pPr>
      <w:r w:rsidRPr="000974A4">
        <w:rPr>
          <w:lang w:val="de-DE"/>
        </w:rPr>
        <w:t>14.</w:t>
      </w:r>
      <w:r w:rsidRPr="000974A4">
        <w:rPr>
          <w:lang w:val="de-DE"/>
        </w:rPr>
        <w:tab/>
      </w:r>
      <w:r w:rsidR="00E55CE0" w:rsidRPr="000974A4">
        <w:rPr>
          <w:lang w:val="de-DE"/>
        </w:rPr>
        <w:t>Mehrere Delegationen waren der Ansicht, dass die derzeitigen Kriterien klar sind.</w:t>
      </w:r>
      <w:r w:rsidRPr="000974A4">
        <w:rPr>
          <w:lang w:val="de-DE"/>
        </w:rPr>
        <w:t xml:space="preserve"> </w:t>
      </w:r>
      <w:r w:rsidR="00E55CE0" w:rsidRPr="000974A4">
        <w:rPr>
          <w:lang w:val="de-DE"/>
        </w:rPr>
        <w:t>Ihrer Meinung nach gilt die Bemerkung 2 unter Absatz 2.2.3.1.1 nur für Stoffe, die unter UN-Nr. 1202 mit einem Flammpunkt über 60°C bis höchstens 100°C aufgeführt sind.</w:t>
      </w:r>
      <w:r w:rsidRPr="000974A4">
        <w:rPr>
          <w:lang w:val="de-DE"/>
        </w:rPr>
        <w:t xml:space="preserve"> </w:t>
      </w:r>
      <w:r w:rsidR="00E55CE0" w:rsidRPr="000974A4">
        <w:rPr>
          <w:lang w:val="de-DE"/>
        </w:rPr>
        <w:t xml:space="preserve">Sie wiesen ferner darauf hin, dass die </w:t>
      </w:r>
      <w:r w:rsidR="00FB7093" w:rsidRPr="000974A4">
        <w:rPr>
          <w:lang w:val="de-DE"/>
        </w:rPr>
        <w:t>Klassifizierung</w:t>
      </w:r>
      <w:r w:rsidR="00E55CE0" w:rsidRPr="000974A4">
        <w:rPr>
          <w:lang w:val="de-DE"/>
        </w:rPr>
        <w:t xml:space="preserve"> von schweren Heizölen auf der Grundlage ihrer gefährlichen Eigenschaften für die aquatische Umwelt und nicht auf der Grundlage ihrer </w:t>
      </w:r>
      <w:r w:rsidR="00E81039" w:rsidRPr="000974A4">
        <w:rPr>
          <w:lang w:val="de-DE"/>
        </w:rPr>
        <w:t>Entzündbarkeit</w:t>
      </w:r>
      <w:r w:rsidR="00E55CE0" w:rsidRPr="000974A4">
        <w:rPr>
          <w:lang w:val="de-DE"/>
        </w:rPr>
        <w:t xml:space="preserve"> vorgenommen wird, und hielten daher die Beförderung unter einer Eintragung der Klasse 9 (UN</w:t>
      </w:r>
      <w:r w:rsidR="00FB7093" w:rsidRPr="000974A4">
        <w:rPr>
          <w:lang w:val="de-DE"/>
        </w:rPr>
        <w:t>-Nr.</w:t>
      </w:r>
      <w:r w:rsidR="00E55CE0" w:rsidRPr="000974A4">
        <w:rPr>
          <w:lang w:val="de-DE"/>
        </w:rPr>
        <w:t xml:space="preserve"> 3082) für gerechtfertigt.</w:t>
      </w:r>
      <w:r w:rsidRPr="000974A4">
        <w:rPr>
          <w:lang w:val="de-DE"/>
        </w:rPr>
        <w:t xml:space="preserve"> </w:t>
      </w:r>
    </w:p>
    <w:p w14:paraId="3A540614" w14:textId="79CEE7FA" w:rsidR="006C5078" w:rsidRPr="000974A4" w:rsidRDefault="006C5078" w:rsidP="000F2FE9">
      <w:pPr>
        <w:pStyle w:val="SingleTxtG"/>
        <w:rPr>
          <w:lang w:val="de-DE"/>
        </w:rPr>
      </w:pPr>
      <w:r w:rsidRPr="000974A4">
        <w:rPr>
          <w:lang w:val="de-DE"/>
        </w:rPr>
        <w:t>15.</w:t>
      </w:r>
      <w:r w:rsidRPr="000974A4">
        <w:rPr>
          <w:lang w:val="de-DE"/>
        </w:rPr>
        <w:tab/>
      </w:r>
      <w:r w:rsidR="00FB7093" w:rsidRPr="000974A4">
        <w:rPr>
          <w:lang w:val="de-DE"/>
        </w:rPr>
        <w:t>Der Sicherheitsausschuss nahm die während der Diskussion geäußerten Ansichten zur Kenntnis und stellte fest, dass die Kriterien in den Bemerkungen 2 zu Absatz 2.2.3.1.1 für alle Landverkehrsträger gelten. Er kam daher zu dem Schluss, dass Vorschläge zur Klarstellung dieses Textes, falls erforderlich, von der Gemeinsamen RID/ADR/ADN-Tagung geprüft werden sollten.</w:t>
      </w:r>
      <w:r w:rsidRPr="000974A4">
        <w:rPr>
          <w:lang w:val="de-DE"/>
        </w:rPr>
        <w:t xml:space="preserve"> </w:t>
      </w:r>
    </w:p>
    <w:p w14:paraId="447A0B9A" w14:textId="38F9B3F8" w:rsidR="006C5078" w:rsidRPr="000974A4" w:rsidRDefault="006C5078" w:rsidP="00626B49">
      <w:pPr>
        <w:pStyle w:val="H23G"/>
        <w:spacing w:before="120"/>
        <w:rPr>
          <w:lang w:val="de-DE"/>
        </w:rPr>
      </w:pPr>
      <w:r w:rsidRPr="000974A4">
        <w:rPr>
          <w:lang w:val="de-DE"/>
        </w:rPr>
        <w:tab/>
        <w:t>2.</w:t>
      </w:r>
      <w:r w:rsidRPr="000974A4">
        <w:rPr>
          <w:lang w:val="de-DE"/>
        </w:rPr>
        <w:tab/>
      </w:r>
      <w:r w:rsidR="00F20B4F" w:rsidRPr="000974A4">
        <w:rPr>
          <w:lang w:val="de-DE"/>
        </w:rPr>
        <w:t>Lade- und Löschraten</w:t>
      </w:r>
    </w:p>
    <w:p w14:paraId="191BE0B9" w14:textId="7F930D05" w:rsidR="006C5078" w:rsidRPr="000974A4" w:rsidRDefault="006C5078" w:rsidP="00F20B4F">
      <w:pPr>
        <w:tabs>
          <w:tab w:val="left" w:pos="1701"/>
        </w:tabs>
        <w:spacing w:after="120"/>
        <w:ind w:left="1134" w:hanging="1134"/>
        <w:rPr>
          <w:lang w:val="de-DE"/>
        </w:rPr>
      </w:pPr>
      <w:r w:rsidRPr="000974A4">
        <w:rPr>
          <w:lang w:val="de-DE"/>
        </w:rPr>
        <w:tab/>
      </w:r>
      <w:r w:rsidR="00F20B4F" w:rsidRPr="000974A4">
        <w:rPr>
          <w:i/>
          <w:iCs/>
          <w:lang w:val="de-DE"/>
        </w:rPr>
        <w:t>Informelles Dokument:</w:t>
      </w:r>
      <w:r w:rsidRPr="000974A4">
        <w:rPr>
          <w:lang w:val="de-DE"/>
        </w:rPr>
        <w:tab/>
      </w:r>
      <w:r w:rsidR="00F20B4F" w:rsidRPr="000974A4">
        <w:rPr>
          <w:lang w:val="de-DE"/>
        </w:rPr>
        <w:t>INF.12 (Niederlande)</w:t>
      </w:r>
    </w:p>
    <w:p w14:paraId="5D88E183" w14:textId="4943C210" w:rsidR="006C5078" w:rsidRPr="000974A4" w:rsidRDefault="006C5078" w:rsidP="003E4A08">
      <w:pPr>
        <w:pStyle w:val="SingleTxtG"/>
        <w:rPr>
          <w:lang w:val="de-DE"/>
        </w:rPr>
      </w:pPr>
      <w:r w:rsidRPr="000974A4">
        <w:rPr>
          <w:lang w:val="de-DE"/>
        </w:rPr>
        <w:tab/>
        <w:t>16.</w:t>
      </w:r>
      <w:r w:rsidRPr="000974A4">
        <w:rPr>
          <w:lang w:val="de-DE"/>
        </w:rPr>
        <w:tab/>
      </w:r>
      <w:r w:rsidR="00627F86" w:rsidRPr="000974A4">
        <w:rPr>
          <w:lang w:val="de-DE"/>
        </w:rPr>
        <w:t>Einige Delegationen äußerten Vorbehalte gegen die Harmonisierung des Formats der Lade- und Löschinstruktion im ADN und wiesen darauf hin, dass bei entsprechenden Arbeiten in dieser Richtung Übergangsbestimmungen für ihre Umsetzung erwogen werden müssten.</w:t>
      </w:r>
      <w:r w:rsidRPr="000974A4">
        <w:rPr>
          <w:lang w:val="de-DE"/>
        </w:rPr>
        <w:t xml:space="preserve"> </w:t>
      </w:r>
      <w:r w:rsidR="00627F86" w:rsidRPr="000974A4">
        <w:rPr>
          <w:lang w:val="de-DE"/>
        </w:rPr>
        <w:t>Der ESO-Vertreter betonte, dass das Gewerbe unbedingt harmonisierte Bestimmungen benötige.</w:t>
      </w:r>
      <w:r w:rsidRPr="000974A4">
        <w:rPr>
          <w:lang w:val="de-DE"/>
        </w:rPr>
        <w:t xml:space="preserve"> </w:t>
      </w:r>
    </w:p>
    <w:p w14:paraId="6740434B" w14:textId="340A0FE2" w:rsidR="006C5078" w:rsidRPr="000974A4" w:rsidRDefault="006C5078" w:rsidP="003E4A08">
      <w:pPr>
        <w:pStyle w:val="SingleTxtG"/>
        <w:rPr>
          <w:lang w:val="de-DE"/>
        </w:rPr>
      </w:pPr>
      <w:r w:rsidRPr="000974A4">
        <w:rPr>
          <w:lang w:val="de-DE"/>
        </w:rPr>
        <w:t>17.</w:t>
      </w:r>
      <w:r w:rsidRPr="000974A4">
        <w:rPr>
          <w:lang w:val="de-DE"/>
        </w:rPr>
        <w:tab/>
      </w:r>
      <w:r w:rsidR="00627F86" w:rsidRPr="000974A4">
        <w:rPr>
          <w:lang w:val="de-DE"/>
        </w:rPr>
        <w:t xml:space="preserve">Der Vertreter der Niederlande bot an, bei der nächsten Sitzung des Sicherheitsausschusses eine Präsentation über die </w:t>
      </w:r>
      <w:r w:rsidR="003A6643" w:rsidRPr="000974A4">
        <w:rPr>
          <w:lang w:val="de-DE"/>
        </w:rPr>
        <w:t>Best Practices</w:t>
      </w:r>
      <w:r w:rsidR="00627F86" w:rsidRPr="000974A4">
        <w:rPr>
          <w:lang w:val="de-DE"/>
        </w:rPr>
        <w:t xml:space="preserve"> in seinem Land zu halten, einschließlich einer Bewertung der damit verbundenen Sicherheitsvorteile.</w:t>
      </w:r>
      <w:r w:rsidRPr="000974A4">
        <w:rPr>
          <w:lang w:val="de-DE"/>
        </w:rPr>
        <w:t xml:space="preserve"> </w:t>
      </w:r>
      <w:r w:rsidR="003A6643" w:rsidRPr="000974A4">
        <w:rPr>
          <w:lang w:val="de-DE"/>
        </w:rPr>
        <w:t xml:space="preserve">Der Sicherheitsausschuss begrüßte </w:t>
      </w:r>
      <w:r w:rsidR="00FF1BEA" w:rsidRPr="000974A4">
        <w:rPr>
          <w:lang w:val="de-DE"/>
        </w:rPr>
        <w:t>dieses</w:t>
      </w:r>
      <w:r w:rsidR="003A6643" w:rsidRPr="000974A4">
        <w:rPr>
          <w:lang w:val="de-DE"/>
        </w:rPr>
        <w:t xml:space="preserve"> Angebot und stellte abschließend fest, dass er anhand der Ergebnisse der Diskussionen prüfen w</w:t>
      </w:r>
      <w:r w:rsidR="00FF1BEA" w:rsidRPr="000974A4">
        <w:rPr>
          <w:lang w:val="de-DE"/>
        </w:rPr>
        <w:t>e</w:t>
      </w:r>
      <w:r w:rsidR="003A6643" w:rsidRPr="000974A4">
        <w:rPr>
          <w:lang w:val="de-DE"/>
        </w:rPr>
        <w:t>rd</w:t>
      </w:r>
      <w:r w:rsidR="00FF1BEA" w:rsidRPr="000974A4">
        <w:rPr>
          <w:lang w:val="de-DE"/>
        </w:rPr>
        <w:t>e</w:t>
      </w:r>
      <w:r w:rsidR="003A6643" w:rsidRPr="000974A4">
        <w:rPr>
          <w:lang w:val="de-DE"/>
        </w:rPr>
        <w:t xml:space="preserve">, ob diese Frage </w:t>
      </w:r>
      <w:r w:rsidR="00F70DEE" w:rsidRPr="000974A4">
        <w:rPr>
          <w:lang w:val="de-DE"/>
        </w:rPr>
        <w:t>aus</w:t>
      </w:r>
      <w:r w:rsidR="00FF1BEA" w:rsidRPr="000974A4">
        <w:rPr>
          <w:lang w:val="de-DE"/>
        </w:rPr>
        <w:t xml:space="preserve"> rechtliche</w:t>
      </w:r>
      <w:r w:rsidR="00F70DEE" w:rsidRPr="000974A4">
        <w:rPr>
          <w:lang w:val="de-DE"/>
        </w:rPr>
        <w:t>r</w:t>
      </w:r>
      <w:r w:rsidR="00FF1BEA" w:rsidRPr="000974A4">
        <w:rPr>
          <w:lang w:val="de-DE"/>
        </w:rPr>
        <w:t xml:space="preserve"> </w:t>
      </w:r>
      <w:r w:rsidR="00F70DEE" w:rsidRPr="000974A4">
        <w:rPr>
          <w:lang w:val="de-DE"/>
        </w:rPr>
        <w:t>Sicht</w:t>
      </w:r>
      <w:r w:rsidR="003A6643" w:rsidRPr="000974A4">
        <w:rPr>
          <w:lang w:val="de-DE"/>
        </w:rPr>
        <w:t xml:space="preserve"> im ADN oder anderweitig im Rahmen eines unverbindlichen Ansatzes behandelt werden muss.</w:t>
      </w:r>
    </w:p>
    <w:p w14:paraId="276272E2" w14:textId="3AFF5E8B" w:rsidR="006C5078" w:rsidRPr="000974A4" w:rsidRDefault="006C5078" w:rsidP="003E4A08">
      <w:pPr>
        <w:pStyle w:val="H23G"/>
        <w:rPr>
          <w:lang w:val="de-DE"/>
        </w:rPr>
      </w:pPr>
      <w:r w:rsidRPr="000974A4">
        <w:rPr>
          <w:lang w:val="de-DE"/>
        </w:rPr>
        <w:tab/>
        <w:t>3.</w:t>
      </w:r>
      <w:r w:rsidRPr="000974A4">
        <w:rPr>
          <w:lang w:val="de-DE"/>
        </w:rPr>
        <w:tab/>
      </w:r>
      <w:r w:rsidRPr="000974A4">
        <w:rPr>
          <w:lang w:val="de-DE"/>
        </w:rPr>
        <w:tab/>
      </w:r>
      <w:r w:rsidR="00F70DEE" w:rsidRPr="000974A4">
        <w:rPr>
          <w:lang w:val="de-DE"/>
        </w:rPr>
        <w:t>Verschiedene Auslegungsfragen und Klarstellungen</w:t>
      </w:r>
    </w:p>
    <w:p w14:paraId="06DE0B64" w14:textId="2DD58584" w:rsidR="006C5078" w:rsidRPr="000974A4" w:rsidRDefault="006C5078" w:rsidP="00F70DEE">
      <w:pPr>
        <w:tabs>
          <w:tab w:val="left" w:pos="1701"/>
        </w:tabs>
        <w:spacing w:after="120"/>
        <w:ind w:left="1134" w:hanging="1134"/>
        <w:rPr>
          <w:lang w:val="de-DE"/>
        </w:rPr>
      </w:pPr>
      <w:r w:rsidRPr="000974A4">
        <w:rPr>
          <w:lang w:val="de-DE"/>
        </w:rPr>
        <w:tab/>
      </w:r>
      <w:r w:rsidR="00F70DEE" w:rsidRPr="000974A4">
        <w:rPr>
          <w:i/>
          <w:iCs/>
          <w:lang w:val="de-DE"/>
        </w:rPr>
        <w:t>Informelles Dokument:</w:t>
      </w:r>
      <w:r w:rsidRPr="000974A4">
        <w:rPr>
          <w:lang w:val="de-DE"/>
        </w:rPr>
        <w:tab/>
      </w:r>
      <w:r w:rsidR="00F70DEE" w:rsidRPr="000974A4">
        <w:rPr>
          <w:lang w:val="de-DE"/>
        </w:rPr>
        <w:t>INF.19 (Frankreich)</w:t>
      </w:r>
    </w:p>
    <w:p w14:paraId="0F67B327" w14:textId="6657C088" w:rsidR="006C5078" w:rsidRPr="000974A4" w:rsidRDefault="006C5078" w:rsidP="003E4A08">
      <w:pPr>
        <w:pStyle w:val="SingleTxtG"/>
        <w:rPr>
          <w:lang w:val="de-DE"/>
        </w:rPr>
      </w:pPr>
      <w:r w:rsidRPr="000974A4">
        <w:rPr>
          <w:lang w:val="de-DE"/>
        </w:rPr>
        <w:t>18.</w:t>
      </w:r>
      <w:r w:rsidRPr="000974A4">
        <w:rPr>
          <w:lang w:val="de-DE"/>
        </w:rPr>
        <w:tab/>
      </w:r>
      <w:r w:rsidR="00B0503D" w:rsidRPr="000974A4">
        <w:rPr>
          <w:lang w:val="de-DE"/>
        </w:rPr>
        <w:t xml:space="preserve">Der Sicherheitsausschuss kam überein, dass die Bestimmungen </w:t>
      </w:r>
      <w:r w:rsidR="00FF62CD" w:rsidRPr="000974A4">
        <w:rPr>
          <w:lang w:val="de-DE"/>
        </w:rPr>
        <w:t xml:space="preserve">des ADN </w:t>
      </w:r>
      <w:r w:rsidR="00955168" w:rsidRPr="000974A4">
        <w:rPr>
          <w:lang w:val="de-DE"/>
        </w:rPr>
        <w:t>über</w:t>
      </w:r>
      <w:r w:rsidR="00B0503D" w:rsidRPr="000974A4">
        <w:rPr>
          <w:lang w:val="de-DE"/>
        </w:rPr>
        <w:t xml:space="preserve"> Sicherheitstraining</w:t>
      </w:r>
      <w:r w:rsidR="00FF62CD" w:rsidRPr="000974A4">
        <w:rPr>
          <w:lang w:val="de-DE"/>
        </w:rPr>
        <w:t>s</w:t>
      </w:r>
      <w:r w:rsidR="00B0503D" w:rsidRPr="000974A4">
        <w:rPr>
          <w:lang w:val="de-DE"/>
        </w:rPr>
        <w:t xml:space="preserve">, die für freigestellte Versandstücke </w:t>
      </w:r>
      <w:r w:rsidR="002D7A1F" w:rsidRPr="000974A4">
        <w:rPr>
          <w:lang w:val="de-DE"/>
        </w:rPr>
        <w:t>der</w:t>
      </w:r>
      <w:r w:rsidR="00B0503D" w:rsidRPr="000974A4">
        <w:rPr>
          <w:lang w:val="de-DE"/>
        </w:rPr>
        <w:t xml:space="preserve"> UN</w:t>
      </w:r>
      <w:r w:rsidR="009062A1" w:rsidRPr="000974A4">
        <w:rPr>
          <w:lang w:val="de-DE"/>
        </w:rPr>
        <w:t>-Nr.</w:t>
      </w:r>
      <w:r w:rsidR="00B0503D" w:rsidRPr="000974A4">
        <w:rPr>
          <w:lang w:val="de-DE"/>
        </w:rPr>
        <w:t xml:space="preserve"> 2908 und 2909 sowie für freigestellte Versandstücke </w:t>
      </w:r>
      <w:r w:rsidR="002D7A1F" w:rsidRPr="000974A4">
        <w:rPr>
          <w:lang w:val="de-DE"/>
        </w:rPr>
        <w:t>der</w:t>
      </w:r>
      <w:r w:rsidR="00B0503D" w:rsidRPr="000974A4">
        <w:rPr>
          <w:lang w:val="de-DE"/>
        </w:rPr>
        <w:t xml:space="preserve"> UN</w:t>
      </w:r>
      <w:r w:rsidR="009062A1" w:rsidRPr="000974A4">
        <w:rPr>
          <w:lang w:val="de-DE"/>
        </w:rPr>
        <w:t>-Nr.</w:t>
      </w:r>
      <w:r w:rsidR="00B0503D" w:rsidRPr="000974A4">
        <w:rPr>
          <w:lang w:val="de-DE"/>
        </w:rPr>
        <w:t xml:space="preserve"> 2910 und 2911</w:t>
      </w:r>
      <w:r w:rsidR="00955168" w:rsidRPr="000974A4">
        <w:rPr>
          <w:lang w:val="de-DE"/>
        </w:rPr>
        <w:t xml:space="preserve"> mit einer Aktivität unterhalb des</w:t>
      </w:r>
      <w:r w:rsidR="00B0503D" w:rsidRPr="000974A4">
        <w:rPr>
          <w:lang w:val="de-DE"/>
        </w:rPr>
        <w:t xml:space="preserve"> Wert</w:t>
      </w:r>
      <w:r w:rsidR="00955168" w:rsidRPr="000974A4">
        <w:rPr>
          <w:lang w:val="de-DE"/>
        </w:rPr>
        <w:t>es</w:t>
      </w:r>
      <w:r w:rsidR="00416C7A" w:rsidRPr="000974A4">
        <w:rPr>
          <w:lang w:val="de-DE"/>
        </w:rPr>
        <w:t xml:space="preserve"> A2</w:t>
      </w:r>
      <w:r w:rsidR="00955168" w:rsidRPr="000974A4">
        <w:rPr>
          <w:lang w:val="de-DE"/>
        </w:rPr>
        <w:t xml:space="preserve"> gelten</w:t>
      </w:r>
      <w:r w:rsidR="00B0503D" w:rsidRPr="000974A4">
        <w:rPr>
          <w:lang w:val="de-DE"/>
        </w:rPr>
        <w:t>, mit den anwendbaren Bestimmungen andere</w:t>
      </w:r>
      <w:r w:rsidR="00FF62CD" w:rsidRPr="000974A4">
        <w:rPr>
          <w:lang w:val="de-DE"/>
        </w:rPr>
        <w:t>r</w:t>
      </w:r>
      <w:r w:rsidR="00B0503D" w:rsidRPr="000974A4">
        <w:rPr>
          <w:lang w:val="de-DE"/>
        </w:rPr>
        <w:t xml:space="preserve"> Verkehrsträger harmonisiert werden sollten.</w:t>
      </w:r>
      <w:r w:rsidRPr="000974A4">
        <w:rPr>
          <w:lang w:val="de-DE"/>
        </w:rPr>
        <w:t xml:space="preserve"> </w:t>
      </w:r>
      <w:r w:rsidR="00FC5708" w:rsidRPr="000974A4">
        <w:rPr>
          <w:lang w:val="de-DE"/>
        </w:rPr>
        <w:t>Der Vertreter Deutschlands wi</w:t>
      </w:r>
      <w:r w:rsidR="00324EA6" w:rsidRPr="000974A4">
        <w:rPr>
          <w:lang w:val="de-DE"/>
        </w:rPr>
        <w:t>e</w:t>
      </w:r>
      <w:r w:rsidR="00FC5708" w:rsidRPr="000974A4">
        <w:rPr>
          <w:lang w:val="de-DE"/>
        </w:rPr>
        <w:t>s auch auf einen Widerspruch zwischen den Bestimmungen des Unterabschnitts 1.1.3.6 und des Abschnitts 1.10.4 ADN in Bezug auf die an Bord beförderten freigestellten Mengen hin.</w:t>
      </w:r>
      <w:r w:rsidR="00787DF4" w:rsidRPr="000974A4">
        <w:rPr>
          <w:lang w:val="de-DE"/>
        </w:rPr>
        <w:t xml:space="preserve"> </w:t>
      </w:r>
      <w:r w:rsidR="00324EA6" w:rsidRPr="000974A4">
        <w:rPr>
          <w:lang w:val="de-DE"/>
        </w:rPr>
        <w:t>Die Vertreter Frankreichs und Deutschlands boten sich an, bei der nächsten Sitzung einen Vorschlag zu diesen Themen vorzulegen.</w:t>
      </w:r>
      <w:r w:rsidRPr="000974A4">
        <w:rPr>
          <w:lang w:val="de-DE"/>
        </w:rPr>
        <w:t xml:space="preserve"> </w:t>
      </w:r>
    </w:p>
    <w:p w14:paraId="0728E769" w14:textId="77777777" w:rsidR="004E750C" w:rsidRPr="000974A4" w:rsidRDefault="004E750C">
      <w:pPr>
        <w:suppressAutoHyphens w:val="0"/>
        <w:spacing w:line="240" w:lineRule="auto"/>
        <w:rPr>
          <w:lang w:val="de-DE"/>
        </w:rPr>
      </w:pPr>
      <w:r w:rsidRPr="000974A4">
        <w:rPr>
          <w:lang w:val="de-DE"/>
        </w:rPr>
        <w:br w:type="page"/>
      </w:r>
    </w:p>
    <w:p w14:paraId="18509F02" w14:textId="38C20AE6" w:rsidR="006C5078" w:rsidRPr="000974A4" w:rsidRDefault="006C5078" w:rsidP="003E4A08">
      <w:pPr>
        <w:pStyle w:val="SingleTxtG"/>
        <w:rPr>
          <w:lang w:val="de-DE"/>
        </w:rPr>
      </w:pPr>
      <w:r w:rsidRPr="000974A4">
        <w:rPr>
          <w:lang w:val="de-DE"/>
        </w:rPr>
        <w:lastRenderedPageBreak/>
        <w:t>19.</w:t>
      </w:r>
      <w:r w:rsidRPr="000974A4">
        <w:rPr>
          <w:lang w:val="de-DE"/>
        </w:rPr>
        <w:tab/>
      </w:r>
      <w:r w:rsidR="00FC43A4" w:rsidRPr="000974A4">
        <w:rPr>
          <w:lang w:val="de-DE"/>
        </w:rPr>
        <w:t xml:space="preserve">Angesichts der Tatsache, dass </w:t>
      </w:r>
      <w:r w:rsidR="00324EA6" w:rsidRPr="000974A4">
        <w:rPr>
          <w:lang w:val="de-DE"/>
        </w:rPr>
        <w:t xml:space="preserve">die vom Vertreter Frankreichs in den Absätzen 4 bis 6 des informellen Dokuments aufgeworfene Frage auch für andere Landverkehrsträger gilt, </w:t>
      </w:r>
      <w:r w:rsidR="00FC43A4" w:rsidRPr="000974A4">
        <w:rPr>
          <w:lang w:val="de-DE"/>
        </w:rPr>
        <w:t xml:space="preserve">bat der Sicherheitsausschuss </w:t>
      </w:r>
      <w:r w:rsidR="00324EA6" w:rsidRPr="000974A4">
        <w:rPr>
          <w:lang w:val="de-DE"/>
        </w:rPr>
        <w:t>ihn, sie der Gemeinsamen RID/ADR/ADN-Tagung zur Kenntnis zu bringen.</w:t>
      </w:r>
    </w:p>
    <w:p w14:paraId="67F0E046" w14:textId="12D07150" w:rsidR="00EF6F9D" w:rsidRPr="000974A4" w:rsidRDefault="00EF6F9D" w:rsidP="00FC43A4">
      <w:pPr>
        <w:pStyle w:val="H23G"/>
        <w:rPr>
          <w:lang w:val="de-DE"/>
        </w:rPr>
      </w:pPr>
      <w:r w:rsidRPr="000974A4">
        <w:rPr>
          <w:lang w:val="de-DE"/>
        </w:rPr>
        <w:tab/>
        <w:t>4.</w:t>
      </w:r>
      <w:r w:rsidRPr="000974A4">
        <w:rPr>
          <w:lang w:val="de-DE"/>
        </w:rPr>
        <w:tab/>
      </w:r>
      <w:r w:rsidR="00FC43A4" w:rsidRPr="000974A4">
        <w:rPr>
          <w:lang w:val="de-DE"/>
        </w:rPr>
        <w:t>Arbeiten an Bord (Abschnitt 8.3.5)</w:t>
      </w:r>
    </w:p>
    <w:p w14:paraId="1ED8C163" w14:textId="783B6B9A" w:rsidR="00EF6F9D" w:rsidRPr="000974A4" w:rsidRDefault="00EF6F9D" w:rsidP="00FC43A4">
      <w:pPr>
        <w:tabs>
          <w:tab w:val="left" w:pos="1701"/>
        </w:tabs>
        <w:spacing w:after="120"/>
        <w:ind w:left="1134" w:hanging="1134"/>
        <w:rPr>
          <w:lang w:val="de-DE"/>
        </w:rPr>
      </w:pPr>
      <w:r w:rsidRPr="000974A4">
        <w:rPr>
          <w:lang w:val="de-DE"/>
        </w:rPr>
        <w:tab/>
      </w:r>
      <w:r w:rsidR="00FC43A4" w:rsidRPr="000974A4">
        <w:rPr>
          <w:i/>
          <w:iCs/>
          <w:lang w:val="de-DE"/>
        </w:rPr>
        <w:t>Informelles Dokument:</w:t>
      </w:r>
      <w:r w:rsidRPr="000974A4">
        <w:rPr>
          <w:lang w:val="de-DE"/>
        </w:rPr>
        <w:tab/>
      </w:r>
      <w:r w:rsidR="00FC43A4" w:rsidRPr="000974A4">
        <w:rPr>
          <w:lang w:val="de-DE"/>
        </w:rPr>
        <w:t>INF.15 (EBU/ESO)</w:t>
      </w:r>
    </w:p>
    <w:p w14:paraId="7C7FB247" w14:textId="69F327CE" w:rsidR="00EF6F9D" w:rsidRPr="000974A4" w:rsidRDefault="00AE43C0" w:rsidP="007C7DD9">
      <w:pPr>
        <w:pStyle w:val="SingleTxtG"/>
        <w:spacing w:before="100" w:beforeAutospacing="1" w:after="0" w:line="240" w:lineRule="auto"/>
        <w:rPr>
          <w:lang w:val="de-DE"/>
        </w:rPr>
      </w:pPr>
      <w:r w:rsidRPr="000974A4">
        <w:rPr>
          <w:lang w:val="de-DE"/>
        </w:rPr>
        <w:t>20</w:t>
      </w:r>
      <w:r w:rsidR="00A1062F" w:rsidRPr="000974A4">
        <w:rPr>
          <w:lang w:val="de-DE"/>
        </w:rPr>
        <w:t>.</w:t>
      </w:r>
      <w:r w:rsidR="00EF6F9D" w:rsidRPr="000974A4">
        <w:rPr>
          <w:lang w:val="de-DE"/>
        </w:rPr>
        <w:tab/>
      </w:r>
      <w:r w:rsidR="00FC43A4" w:rsidRPr="000974A4">
        <w:rPr>
          <w:lang w:val="de-DE"/>
        </w:rPr>
        <w:t>Einige Delegationen hielten eine Änderung des derzeitigen Textes für nicht notwendig.</w:t>
      </w:r>
      <w:r w:rsidR="00EF6F9D" w:rsidRPr="000974A4">
        <w:rPr>
          <w:lang w:val="de-DE"/>
        </w:rPr>
        <w:t xml:space="preserve"> </w:t>
      </w:r>
      <w:r w:rsidR="00FC43A4" w:rsidRPr="000974A4">
        <w:rPr>
          <w:lang w:val="de-DE"/>
        </w:rPr>
        <w:t xml:space="preserve">Andere hingegen hielten es für sinnvoll, Möglichkeiten für eine weitere Angleichung der ADN-Bestimmungen in Abschnitt 8.3.5 an die Richtlinien </w:t>
      </w:r>
      <w:r w:rsidR="000B410F" w:rsidRPr="000974A4">
        <w:rPr>
          <w:lang w:val="de-DE"/>
        </w:rPr>
        <w:t>für</w:t>
      </w:r>
      <w:r w:rsidR="00FC43A4" w:rsidRPr="000974A4">
        <w:rPr>
          <w:lang w:val="de-DE"/>
        </w:rPr>
        <w:t xml:space="preserve"> Geräte und Schutzsysteme zur </w:t>
      </w:r>
      <w:r w:rsidR="00597CB4" w:rsidRPr="000974A4">
        <w:rPr>
          <w:lang w:val="de-DE"/>
        </w:rPr>
        <w:t xml:space="preserve">bestimmungsgemäßen </w:t>
      </w:r>
      <w:r w:rsidR="00FC43A4" w:rsidRPr="000974A4">
        <w:rPr>
          <w:lang w:val="de-DE"/>
        </w:rPr>
        <w:t>Verwendung in explosionsgefährdeten Bereichen (ATEX-Richtlinien) zu prüfen.</w:t>
      </w:r>
      <w:r w:rsidR="00EF6F9D" w:rsidRPr="000974A4">
        <w:rPr>
          <w:lang w:val="de-DE"/>
        </w:rPr>
        <w:t xml:space="preserve"> </w:t>
      </w:r>
      <w:r w:rsidR="00597CB4" w:rsidRPr="000974A4">
        <w:rPr>
          <w:lang w:val="de-DE"/>
        </w:rPr>
        <w:t>Der Sicherheitsausschuss ersuchte die Vertreter von EBU und ESO, auf der nächsten Tagung ein Dokument vorzulegen, in dem die Bereiche, die einer weiteren Prüfung bedürfen, und die Fragen im Zusammenhang mit den derzeitigen Bestimmungen geklärt werden.</w:t>
      </w:r>
      <w:r w:rsidR="00EF6F9D" w:rsidRPr="000974A4">
        <w:rPr>
          <w:lang w:val="de-DE"/>
        </w:rPr>
        <w:t xml:space="preserve"> </w:t>
      </w:r>
    </w:p>
    <w:p w14:paraId="49E73A4A" w14:textId="2B3C0242" w:rsidR="006C5078" w:rsidRPr="000974A4" w:rsidRDefault="006C5078" w:rsidP="00597CB4">
      <w:pPr>
        <w:pStyle w:val="H1G"/>
        <w:rPr>
          <w:lang w:val="de-DE"/>
        </w:rPr>
      </w:pPr>
      <w:bookmarkStart w:id="9" w:name="_Hlk535834334"/>
      <w:r w:rsidRPr="000974A4">
        <w:rPr>
          <w:lang w:val="de-DE"/>
        </w:rPr>
        <w:tab/>
      </w:r>
      <w:r w:rsidR="00597CB4" w:rsidRPr="000974A4">
        <w:rPr>
          <w:lang w:val="de-DE"/>
        </w:rPr>
        <w:t>D.</w:t>
      </w:r>
      <w:r w:rsidRPr="000974A4">
        <w:rPr>
          <w:lang w:val="de-DE"/>
        </w:rPr>
        <w:tab/>
      </w:r>
      <w:proofErr w:type="spellStart"/>
      <w:r w:rsidR="00597CB4" w:rsidRPr="000974A4">
        <w:rPr>
          <w:lang w:val="de-DE"/>
        </w:rPr>
        <w:t>Sachkundigenausbildung</w:t>
      </w:r>
      <w:proofErr w:type="spellEnd"/>
    </w:p>
    <w:p w14:paraId="46B40352" w14:textId="22276E9F" w:rsidR="006C5078" w:rsidRPr="000974A4" w:rsidRDefault="006C5078" w:rsidP="00F83B75">
      <w:pPr>
        <w:pStyle w:val="H23G"/>
        <w:jc w:val="both"/>
        <w:rPr>
          <w:lang w:val="de-DE"/>
        </w:rPr>
      </w:pPr>
      <w:r w:rsidRPr="000974A4">
        <w:rPr>
          <w:lang w:val="de-DE"/>
        </w:rPr>
        <w:tab/>
      </w:r>
      <w:bookmarkStart w:id="10" w:name="_Hlk535834446"/>
      <w:bookmarkEnd w:id="9"/>
      <w:r w:rsidRPr="000974A4">
        <w:rPr>
          <w:lang w:val="de-DE"/>
        </w:rPr>
        <w:t>1.</w:t>
      </w:r>
      <w:r w:rsidRPr="000974A4">
        <w:rPr>
          <w:lang w:val="de-DE"/>
        </w:rPr>
        <w:tab/>
      </w:r>
      <w:r w:rsidR="00597CB4" w:rsidRPr="000974A4">
        <w:rPr>
          <w:lang w:val="de-DE"/>
        </w:rPr>
        <w:t>Protokoll der neunzehnten Sitzung der informellen Arbeitsgruppe „</w:t>
      </w:r>
      <w:proofErr w:type="spellStart"/>
      <w:r w:rsidR="00597CB4" w:rsidRPr="000974A4">
        <w:rPr>
          <w:lang w:val="de-DE"/>
        </w:rPr>
        <w:t>Sachkundigenausbildung</w:t>
      </w:r>
      <w:proofErr w:type="spellEnd"/>
      <w:r w:rsidR="00597CB4" w:rsidRPr="000974A4">
        <w:rPr>
          <w:lang w:val="de-DE"/>
        </w:rPr>
        <w:t>“</w:t>
      </w:r>
    </w:p>
    <w:p w14:paraId="02F043D9" w14:textId="02C0C45A" w:rsidR="006C5078" w:rsidRPr="000974A4" w:rsidRDefault="006C5078" w:rsidP="00597CB4">
      <w:pPr>
        <w:tabs>
          <w:tab w:val="left" w:pos="1134"/>
          <w:tab w:val="left" w:pos="1701"/>
          <w:tab w:val="left" w:pos="3119"/>
        </w:tabs>
        <w:spacing w:after="120"/>
        <w:rPr>
          <w:lang w:val="de-DE"/>
        </w:rPr>
      </w:pPr>
      <w:r w:rsidRPr="000974A4">
        <w:rPr>
          <w:lang w:val="de-DE"/>
        </w:rPr>
        <w:tab/>
      </w:r>
      <w:r w:rsidR="00597CB4" w:rsidRPr="000974A4">
        <w:rPr>
          <w:i/>
          <w:iCs/>
          <w:lang w:val="de-DE"/>
        </w:rPr>
        <w:t>Dokument:</w:t>
      </w:r>
      <w:r w:rsidRPr="000974A4">
        <w:rPr>
          <w:i/>
          <w:iCs/>
          <w:lang w:val="de-DE"/>
        </w:rPr>
        <w:tab/>
      </w:r>
      <w:r w:rsidRPr="000974A4">
        <w:rPr>
          <w:lang w:val="de-DE"/>
        </w:rPr>
        <w:t>ECE/TRANS/WP.15/AC.2/2019/8 (</w:t>
      </w:r>
      <w:r w:rsidR="00597CB4" w:rsidRPr="000974A4">
        <w:rPr>
          <w:lang w:val="de-DE"/>
        </w:rPr>
        <w:t>ZK</w:t>
      </w:r>
      <w:r w:rsidRPr="000974A4">
        <w:rPr>
          <w:lang w:val="de-DE"/>
        </w:rPr>
        <w:t>R)</w:t>
      </w:r>
    </w:p>
    <w:p w14:paraId="56679441" w14:textId="05EFE948" w:rsidR="006C5078" w:rsidRPr="000974A4" w:rsidRDefault="00AE43C0" w:rsidP="00114B6A">
      <w:pPr>
        <w:pStyle w:val="SingleTxtG"/>
        <w:rPr>
          <w:lang w:val="de-DE"/>
        </w:rPr>
      </w:pPr>
      <w:r w:rsidRPr="000974A4">
        <w:rPr>
          <w:lang w:val="de-DE"/>
        </w:rPr>
        <w:t>21</w:t>
      </w:r>
      <w:r w:rsidR="006C5078" w:rsidRPr="000974A4">
        <w:rPr>
          <w:lang w:val="de-DE"/>
        </w:rPr>
        <w:t>.</w:t>
      </w:r>
      <w:r w:rsidR="006C5078" w:rsidRPr="000974A4">
        <w:rPr>
          <w:lang w:val="de-DE"/>
        </w:rPr>
        <w:tab/>
      </w:r>
      <w:r w:rsidR="00597CB4" w:rsidRPr="000974A4">
        <w:rPr>
          <w:lang w:val="de-DE"/>
        </w:rPr>
        <w:t>Der Sicherheitsausschuss nahm Kenntnis von den Ergebnissen der Arbeiten der informellen Arbeitsgruppe „</w:t>
      </w:r>
      <w:proofErr w:type="spellStart"/>
      <w:r w:rsidR="00597CB4" w:rsidRPr="000974A4">
        <w:rPr>
          <w:lang w:val="de-DE"/>
        </w:rPr>
        <w:t>Sachkundigenausbildung</w:t>
      </w:r>
      <w:proofErr w:type="spellEnd"/>
      <w:r w:rsidR="00597CB4" w:rsidRPr="000974A4">
        <w:rPr>
          <w:lang w:val="de-DE"/>
        </w:rPr>
        <w:t>“ und kam zu folgendem Schluss:</w:t>
      </w:r>
      <w:r w:rsidR="006C5078" w:rsidRPr="000974A4">
        <w:rPr>
          <w:lang w:val="de-DE"/>
        </w:rPr>
        <w:t xml:space="preserve"> </w:t>
      </w:r>
    </w:p>
    <w:p w14:paraId="5EAF52D6" w14:textId="62496F22" w:rsidR="006C5078" w:rsidRPr="000974A4" w:rsidRDefault="00597CB4" w:rsidP="00626B49">
      <w:pPr>
        <w:pStyle w:val="Bullet1G"/>
        <w:numPr>
          <w:ilvl w:val="0"/>
          <w:numId w:val="0"/>
        </w:numPr>
        <w:tabs>
          <w:tab w:val="left" w:pos="1418"/>
        </w:tabs>
        <w:spacing w:after="60"/>
        <w:ind w:left="1418" w:hanging="284"/>
        <w:rPr>
          <w:lang w:val="de-DE"/>
        </w:rPr>
      </w:pPr>
      <w:bookmarkStart w:id="11" w:name="_Hlk535908656"/>
      <w:r w:rsidRPr="000974A4">
        <w:rPr>
          <w:lang w:val="de-DE"/>
        </w:rPr>
        <w:t>a)</w:t>
      </w:r>
      <w:r w:rsidR="006C5078" w:rsidRPr="000974A4">
        <w:rPr>
          <w:lang w:val="de-DE"/>
        </w:rPr>
        <w:tab/>
      </w:r>
      <w:r w:rsidRPr="000974A4">
        <w:rPr>
          <w:lang w:val="de-DE"/>
        </w:rPr>
        <w:t xml:space="preserve">Zur Erste-Hilfe-Ausbildung des Bordpersonals (Absatz 11 des Dokuments): </w:t>
      </w:r>
      <w:r w:rsidR="00680794" w:rsidRPr="000974A4">
        <w:rPr>
          <w:lang w:val="de-DE"/>
        </w:rPr>
        <w:t>D</w:t>
      </w:r>
      <w:r w:rsidRPr="000974A4">
        <w:rPr>
          <w:lang w:val="de-DE"/>
        </w:rPr>
        <w:t>er Sicherheitsausschuss kam überein, dass mindestens eine Person an Bord über ein gewisses Maß an medizinischen Kenntnissen verfügen sollte. Er vertrat jedoch die Auffassung, dass das ADN möglicherweise nicht das geeignet</w:t>
      </w:r>
      <w:r w:rsidR="001A1A7E" w:rsidRPr="000974A4">
        <w:rPr>
          <w:lang w:val="de-DE"/>
        </w:rPr>
        <w:t>st</w:t>
      </w:r>
      <w:r w:rsidRPr="000974A4">
        <w:rPr>
          <w:lang w:val="de-DE"/>
        </w:rPr>
        <w:t>e Instrument ist, um die</w:t>
      </w:r>
      <w:r w:rsidR="001A1A7E" w:rsidRPr="000974A4">
        <w:rPr>
          <w:lang w:val="de-DE"/>
        </w:rPr>
        <w:t xml:space="preserve"> A</w:t>
      </w:r>
      <w:r w:rsidRPr="000974A4">
        <w:rPr>
          <w:lang w:val="de-DE"/>
        </w:rPr>
        <w:t xml:space="preserve">nforderungen </w:t>
      </w:r>
      <w:r w:rsidR="001A1A7E" w:rsidRPr="000974A4">
        <w:rPr>
          <w:lang w:val="de-DE"/>
        </w:rPr>
        <w:t>an die</w:t>
      </w:r>
      <w:r w:rsidRPr="000974A4">
        <w:rPr>
          <w:lang w:val="de-DE"/>
        </w:rPr>
        <w:t xml:space="preserve"> Erste-Hilfe-</w:t>
      </w:r>
      <w:r w:rsidR="001A1A7E" w:rsidRPr="000974A4">
        <w:rPr>
          <w:lang w:val="de-DE"/>
        </w:rPr>
        <w:t>Ausbildung</w:t>
      </w:r>
      <w:r w:rsidRPr="000974A4">
        <w:rPr>
          <w:lang w:val="de-DE"/>
        </w:rPr>
        <w:t xml:space="preserve"> zu </w:t>
      </w:r>
      <w:r w:rsidR="00E44C5F" w:rsidRPr="000974A4">
        <w:rPr>
          <w:lang w:val="de-DE"/>
        </w:rPr>
        <w:t>regeln</w:t>
      </w:r>
      <w:r w:rsidRPr="000974A4">
        <w:rPr>
          <w:lang w:val="de-DE"/>
        </w:rPr>
        <w:t xml:space="preserve">, und stellte fest, dass die Normen für Seeschiffe bereits Erste-Hilfe-Bestimmungen enthalten, die für alle Arten von </w:t>
      </w:r>
      <w:r w:rsidR="00E44C5F" w:rsidRPr="000974A4">
        <w:rPr>
          <w:lang w:val="de-DE"/>
        </w:rPr>
        <w:t>Güter</w:t>
      </w:r>
      <w:r w:rsidRPr="000974A4">
        <w:rPr>
          <w:lang w:val="de-DE"/>
        </w:rPr>
        <w:t>schiffen (einschließlich solcher</w:t>
      </w:r>
      <w:r w:rsidR="00E44C5F" w:rsidRPr="000974A4">
        <w:rPr>
          <w:lang w:val="de-DE"/>
        </w:rPr>
        <w:t xml:space="preserve"> zur </w:t>
      </w:r>
      <w:r w:rsidRPr="000974A4">
        <w:rPr>
          <w:lang w:val="de-DE"/>
        </w:rPr>
        <w:t>Beförderung gefährlicher Güter) gelten.</w:t>
      </w:r>
      <w:r w:rsidR="006C5078" w:rsidRPr="000974A4">
        <w:rPr>
          <w:lang w:val="de-DE"/>
        </w:rPr>
        <w:t xml:space="preserve"> </w:t>
      </w:r>
      <w:r w:rsidR="00E44C5F" w:rsidRPr="000974A4">
        <w:rPr>
          <w:lang w:val="de-DE"/>
        </w:rPr>
        <w:t>Nachdem der Sicherheitsausschuss zur Kenntnis genommen hatte, dass derzeit daran gearbeitet wird, im Rahmen der Ausbildungspflichten von Beförderern in einem CESNI-Standard entsprechende Bestimmungen einzuführen, beschloss er, die derzeitigen Fragen im Fragenkatalog vorerst unverändert zu lassen.</w:t>
      </w:r>
      <w:r w:rsidR="006C5078" w:rsidRPr="000974A4">
        <w:rPr>
          <w:lang w:val="de-DE"/>
        </w:rPr>
        <w:t xml:space="preserve"> </w:t>
      </w:r>
      <w:r w:rsidR="00E44C5F" w:rsidRPr="000974A4">
        <w:rPr>
          <w:lang w:val="de-DE"/>
        </w:rPr>
        <w:t>Auf der Grundlage der neuen CESNI-Vorschriften könnte der Sicherheitsausschuss zu einem späteren Zeitpunkt prüfen, ob spezifische Bestimmungen für die Beförderung gefährlicher Güter auf Binnenwasserstraßen entwickelt und im Fragenkatalog behandelt werden müssen;</w:t>
      </w:r>
    </w:p>
    <w:bookmarkEnd w:id="11"/>
    <w:p w14:paraId="0709C8B1" w14:textId="687DC74A" w:rsidR="006C5078" w:rsidRPr="000974A4" w:rsidRDefault="00E44C5F" w:rsidP="00626B49">
      <w:pPr>
        <w:pStyle w:val="Bullet1G"/>
        <w:numPr>
          <w:ilvl w:val="0"/>
          <w:numId w:val="0"/>
        </w:numPr>
        <w:tabs>
          <w:tab w:val="left" w:pos="1418"/>
        </w:tabs>
        <w:spacing w:after="60"/>
        <w:ind w:left="1418" w:hanging="284"/>
        <w:rPr>
          <w:lang w:val="de-DE"/>
        </w:rPr>
      </w:pPr>
      <w:r w:rsidRPr="000974A4">
        <w:rPr>
          <w:lang w:val="de-DE"/>
        </w:rPr>
        <w:t>b)</w:t>
      </w:r>
      <w:r w:rsidR="006C5078" w:rsidRPr="000974A4">
        <w:rPr>
          <w:lang w:val="de-DE"/>
        </w:rPr>
        <w:tab/>
      </w:r>
      <w:r w:rsidR="00114B6A" w:rsidRPr="000974A4">
        <w:rPr>
          <w:lang w:val="de-DE"/>
        </w:rPr>
        <w:t>Z</w:t>
      </w:r>
      <w:r w:rsidRPr="000974A4">
        <w:rPr>
          <w:lang w:val="de-DE"/>
        </w:rPr>
        <w:t>um Einsatz von „Rettungswinden“ und den Anforderungen an Feuer und offenes Licht (Absätze 12 und 13): Der Sicherheitsausschuss kam überein, dass die aufgeworfenen Fragen geklärt werden sollten, und stellte fest, dass der Vertreter der Niederlande für die nächste Sitzung einen Vorschlag unterbreiten wird;</w:t>
      </w:r>
    </w:p>
    <w:p w14:paraId="1D64E5D3" w14:textId="7AEC895E" w:rsidR="006C5078" w:rsidRPr="000974A4" w:rsidRDefault="00E44C5F" w:rsidP="00626B49">
      <w:pPr>
        <w:pStyle w:val="Bullet1G"/>
        <w:numPr>
          <w:ilvl w:val="0"/>
          <w:numId w:val="0"/>
        </w:numPr>
        <w:tabs>
          <w:tab w:val="left" w:pos="1418"/>
        </w:tabs>
        <w:spacing w:after="60"/>
        <w:ind w:left="1418" w:hanging="284"/>
        <w:rPr>
          <w:lang w:val="de-DE"/>
        </w:rPr>
      </w:pPr>
      <w:r w:rsidRPr="000974A4">
        <w:rPr>
          <w:lang w:val="de-DE"/>
        </w:rPr>
        <w:t>c)</w:t>
      </w:r>
      <w:r w:rsidR="006C5078" w:rsidRPr="000974A4">
        <w:rPr>
          <w:lang w:val="de-DE"/>
        </w:rPr>
        <w:tab/>
      </w:r>
      <w:r w:rsidRPr="000974A4">
        <w:rPr>
          <w:lang w:val="de-DE"/>
        </w:rPr>
        <w:t>Zu den Aufbaukursen Gas und Chemie (Absatz 17): Der Sicherheitsausschuss stellte fest, dass die informelle Arbeitsgruppe „</w:t>
      </w:r>
      <w:proofErr w:type="spellStart"/>
      <w:r w:rsidRPr="000974A4">
        <w:rPr>
          <w:lang w:val="de-DE"/>
        </w:rPr>
        <w:t>Sachkundigenausbildung</w:t>
      </w:r>
      <w:proofErr w:type="spellEnd"/>
      <w:r w:rsidRPr="000974A4">
        <w:rPr>
          <w:lang w:val="de-DE"/>
        </w:rPr>
        <w:t xml:space="preserve">“ im Nachgang zu den Ausführungen des Vertreters der Niederlande auf der letzten Sitzung der informellen Arbeitsgruppe </w:t>
      </w:r>
      <w:r w:rsidR="007B1DF3" w:rsidRPr="000974A4">
        <w:rPr>
          <w:lang w:val="de-DE"/>
        </w:rPr>
        <w:t>nach wie vor</w:t>
      </w:r>
      <w:r w:rsidRPr="000974A4">
        <w:rPr>
          <w:lang w:val="de-DE"/>
        </w:rPr>
        <w:t xml:space="preserve"> die Aktualisierung der </w:t>
      </w:r>
      <w:r w:rsidR="007B1DF3" w:rsidRPr="000974A4">
        <w:rPr>
          <w:lang w:val="de-DE"/>
        </w:rPr>
        <w:t>inhaltlichen F</w:t>
      </w:r>
      <w:r w:rsidRPr="000974A4">
        <w:rPr>
          <w:lang w:val="de-DE"/>
        </w:rPr>
        <w:t>ragen in den Prüfungen prüft.</w:t>
      </w:r>
      <w:r w:rsidR="006C5078" w:rsidRPr="000974A4">
        <w:rPr>
          <w:lang w:val="de-DE"/>
        </w:rPr>
        <w:t xml:space="preserve"> </w:t>
      </w:r>
    </w:p>
    <w:p w14:paraId="42D199FB" w14:textId="70CBE545" w:rsidR="006C5078" w:rsidRPr="000974A4" w:rsidRDefault="00AE43C0" w:rsidP="00254E07">
      <w:pPr>
        <w:pStyle w:val="SingleTxtG"/>
        <w:spacing w:before="120"/>
        <w:rPr>
          <w:lang w:val="de-DE"/>
        </w:rPr>
      </w:pPr>
      <w:r w:rsidRPr="000974A4">
        <w:rPr>
          <w:lang w:val="de-DE"/>
        </w:rPr>
        <w:t>22</w:t>
      </w:r>
      <w:r w:rsidR="00A1062F" w:rsidRPr="000974A4">
        <w:rPr>
          <w:lang w:val="de-DE"/>
        </w:rPr>
        <w:t>.</w:t>
      </w:r>
      <w:r w:rsidR="006C5078" w:rsidRPr="000974A4">
        <w:rPr>
          <w:lang w:val="de-DE"/>
        </w:rPr>
        <w:tab/>
      </w:r>
      <w:r w:rsidR="007B1DF3" w:rsidRPr="000974A4">
        <w:rPr>
          <w:lang w:val="de-DE"/>
        </w:rPr>
        <w:t xml:space="preserve">Der Sicherheitsausschuss </w:t>
      </w:r>
      <w:r w:rsidR="00D23F9D" w:rsidRPr="000974A4">
        <w:rPr>
          <w:lang w:val="de-DE"/>
        </w:rPr>
        <w:t>dankte</w:t>
      </w:r>
      <w:r w:rsidR="007B1DF3" w:rsidRPr="000974A4">
        <w:rPr>
          <w:lang w:val="de-DE"/>
        </w:rPr>
        <w:t xml:space="preserve"> der informellen Arbeitsgruppe „</w:t>
      </w:r>
      <w:proofErr w:type="spellStart"/>
      <w:r w:rsidR="007B1DF3" w:rsidRPr="000974A4">
        <w:rPr>
          <w:lang w:val="de-DE"/>
        </w:rPr>
        <w:t>Sachkundigenausbildung</w:t>
      </w:r>
      <w:proofErr w:type="spellEnd"/>
      <w:r w:rsidR="007B1DF3" w:rsidRPr="000974A4">
        <w:rPr>
          <w:lang w:val="de-DE"/>
        </w:rPr>
        <w:t xml:space="preserve">“ für die bisher geleistete Arbeit und nahm zur Kenntnis, dass </w:t>
      </w:r>
      <w:r w:rsidR="00D23F9D" w:rsidRPr="000974A4">
        <w:rPr>
          <w:lang w:val="de-DE"/>
        </w:rPr>
        <w:t>dessen</w:t>
      </w:r>
      <w:r w:rsidR="007B1DF3" w:rsidRPr="000974A4">
        <w:rPr>
          <w:lang w:val="de-DE"/>
        </w:rPr>
        <w:t xml:space="preserve"> nächste Sitzung vom 2.</w:t>
      </w:r>
      <w:r w:rsidR="00114B6A" w:rsidRPr="000974A4">
        <w:rPr>
          <w:lang w:val="de-DE"/>
        </w:rPr>
        <w:t> </w:t>
      </w:r>
      <w:r w:rsidR="007B1DF3" w:rsidRPr="000974A4">
        <w:rPr>
          <w:lang w:val="de-DE"/>
        </w:rPr>
        <w:t>bis 4. April 2019 in Straßburg (Frankreich) stattfinde</w:t>
      </w:r>
      <w:r w:rsidR="00D23F9D" w:rsidRPr="000974A4">
        <w:rPr>
          <w:lang w:val="de-DE"/>
        </w:rPr>
        <w:t>t</w:t>
      </w:r>
      <w:r w:rsidR="007B1DF3" w:rsidRPr="000974A4">
        <w:rPr>
          <w:lang w:val="de-DE"/>
        </w:rPr>
        <w:t>.</w:t>
      </w:r>
      <w:r w:rsidR="006C5078" w:rsidRPr="000974A4">
        <w:rPr>
          <w:lang w:val="de-DE"/>
        </w:rPr>
        <w:t xml:space="preserve"> </w:t>
      </w:r>
    </w:p>
    <w:p w14:paraId="24861E3E" w14:textId="77777777" w:rsidR="00A01F93" w:rsidRDefault="00A01F93">
      <w:pPr>
        <w:suppressAutoHyphens w:val="0"/>
        <w:spacing w:line="240" w:lineRule="auto"/>
        <w:rPr>
          <w:b/>
          <w:lang w:val="de-DE"/>
        </w:rPr>
      </w:pPr>
      <w:r>
        <w:rPr>
          <w:lang w:val="de-DE"/>
        </w:rPr>
        <w:br w:type="page"/>
      </w:r>
    </w:p>
    <w:p w14:paraId="7E0D1336" w14:textId="4842F95B" w:rsidR="006C5078" w:rsidRPr="000974A4" w:rsidRDefault="00A01F93" w:rsidP="00114B6A">
      <w:pPr>
        <w:pStyle w:val="H23G"/>
        <w:rPr>
          <w:lang w:val="de-DE"/>
        </w:rPr>
      </w:pPr>
      <w:r>
        <w:rPr>
          <w:lang w:val="de-DE"/>
        </w:rPr>
        <w:lastRenderedPageBreak/>
        <w:tab/>
      </w:r>
      <w:r w:rsidR="006C5078" w:rsidRPr="000974A4">
        <w:rPr>
          <w:lang w:val="de-DE"/>
        </w:rPr>
        <w:t>2.</w:t>
      </w:r>
      <w:r w:rsidR="006C5078" w:rsidRPr="000974A4">
        <w:rPr>
          <w:lang w:val="de-DE"/>
        </w:rPr>
        <w:tab/>
      </w:r>
      <w:r w:rsidR="00D23F9D" w:rsidRPr="000974A4">
        <w:rPr>
          <w:lang w:val="de-DE"/>
        </w:rPr>
        <w:t>Richtlinie des Verwaltungsausschusses für die Verwendung des Fragenkatalogs für die Prüfung von ADN-Sachkundigen (Kapitel 8.2)</w:t>
      </w:r>
    </w:p>
    <w:p w14:paraId="56A7076F" w14:textId="4BF431B1" w:rsidR="006C5078" w:rsidRPr="000974A4" w:rsidRDefault="006C5078" w:rsidP="00D23F9D">
      <w:pPr>
        <w:tabs>
          <w:tab w:val="left" w:pos="1134"/>
          <w:tab w:val="left" w:pos="1701"/>
          <w:tab w:val="left" w:pos="3119"/>
        </w:tabs>
        <w:spacing w:after="120"/>
        <w:rPr>
          <w:lang w:val="de-DE"/>
        </w:rPr>
      </w:pPr>
      <w:r w:rsidRPr="000974A4">
        <w:rPr>
          <w:lang w:val="de-DE"/>
        </w:rPr>
        <w:tab/>
      </w:r>
      <w:r w:rsidR="00D23F9D" w:rsidRPr="000974A4">
        <w:rPr>
          <w:i/>
          <w:iCs/>
          <w:lang w:val="de-DE"/>
        </w:rPr>
        <w:t>Dokument:</w:t>
      </w:r>
      <w:r w:rsidRPr="000974A4">
        <w:rPr>
          <w:i/>
          <w:iCs/>
          <w:lang w:val="de-DE"/>
        </w:rPr>
        <w:tab/>
      </w:r>
      <w:r w:rsidRPr="000974A4">
        <w:rPr>
          <w:lang w:val="de-DE"/>
        </w:rPr>
        <w:t>ECE/TRANS/WP.15/AC.2/2019/7 (</w:t>
      </w:r>
      <w:r w:rsidR="00D23F9D" w:rsidRPr="000974A4">
        <w:rPr>
          <w:lang w:val="de-DE"/>
        </w:rPr>
        <w:t>ZK</w:t>
      </w:r>
      <w:r w:rsidRPr="000974A4">
        <w:rPr>
          <w:lang w:val="de-DE"/>
        </w:rPr>
        <w:t>R)</w:t>
      </w:r>
    </w:p>
    <w:p w14:paraId="60D5213D" w14:textId="731BBF9A" w:rsidR="006C5078" w:rsidRPr="000974A4" w:rsidRDefault="00AE43C0" w:rsidP="00D23F9D">
      <w:pPr>
        <w:pStyle w:val="SingleTxtG"/>
        <w:rPr>
          <w:lang w:val="de-DE"/>
        </w:rPr>
      </w:pPr>
      <w:r w:rsidRPr="000974A4">
        <w:rPr>
          <w:lang w:val="de-DE"/>
        </w:rPr>
        <w:t>23</w:t>
      </w:r>
      <w:r w:rsidR="006C5078" w:rsidRPr="000974A4">
        <w:rPr>
          <w:lang w:val="de-DE"/>
        </w:rPr>
        <w:t>.</w:t>
      </w:r>
      <w:r w:rsidR="006C5078" w:rsidRPr="000974A4">
        <w:rPr>
          <w:lang w:val="de-DE"/>
        </w:rPr>
        <w:tab/>
      </w:r>
      <w:r w:rsidR="00D23F9D" w:rsidRPr="000974A4">
        <w:rPr>
          <w:lang w:val="de-DE"/>
        </w:rPr>
        <w:t>Der Sicherheitsausschuss nahm die Änderungsvorschläge zur Richtlinie des Verwaltungsausschusses für die Verwendung des Fragenkatalogs für die Prüfung von ADN-Sachkundigen gemäß Kapitel 8.2 ADN an, wobei die eckigen Klammern um den Text in Absatz 36 des Dokuments gestrichen wurden.</w:t>
      </w:r>
    </w:p>
    <w:p w14:paraId="6B68FAEC" w14:textId="6E7B252D" w:rsidR="006C5078" w:rsidRPr="000974A4" w:rsidRDefault="00AE43C0" w:rsidP="00FF1FAB">
      <w:pPr>
        <w:pStyle w:val="SingleTxtG"/>
        <w:rPr>
          <w:lang w:val="de-DE"/>
        </w:rPr>
      </w:pPr>
      <w:r w:rsidRPr="000974A4">
        <w:rPr>
          <w:lang w:val="de-DE"/>
        </w:rPr>
        <w:t>24</w:t>
      </w:r>
      <w:r w:rsidR="006C5078" w:rsidRPr="000974A4">
        <w:rPr>
          <w:lang w:val="de-DE"/>
        </w:rPr>
        <w:t>.</w:t>
      </w:r>
      <w:r w:rsidR="006C5078" w:rsidRPr="000974A4">
        <w:rPr>
          <w:lang w:val="de-DE"/>
        </w:rPr>
        <w:tab/>
      </w:r>
      <w:r w:rsidR="00D23F9D" w:rsidRPr="000974A4">
        <w:rPr>
          <w:lang w:val="de-DE"/>
        </w:rPr>
        <w:t xml:space="preserve">Auf eine Bemerkung des Vertreters Deutschlands hin ersuchte der Sicherheitsausschuss die informelle Arbeitsgruppe </w:t>
      </w:r>
      <w:r w:rsidR="004E311E" w:rsidRPr="000974A4">
        <w:rPr>
          <w:lang w:val="de-DE"/>
        </w:rPr>
        <w:t>„</w:t>
      </w:r>
      <w:proofErr w:type="spellStart"/>
      <w:r w:rsidR="004E311E" w:rsidRPr="000974A4">
        <w:rPr>
          <w:lang w:val="de-DE"/>
        </w:rPr>
        <w:t>Sachkundigena</w:t>
      </w:r>
      <w:r w:rsidR="00D23F9D" w:rsidRPr="000974A4">
        <w:rPr>
          <w:lang w:val="de-DE"/>
        </w:rPr>
        <w:t>usbildung</w:t>
      </w:r>
      <w:proofErr w:type="spellEnd"/>
      <w:r w:rsidR="004E311E" w:rsidRPr="000974A4">
        <w:rPr>
          <w:lang w:val="de-DE"/>
        </w:rPr>
        <w:t>“</w:t>
      </w:r>
      <w:r w:rsidR="00D23F9D" w:rsidRPr="000974A4">
        <w:rPr>
          <w:lang w:val="de-DE"/>
        </w:rPr>
        <w:t xml:space="preserve">, die Anwendung der Sechsmonatsfrist für die </w:t>
      </w:r>
      <w:r w:rsidR="00FF1FAB" w:rsidRPr="000974A4">
        <w:rPr>
          <w:lang w:val="de-DE"/>
        </w:rPr>
        <w:t>P</w:t>
      </w:r>
      <w:r w:rsidR="00D23F9D" w:rsidRPr="000974A4">
        <w:rPr>
          <w:lang w:val="de-DE"/>
        </w:rPr>
        <w:t xml:space="preserve">rüfungen nach den </w:t>
      </w:r>
      <w:r w:rsidR="004E311E" w:rsidRPr="000974A4">
        <w:rPr>
          <w:lang w:val="de-DE"/>
        </w:rPr>
        <w:t>Aufbau</w:t>
      </w:r>
      <w:r w:rsidR="00D23F9D" w:rsidRPr="000974A4">
        <w:rPr>
          <w:lang w:val="de-DE"/>
        </w:rPr>
        <w:t xml:space="preserve">kursen </w:t>
      </w:r>
      <w:r w:rsidR="004E311E" w:rsidRPr="000974A4">
        <w:rPr>
          <w:lang w:val="de-DE"/>
        </w:rPr>
        <w:t>zu prüfen</w:t>
      </w:r>
      <w:r w:rsidR="00D23F9D" w:rsidRPr="000974A4">
        <w:rPr>
          <w:lang w:val="de-DE"/>
        </w:rPr>
        <w:t xml:space="preserve"> und einen Vorschlag zur Änderung der einschlägigen ADN-Bestimmungen vorzulegen.</w:t>
      </w:r>
    </w:p>
    <w:p w14:paraId="356F20CD" w14:textId="06DE0319" w:rsidR="006C5078" w:rsidRPr="000974A4" w:rsidRDefault="006C5078" w:rsidP="00FF1FAB">
      <w:pPr>
        <w:pStyle w:val="H23G"/>
        <w:rPr>
          <w:lang w:val="de-DE"/>
        </w:rPr>
      </w:pPr>
      <w:r w:rsidRPr="000974A4">
        <w:rPr>
          <w:lang w:val="de-DE"/>
        </w:rPr>
        <w:tab/>
        <w:t>3.</w:t>
      </w:r>
      <w:r w:rsidRPr="000974A4">
        <w:rPr>
          <w:lang w:val="de-DE"/>
        </w:rPr>
        <w:tab/>
      </w:r>
      <w:r w:rsidR="00FF1FAB" w:rsidRPr="000974A4">
        <w:rPr>
          <w:lang w:val="de-DE"/>
        </w:rPr>
        <w:t>Fragenkatalog 2019</w:t>
      </w:r>
      <w:r w:rsidRPr="000974A4">
        <w:rPr>
          <w:lang w:val="de-DE"/>
        </w:rPr>
        <w:t xml:space="preserve"> </w:t>
      </w:r>
    </w:p>
    <w:p w14:paraId="034A3610" w14:textId="24E72A69" w:rsidR="006C5078" w:rsidRPr="000974A4" w:rsidRDefault="006C5078" w:rsidP="00FF1FAB">
      <w:pPr>
        <w:tabs>
          <w:tab w:val="left" w:pos="1134"/>
          <w:tab w:val="left" w:pos="1701"/>
          <w:tab w:val="left" w:pos="3119"/>
        </w:tabs>
        <w:spacing w:after="120"/>
        <w:rPr>
          <w:lang w:val="de-DE"/>
        </w:rPr>
      </w:pPr>
      <w:r w:rsidRPr="000974A4">
        <w:rPr>
          <w:lang w:val="de-DE"/>
        </w:rPr>
        <w:tab/>
      </w:r>
      <w:r w:rsidR="00FF1FAB" w:rsidRPr="000974A4">
        <w:rPr>
          <w:i/>
          <w:iCs/>
          <w:lang w:val="de-DE"/>
        </w:rPr>
        <w:t>Dokumente:</w:t>
      </w:r>
      <w:r w:rsidRPr="000974A4">
        <w:rPr>
          <w:lang w:val="de-DE"/>
        </w:rPr>
        <w:tab/>
        <w:t>ECE/TRANS/WP.15/AC.2/2019/1 (</w:t>
      </w:r>
      <w:r w:rsidR="0091322C" w:rsidRPr="000974A4">
        <w:rPr>
          <w:lang w:val="de-DE"/>
        </w:rPr>
        <w:t>ZK</w:t>
      </w:r>
      <w:r w:rsidRPr="000974A4">
        <w:rPr>
          <w:lang w:val="de-DE"/>
        </w:rPr>
        <w:t>R)</w:t>
      </w:r>
      <w:r w:rsidRPr="000974A4">
        <w:rPr>
          <w:lang w:val="de-DE"/>
        </w:rPr>
        <w:tab/>
      </w:r>
      <w:r w:rsidRPr="000974A4">
        <w:rPr>
          <w:lang w:val="de-DE"/>
        </w:rPr>
        <w:tab/>
      </w:r>
      <w:r w:rsidRPr="000974A4">
        <w:rPr>
          <w:lang w:val="de-DE"/>
        </w:rPr>
        <w:tab/>
      </w:r>
      <w:r w:rsidRPr="000974A4">
        <w:rPr>
          <w:lang w:val="de-DE"/>
        </w:rPr>
        <w:tab/>
      </w:r>
      <w:r w:rsidRPr="000974A4">
        <w:rPr>
          <w:lang w:val="de-DE"/>
        </w:rPr>
        <w:tab/>
      </w:r>
      <w:r w:rsidRPr="000974A4">
        <w:rPr>
          <w:lang w:val="de-DE"/>
        </w:rPr>
        <w:tab/>
      </w:r>
      <w:r w:rsidRPr="000974A4">
        <w:rPr>
          <w:lang w:val="de-DE"/>
        </w:rPr>
        <w:tab/>
      </w:r>
      <w:r w:rsidRPr="000974A4">
        <w:rPr>
          <w:lang w:val="de-DE"/>
        </w:rPr>
        <w:tab/>
        <w:t>ECE/TRANS/WP.15/AC.2/2019/2 (</w:t>
      </w:r>
      <w:r w:rsidR="0091322C" w:rsidRPr="000974A4">
        <w:rPr>
          <w:lang w:val="de-DE"/>
        </w:rPr>
        <w:t>ZK</w:t>
      </w:r>
      <w:r w:rsidRPr="000974A4">
        <w:rPr>
          <w:lang w:val="de-DE"/>
        </w:rPr>
        <w:t>R)</w:t>
      </w:r>
      <w:r w:rsidRPr="000974A4">
        <w:rPr>
          <w:lang w:val="de-DE"/>
        </w:rPr>
        <w:br/>
      </w:r>
      <w:r w:rsidRPr="000974A4">
        <w:rPr>
          <w:lang w:val="de-DE"/>
        </w:rPr>
        <w:tab/>
      </w:r>
      <w:r w:rsidRPr="000974A4">
        <w:rPr>
          <w:lang w:val="de-DE"/>
        </w:rPr>
        <w:tab/>
      </w:r>
      <w:r w:rsidRPr="000974A4">
        <w:rPr>
          <w:lang w:val="de-DE"/>
        </w:rPr>
        <w:tab/>
        <w:t>ECE/TRANS/WP.15/AC.2/2019/3 (</w:t>
      </w:r>
      <w:r w:rsidR="0091322C" w:rsidRPr="000974A4">
        <w:rPr>
          <w:lang w:val="de-DE"/>
        </w:rPr>
        <w:t>ZK</w:t>
      </w:r>
      <w:r w:rsidRPr="000974A4">
        <w:rPr>
          <w:lang w:val="de-DE"/>
        </w:rPr>
        <w:t>R)</w:t>
      </w:r>
    </w:p>
    <w:p w14:paraId="5108B244" w14:textId="0FE3929C" w:rsidR="006C5078" w:rsidRPr="000974A4" w:rsidRDefault="00AE43C0" w:rsidP="006151C6">
      <w:pPr>
        <w:pStyle w:val="SingleTxtG"/>
        <w:rPr>
          <w:lang w:val="de-DE"/>
        </w:rPr>
      </w:pPr>
      <w:r w:rsidRPr="000974A4">
        <w:rPr>
          <w:lang w:val="de-DE"/>
        </w:rPr>
        <w:t>25</w:t>
      </w:r>
      <w:r w:rsidR="006C5078" w:rsidRPr="000974A4">
        <w:rPr>
          <w:lang w:val="de-DE"/>
        </w:rPr>
        <w:t>.</w:t>
      </w:r>
      <w:r w:rsidR="006C5078" w:rsidRPr="000974A4">
        <w:rPr>
          <w:lang w:val="de-DE"/>
        </w:rPr>
        <w:tab/>
      </w:r>
      <w:r w:rsidR="0091322C" w:rsidRPr="000974A4">
        <w:rPr>
          <w:lang w:val="de-DE"/>
        </w:rPr>
        <w:t xml:space="preserve">Der </w:t>
      </w:r>
      <w:r w:rsidR="001B7D5B" w:rsidRPr="000974A4">
        <w:rPr>
          <w:lang w:val="de-DE"/>
        </w:rPr>
        <w:t>EBU-</w:t>
      </w:r>
      <w:r w:rsidR="0091322C" w:rsidRPr="000974A4">
        <w:rPr>
          <w:lang w:val="de-DE"/>
        </w:rPr>
        <w:t>Vertreter w</w:t>
      </w:r>
      <w:r w:rsidR="001B7D5B" w:rsidRPr="000974A4">
        <w:rPr>
          <w:lang w:val="de-DE"/>
        </w:rPr>
        <w:t>i</w:t>
      </w:r>
      <w:r w:rsidR="0091322C" w:rsidRPr="000974A4">
        <w:rPr>
          <w:lang w:val="de-DE"/>
        </w:rPr>
        <w:t xml:space="preserve">es darauf hin, dass einige redaktionelle Korrekturen erforderlich sind, um die Verwendung unterschiedlicher </w:t>
      </w:r>
      <w:r w:rsidR="001B7D5B" w:rsidRPr="000974A4">
        <w:rPr>
          <w:lang w:val="de-DE"/>
        </w:rPr>
        <w:t>Ausdrücke</w:t>
      </w:r>
      <w:r w:rsidR="0091322C" w:rsidRPr="000974A4">
        <w:rPr>
          <w:lang w:val="de-DE"/>
        </w:rPr>
        <w:t xml:space="preserve"> für </w:t>
      </w:r>
      <w:r w:rsidR="001B7D5B" w:rsidRPr="000974A4">
        <w:rPr>
          <w:lang w:val="de-DE"/>
        </w:rPr>
        <w:t>den</w:t>
      </w:r>
      <w:r w:rsidR="0091322C" w:rsidRPr="000974A4">
        <w:rPr>
          <w:lang w:val="de-DE"/>
        </w:rPr>
        <w:t>selbe</w:t>
      </w:r>
      <w:r w:rsidR="001B7D5B" w:rsidRPr="000974A4">
        <w:rPr>
          <w:lang w:val="de-DE"/>
        </w:rPr>
        <w:t>n</w:t>
      </w:r>
      <w:r w:rsidR="0091322C" w:rsidRPr="000974A4">
        <w:rPr>
          <w:lang w:val="de-DE"/>
        </w:rPr>
        <w:t xml:space="preserve"> </w:t>
      </w:r>
      <w:r w:rsidR="001B7D5B" w:rsidRPr="000974A4">
        <w:rPr>
          <w:lang w:val="de-DE"/>
        </w:rPr>
        <w:t>Begriff</w:t>
      </w:r>
      <w:r w:rsidR="0091322C" w:rsidRPr="000974A4">
        <w:rPr>
          <w:lang w:val="de-DE"/>
        </w:rPr>
        <w:t xml:space="preserve"> zu vermeiden.</w:t>
      </w:r>
      <w:r w:rsidR="006C5078" w:rsidRPr="000974A4">
        <w:rPr>
          <w:lang w:val="de-DE"/>
        </w:rPr>
        <w:t xml:space="preserve"> </w:t>
      </w:r>
      <w:r w:rsidR="001B7D5B" w:rsidRPr="000974A4">
        <w:rPr>
          <w:lang w:val="de-DE"/>
        </w:rPr>
        <w:t xml:space="preserve">Er bemerkte beispielsweise, dass </w:t>
      </w:r>
      <w:r w:rsidR="00EE52CB" w:rsidRPr="000974A4">
        <w:rPr>
          <w:lang w:val="de-DE"/>
        </w:rPr>
        <w:t xml:space="preserve">im Text alternativ </w:t>
      </w:r>
      <w:r w:rsidR="001B7D5B" w:rsidRPr="000974A4">
        <w:rPr>
          <w:lang w:val="de-DE"/>
        </w:rPr>
        <w:t>„</w:t>
      </w:r>
      <w:proofErr w:type="spellStart"/>
      <w:r w:rsidR="001B7D5B" w:rsidRPr="000974A4">
        <w:rPr>
          <w:lang w:val="de-DE"/>
        </w:rPr>
        <w:t>Ladeplan</w:t>
      </w:r>
      <w:proofErr w:type="spellEnd"/>
      <w:r w:rsidR="009F2713" w:rsidRPr="000974A4">
        <w:rPr>
          <w:lang w:val="de-DE"/>
        </w:rPr>
        <w:t>)</w:t>
      </w:r>
      <w:r w:rsidR="001B7D5B" w:rsidRPr="000974A4">
        <w:rPr>
          <w:lang w:val="de-DE"/>
        </w:rPr>
        <w:t>“</w:t>
      </w:r>
      <w:r w:rsidR="009F2713" w:rsidRPr="000974A4">
        <w:rPr>
          <w:lang w:val="de-DE"/>
        </w:rPr>
        <w:t xml:space="preserve"> </w:t>
      </w:r>
      <w:r w:rsidR="001B7D5B" w:rsidRPr="000974A4">
        <w:rPr>
          <w:lang w:val="de-DE"/>
        </w:rPr>
        <w:t>und „</w:t>
      </w:r>
      <w:proofErr w:type="spellStart"/>
      <w:r w:rsidR="001B7D5B" w:rsidRPr="000974A4">
        <w:rPr>
          <w:lang w:val="de-DE"/>
        </w:rPr>
        <w:t>Stauplan</w:t>
      </w:r>
      <w:proofErr w:type="spellEnd"/>
      <w:r w:rsidR="001B7D5B" w:rsidRPr="000974A4">
        <w:rPr>
          <w:lang w:val="de-DE"/>
        </w:rPr>
        <w:t>“ und „Probe</w:t>
      </w:r>
      <w:r w:rsidR="00EE52CB" w:rsidRPr="000974A4">
        <w:rPr>
          <w:lang w:val="de-DE"/>
        </w:rPr>
        <w:t>ent</w:t>
      </w:r>
      <w:r w:rsidR="001B7D5B" w:rsidRPr="000974A4">
        <w:rPr>
          <w:lang w:val="de-DE"/>
        </w:rPr>
        <w:t>nahme</w:t>
      </w:r>
      <w:r w:rsidR="00EE52CB" w:rsidRPr="000974A4">
        <w:rPr>
          <w:lang w:val="de-DE"/>
        </w:rPr>
        <w:t>ein</w:t>
      </w:r>
      <w:r w:rsidR="001B7D5B" w:rsidRPr="000974A4">
        <w:rPr>
          <w:lang w:val="de-DE"/>
        </w:rPr>
        <w:t>richtung“ und „Probe</w:t>
      </w:r>
      <w:r w:rsidR="00EE52CB" w:rsidRPr="000974A4">
        <w:rPr>
          <w:lang w:val="de-DE"/>
        </w:rPr>
        <w:t>ent</w:t>
      </w:r>
      <w:r w:rsidR="001B7D5B" w:rsidRPr="000974A4">
        <w:rPr>
          <w:lang w:val="de-DE"/>
        </w:rPr>
        <w:t>nahmeöffnung“ verwendet werden, und schlug vor, jeweils nur ein</w:t>
      </w:r>
      <w:r w:rsidR="00EE52CB" w:rsidRPr="000974A4">
        <w:rPr>
          <w:lang w:val="de-DE"/>
        </w:rPr>
        <w:t>en</w:t>
      </w:r>
      <w:r w:rsidR="001B7D5B" w:rsidRPr="000974A4">
        <w:rPr>
          <w:lang w:val="de-DE"/>
        </w:rPr>
        <w:t xml:space="preserve"> Ausdruck</w:t>
      </w:r>
      <w:r w:rsidR="00EE52CB" w:rsidRPr="000974A4">
        <w:rPr>
          <w:lang w:val="de-DE"/>
        </w:rPr>
        <w:t xml:space="preserve"> zu</w:t>
      </w:r>
      <w:r w:rsidR="001B7D5B" w:rsidRPr="000974A4">
        <w:rPr>
          <w:lang w:val="de-DE"/>
        </w:rPr>
        <w:t xml:space="preserve"> verwenden.</w:t>
      </w:r>
      <w:r w:rsidR="006C5078" w:rsidRPr="000974A4">
        <w:rPr>
          <w:lang w:val="de-DE"/>
        </w:rPr>
        <w:t xml:space="preserve"> </w:t>
      </w:r>
      <w:r w:rsidR="00910B29" w:rsidRPr="000974A4">
        <w:rPr>
          <w:lang w:val="de-DE"/>
        </w:rPr>
        <w:t>Er wurde gebeten, der informellen Arbeitsgruppe „</w:t>
      </w:r>
      <w:proofErr w:type="spellStart"/>
      <w:r w:rsidR="00910B29" w:rsidRPr="000974A4">
        <w:rPr>
          <w:lang w:val="de-DE"/>
        </w:rPr>
        <w:t>Sachkundigenausbildung</w:t>
      </w:r>
      <w:proofErr w:type="spellEnd"/>
      <w:r w:rsidR="00910B29" w:rsidRPr="000974A4">
        <w:rPr>
          <w:lang w:val="de-DE"/>
        </w:rPr>
        <w:t>“ eine detaillierte Zusammenfassung der erforderlichen Korrekturen vorzulegen, damit sie in die nächste Version des Katalogs aufgenommen werden können.</w:t>
      </w:r>
      <w:r w:rsidR="006C5078" w:rsidRPr="000974A4">
        <w:rPr>
          <w:lang w:val="de-DE"/>
        </w:rPr>
        <w:t xml:space="preserve"> </w:t>
      </w:r>
    </w:p>
    <w:p w14:paraId="55ABCC39" w14:textId="08C3A8FE" w:rsidR="006C5078" w:rsidRPr="000974A4" w:rsidRDefault="00AE43C0" w:rsidP="006151C6">
      <w:pPr>
        <w:pStyle w:val="SingleTxtG"/>
        <w:rPr>
          <w:lang w:val="de-DE"/>
        </w:rPr>
      </w:pPr>
      <w:r w:rsidRPr="000974A4">
        <w:rPr>
          <w:lang w:val="de-DE"/>
        </w:rPr>
        <w:t>26</w:t>
      </w:r>
      <w:r w:rsidR="006C5078" w:rsidRPr="000974A4">
        <w:rPr>
          <w:lang w:val="de-DE"/>
        </w:rPr>
        <w:t>.</w:t>
      </w:r>
      <w:r w:rsidR="006C5078" w:rsidRPr="000974A4">
        <w:rPr>
          <w:lang w:val="de-DE"/>
        </w:rPr>
        <w:tab/>
      </w:r>
      <w:r w:rsidR="00910B29" w:rsidRPr="000974A4">
        <w:rPr>
          <w:lang w:val="de-DE"/>
        </w:rPr>
        <w:t xml:space="preserve">Der Sicherheitsausschuss nahm die Vorschläge zur Aktualisierung des Fragenkatalogs an, um den Bestimmungen der Ausgabe 2019 des ADN </w:t>
      </w:r>
      <w:r w:rsidR="00394AE5" w:rsidRPr="000974A4">
        <w:rPr>
          <w:lang w:val="de-DE"/>
        </w:rPr>
        <w:t xml:space="preserve">Rechnung zu tragen, </w:t>
      </w:r>
      <w:r w:rsidR="00910B29" w:rsidRPr="000974A4">
        <w:rPr>
          <w:lang w:val="de-DE"/>
        </w:rPr>
        <w:t>mit einigen zusätzlichen redaktionellen Korrekturen an den Dokumenten ECE/TRANS/WP.15/AC.2/2019/1 und ECE/TRANS/WP.15/AC.2/2019/2.</w:t>
      </w:r>
      <w:r w:rsidR="006C5078" w:rsidRPr="000974A4">
        <w:rPr>
          <w:lang w:val="de-DE"/>
        </w:rPr>
        <w:t xml:space="preserve"> </w:t>
      </w:r>
    </w:p>
    <w:p w14:paraId="3AC6784E" w14:textId="316CFA68" w:rsidR="006C5078" w:rsidRPr="000974A4" w:rsidRDefault="006C5078" w:rsidP="006151C6">
      <w:pPr>
        <w:pStyle w:val="H23G"/>
        <w:rPr>
          <w:lang w:val="de-DE"/>
        </w:rPr>
      </w:pPr>
      <w:r w:rsidRPr="000974A4">
        <w:rPr>
          <w:lang w:val="de-DE"/>
        </w:rPr>
        <w:tab/>
        <w:t>4.</w:t>
      </w:r>
      <w:r w:rsidRPr="000974A4">
        <w:rPr>
          <w:lang w:val="de-DE"/>
        </w:rPr>
        <w:tab/>
      </w:r>
      <w:r w:rsidR="00394AE5" w:rsidRPr="000974A4">
        <w:rPr>
          <w:lang w:val="de-DE"/>
        </w:rPr>
        <w:t>Umsetzung des Vorschlags zur Verlängerung der Prüfungszeiten nach Absatz 8.2.2.7.1.5</w:t>
      </w:r>
      <w:r w:rsidR="00D6510D" w:rsidRPr="000974A4">
        <w:rPr>
          <w:lang w:val="de-DE"/>
        </w:rPr>
        <w:t xml:space="preserve"> </w:t>
      </w:r>
      <w:r w:rsidR="00394AE5" w:rsidRPr="000974A4">
        <w:rPr>
          <w:lang w:val="de-DE"/>
        </w:rPr>
        <w:t>(Basiskurs) und Absatz 8.2.2.7.3.2 (Aufbaukurs)</w:t>
      </w:r>
    </w:p>
    <w:p w14:paraId="6B021AC1" w14:textId="1CBA726A" w:rsidR="006C5078" w:rsidRPr="000974A4" w:rsidRDefault="006C5078" w:rsidP="006151C6">
      <w:pPr>
        <w:tabs>
          <w:tab w:val="left" w:pos="1134"/>
          <w:tab w:val="left" w:pos="1701"/>
          <w:tab w:val="left" w:pos="3119"/>
        </w:tabs>
        <w:spacing w:after="120"/>
        <w:rPr>
          <w:lang w:val="de-DE"/>
        </w:rPr>
      </w:pPr>
      <w:r w:rsidRPr="000974A4">
        <w:rPr>
          <w:lang w:val="de-DE"/>
        </w:rPr>
        <w:tab/>
      </w:r>
      <w:r w:rsidR="00394AE5" w:rsidRPr="000974A4">
        <w:rPr>
          <w:i/>
          <w:iCs/>
          <w:lang w:val="de-DE"/>
        </w:rPr>
        <w:t>Informelles Dokument:</w:t>
      </w:r>
      <w:r w:rsidRPr="000974A4">
        <w:rPr>
          <w:lang w:val="de-DE"/>
        </w:rPr>
        <w:tab/>
        <w:t xml:space="preserve">INF.14 (EBU </w:t>
      </w:r>
      <w:r w:rsidR="00394AE5" w:rsidRPr="000974A4">
        <w:rPr>
          <w:lang w:val="de-DE"/>
        </w:rPr>
        <w:t>u</w:t>
      </w:r>
      <w:r w:rsidRPr="000974A4">
        <w:rPr>
          <w:lang w:val="de-DE"/>
        </w:rPr>
        <w:t>nd ESO)</w:t>
      </w:r>
    </w:p>
    <w:p w14:paraId="4AC956D3" w14:textId="3044FA96" w:rsidR="006C5078" w:rsidRPr="000974A4" w:rsidRDefault="00AE43C0" w:rsidP="00CA123C">
      <w:pPr>
        <w:pStyle w:val="SingleTxtG"/>
        <w:rPr>
          <w:lang w:val="de-DE"/>
        </w:rPr>
      </w:pPr>
      <w:r w:rsidRPr="000974A4">
        <w:rPr>
          <w:lang w:val="de-DE"/>
        </w:rPr>
        <w:t>27</w:t>
      </w:r>
      <w:r w:rsidR="006C5078" w:rsidRPr="000974A4">
        <w:rPr>
          <w:lang w:val="de-DE"/>
        </w:rPr>
        <w:t>.</w:t>
      </w:r>
      <w:r w:rsidR="006C5078" w:rsidRPr="000974A4">
        <w:rPr>
          <w:lang w:val="de-DE"/>
        </w:rPr>
        <w:tab/>
      </w:r>
      <w:r w:rsidR="009A1B5D" w:rsidRPr="000974A4">
        <w:rPr>
          <w:lang w:val="de-DE"/>
        </w:rPr>
        <w:t>Der Sicherheitsausschuss begrüßte die Arbeit von EBU und ESO.</w:t>
      </w:r>
      <w:r w:rsidR="006C5078" w:rsidRPr="000974A4">
        <w:rPr>
          <w:lang w:val="de-DE"/>
        </w:rPr>
        <w:t xml:space="preserve"> </w:t>
      </w:r>
      <w:r w:rsidR="009A1B5D" w:rsidRPr="000974A4">
        <w:rPr>
          <w:lang w:val="de-DE"/>
        </w:rPr>
        <w:t>Es gab einige positive Stimmen zu bestimmten Vorschlägen in Absatz 8 des informellen Dokuments, aber der Sicherheitsausschuss hielt eine Entscheidung auf der Grundlage eines verspäteten</w:t>
      </w:r>
      <w:r w:rsidR="002C2392" w:rsidRPr="000974A4">
        <w:rPr>
          <w:lang w:val="de-DE"/>
        </w:rPr>
        <w:t>,</w:t>
      </w:r>
      <w:r w:rsidR="009A1B5D" w:rsidRPr="000974A4">
        <w:rPr>
          <w:lang w:val="de-DE"/>
        </w:rPr>
        <w:t xml:space="preserve"> </w:t>
      </w:r>
      <w:r w:rsidR="002C2392" w:rsidRPr="000974A4">
        <w:rPr>
          <w:lang w:val="de-DE"/>
        </w:rPr>
        <w:t xml:space="preserve">nur auf Englisch verfügbaren </w:t>
      </w:r>
      <w:r w:rsidR="009A1B5D" w:rsidRPr="000974A4">
        <w:rPr>
          <w:lang w:val="de-DE"/>
        </w:rPr>
        <w:t xml:space="preserve">informellen Dokuments und </w:t>
      </w:r>
      <w:r w:rsidR="006151C6" w:rsidRPr="000974A4">
        <w:rPr>
          <w:lang w:val="de-DE"/>
        </w:rPr>
        <w:t>ohne</w:t>
      </w:r>
      <w:r w:rsidR="009A1B5D" w:rsidRPr="000974A4">
        <w:rPr>
          <w:lang w:val="de-DE"/>
        </w:rPr>
        <w:t xml:space="preserve"> detaillierteren Vorschlag für verfrüht.</w:t>
      </w:r>
      <w:r w:rsidR="006C5078" w:rsidRPr="000974A4">
        <w:rPr>
          <w:lang w:val="de-DE"/>
        </w:rPr>
        <w:t xml:space="preserve"> </w:t>
      </w:r>
      <w:r w:rsidR="003031F1" w:rsidRPr="000974A4">
        <w:rPr>
          <w:lang w:val="de-DE"/>
        </w:rPr>
        <w:t>Angesichts der Tatsache</w:t>
      </w:r>
      <w:r w:rsidR="002C2392" w:rsidRPr="000974A4">
        <w:rPr>
          <w:lang w:val="de-DE"/>
        </w:rPr>
        <w:t xml:space="preserve">, dass </w:t>
      </w:r>
      <w:r w:rsidR="00FF3E28" w:rsidRPr="000974A4">
        <w:rPr>
          <w:lang w:val="de-DE"/>
        </w:rPr>
        <w:t xml:space="preserve">sich </w:t>
      </w:r>
      <w:r w:rsidR="002C2392" w:rsidRPr="000974A4">
        <w:rPr>
          <w:lang w:val="de-DE"/>
        </w:rPr>
        <w:t>der Forschungsbericht i</w:t>
      </w:r>
      <w:r w:rsidR="003031F1" w:rsidRPr="000974A4">
        <w:rPr>
          <w:lang w:val="de-DE"/>
        </w:rPr>
        <w:t xml:space="preserve">n der </w:t>
      </w:r>
      <w:r w:rsidR="002C2392" w:rsidRPr="000974A4">
        <w:rPr>
          <w:lang w:val="de-DE"/>
        </w:rPr>
        <w:t>An</w:t>
      </w:r>
      <w:r w:rsidR="003031F1" w:rsidRPr="000974A4">
        <w:rPr>
          <w:lang w:val="de-DE"/>
        </w:rPr>
        <w:t>l</w:t>
      </w:r>
      <w:r w:rsidR="002C2392" w:rsidRPr="000974A4">
        <w:rPr>
          <w:lang w:val="de-DE"/>
        </w:rPr>
        <w:t>ag</w:t>
      </w:r>
      <w:r w:rsidR="003031F1" w:rsidRPr="000974A4">
        <w:rPr>
          <w:lang w:val="de-DE"/>
        </w:rPr>
        <w:t>e</w:t>
      </w:r>
      <w:r w:rsidR="002C2392" w:rsidRPr="000974A4">
        <w:rPr>
          <w:lang w:val="de-DE"/>
        </w:rPr>
        <w:t xml:space="preserve"> des informellen Dokuments auf Schulungsmaterialien und Prüfungen</w:t>
      </w:r>
      <w:r w:rsidR="003031F1" w:rsidRPr="000974A4">
        <w:rPr>
          <w:lang w:val="de-DE"/>
        </w:rPr>
        <w:t xml:space="preserve"> in niederländischer Sprache</w:t>
      </w:r>
      <w:r w:rsidR="002C2392" w:rsidRPr="000974A4">
        <w:rPr>
          <w:lang w:val="de-DE"/>
        </w:rPr>
        <w:t xml:space="preserve"> bezieht, </w:t>
      </w:r>
      <w:r w:rsidR="008862BD" w:rsidRPr="000974A4">
        <w:rPr>
          <w:lang w:val="de-DE"/>
        </w:rPr>
        <w:t>bat</w:t>
      </w:r>
      <w:r w:rsidR="003031F1" w:rsidRPr="000974A4">
        <w:rPr>
          <w:lang w:val="de-DE"/>
        </w:rPr>
        <w:t xml:space="preserve"> der Sicherheitsausschuss </w:t>
      </w:r>
      <w:r w:rsidR="002C2392" w:rsidRPr="000974A4">
        <w:rPr>
          <w:lang w:val="de-DE"/>
        </w:rPr>
        <w:t xml:space="preserve">den </w:t>
      </w:r>
      <w:r w:rsidR="003031F1" w:rsidRPr="000974A4">
        <w:rPr>
          <w:lang w:val="de-DE"/>
        </w:rPr>
        <w:t>EBU-</w:t>
      </w:r>
      <w:r w:rsidR="002C2392" w:rsidRPr="000974A4">
        <w:rPr>
          <w:lang w:val="de-DE"/>
        </w:rPr>
        <w:t xml:space="preserve">Vertreter zu prüfen, ob </w:t>
      </w:r>
      <w:r w:rsidR="00FF3E28" w:rsidRPr="000974A4">
        <w:rPr>
          <w:lang w:val="de-DE"/>
        </w:rPr>
        <w:t>seine</w:t>
      </w:r>
      <w:r w:rsidR="002C2392" w:rsidRPr="000974A4">
        <w:rPr>
          <w:lang w:val="de-DE"/>
        </w:rPr>
        <w:t xml:space="preserve"> Ergebnisse auf andere Sprachen und Länder </w:t>
      </w:r>
      <w:r w:rsidR="00FF3E28" w:rsidRPr="000974A4">
        <w:rPr>
          <w:lang w:val="de-DE"/>
        </w:rPr>
        <w:t>übertragen</w:t>
      </w:r>
      <w:r w:rsidR="002C2392" w:rsidRPr="000974A4">
        <w:rPr>
          <w:lang w:val="de-DE"/>
        </w:rPr>
        <w:t xml:space="preserve"> werden könn</w:t>
      </w:r>
      <w:r w:rsidR="00FF3E28" w:rsidRPr="000974A4">
        <w:rPr>
          <w:lang w:val="de-DE"/>
        </w:rPr>
        <w:t>t</w:t>
      </w:r>
      <w:r w:rsidR="002C2392" w:rsidRPr="000974A4">
        <w:rPr>
          <w:lang w:val="de-DE"/>
        </w:rPr>
        <w:t>en und ob die aufgeworfenen Fragen</w:t>
      </w:r>
      <w:r w:rsidR="00FF3E28" w:rsidRPr="000974A4">
        <w:rPr>
          <w:lang w:val="de-DE"/>
        </w:rPr>
        <w:t>, wie vorgeschlagen,</w:t>
      </w:r>
      <w:r w:rsidR="002C2392" w:rsidRPr="000974A4">
        <w:rPr>
          <w:lang w:val="de-DE"/>
        </w:rPr>
        <w:t xml:space="preserve"> durch Verlängerung der Prüfungszeit oder</w:t>
      </w:r>
      <w:r w:rsidR="00CA123C" w:rsidRPr="000974A4">
        <w:rPr>
          <w:lang w:val="de-DE"/>
        </w:rPr>
        <w:t xml:space="preserve"> </w:t>
      </w:r>
      <w:r w:rsidR="002C2392" w:rsidRPr="000974A4">
        <w:rPr>
          <w:lang w:val="de-DE"/>
        </w:rPr>
        <w:t xml:space="preserve">durch Begrenzung der Anzahl der </w:t>
      </w:r>
      <w:r w:rsidR="00FF3E28" w:rsidRPr="000974A4">
        <w:rPr>
          <w:lang w:val="de-DE"/>
        </w:rPr>
        <w:t>Antwort</w:t>
      </w:r>
      <w:r w:rsidR="002C2392" w:rsidRPr="000974A4">
        <w:rPr>
          <w:lang w:val="de-DE"/>
        </w:rPr>
        <w:t xml:space="preserve">möglichkeiten </w:t>
      </w:r>
      <w:r w:rsidR="00FF3E28" w:rsidRPr="000974A4">
        <w:rPr>
          <w:lang w:val="de-DE"/>
        </w:rPr>
        <w:t>pro</w:t>
      </w:r>
      <w:r w:rsidR="002C2392" w:rsidRPr="000974A4">
        <w:rPr>
          <w:lang w:val="de-DE"/>
        </w:rPr>
        <w:t xml:space="preserve"> Frage gelöst werden könn</w:t>
      </w:r>
      <w:r w:rsidR="00FF3E28" w:rsidRPr="000974A4">
        <w:rPr>
          <w:lang w:val="de-DE"/>
        </w:rPr>
        <w:t>t</w:t>
      </w:r>
      <w:r w:rsidR="002C2392" w:rsidRPr="000974A4">
        <w:rPr>
          <w:lang w:val="de-DE"/>
        </w:rPr>
        <w:t>en</w:t>
      </w:r>
      <w:r w:rsidR="00FF3E28" w:rsidRPr="000974A4">
        <w:rPr>
          <w:lang w:val="de-DE"/>
        </w:rPr>
        <w:t>.</w:t>
      </w:r>
      <w:r w:rsidR="006C5078" w:rsidRPr="000974A4">
        <w:rPr>
          <w:lang w:val="de-DE"/>
        </w:rPr>
        <w:t xml:space="preserve"> </w:t>
      </w:r>
      <w:r w:rsidR="00FF3E28" w:rsidRPr="000974A4">
        <w:rPr>
          <w:lang w:val="de-DE"/>
        </w:rPr>
        <w:t>Der Vertreter Deutschlands schlug vor, auch Informationen von nationalen Ausbildungs-, Prüfungs- und Forschungseinrichtungen in anderen Ländern zu berücksichtigen.</w:t>
      </w:r>
      <w:r w:rsidR="006C5078" w:rsidRPr="000974A4">
        <w:rPr>
          <w:lang w:val="de-DE"/>
        </w:rPr>
        <w:t xml:space="preserve"> </w:t>
      </w:r>
    </w:p>
    <w:p w14:paraId="2914A81B" w14:textId="51A4A391" w:rsidR="006C5078" w:rsidRPr="000974A4" w:rsidRDefault="00AE43C0" w:rsidP="00CA123C">
      <w:pPr>
        <w:pStyle w:val="SingleTxtG"/>
        <w:rPr>
          <w:lang w:val="de-DE"/>
        </w:rPr>
      </w:pPr>
      <w:r w:rsidRPr="000974A4">
        <w:rPr>
          <w:lang w:val="de-DE"/>
        </w:rPr>
        <w:t>28</w:t>
      </w:r>
      <w:r w:rsidR="006C5078" w:rsidRPr="000974A4">
        <w:rPr>
          <w:lang w:val="de-DE"/>
        </w:rPr>
        <w:t>.</w:t>
      </w:r>
      <w:r w:rsidR="006C5078" w:rsidRPr="000974A4">
        <w:rPr>
          <w:lang w:val="de-DE"/>
        </w:rPr>
        <w:tab/>
      </w:r>
      <w:r w:rsidR="00FF3E28" w:rsidRPr="000974A4">
        <w:rPr>
          <w:lang w:val="de-DE"/>
        </w:rPr>
        <w:t xml:space="preserve">Der Sicherheitsausschuss nahm mit Befriedigung zur Kenntnis, dass der </w:t>
      </w:r>
      <w:r w:rsidR="00031D2E" w:rsidRPr="000974A4">
        <w:rPr>
          <w:lang w:val="de-DE"/>
        </w:rPr>
        <w:t>EBU-</w:t>
      </w:r>
      <w:r w:rsidR="00FF3E28" w:rsidRPr="000974A4">
        <w:rPr>
          <w:lang w:val="de-DE"/>
        </w:rPr>
        <w:t xml:space="preserve">Vertreter eine deutsche Fassung des Berichts vorlegen wird, um künftige Beratungen zu erleichtern, und </w:t>
      </w:r>
      <w:r w:rsidR="00031D2E" w:rsidRPr="000974A4">
        <w:rPr>
          <w:lang w:val="de-DE"/>
        </w:rPr>
        <w:t>bat</w:t>
      </w:r>
      <w:r w:rsidR="00FF3E28" w:rsidRPr="000974A4">
        <w:rPr>
          <w:lang w:val="de-DE"/>
        </w:rPr>
        <w:t xml:space="preserve"> ihn, mit </w:t>
      </w:r>
      <w:r w:rsidR="00031D2E" w:rsidRPr="000974A4">
        <w:rPr>
          <w:lang w:val="de-DE"/>
        </w:rPr>
        <w:t xml:space="preserve">den </w:t>
      </w:r>
      <w:r w:rsidR="00FF3E28" w:rsidRPr="000974A4">
        <w:rPr>
          <w:lang w:val="de-DE"/>
        </w:rPr>
        <w:t xml:space="preserve">anderen Delegationen und der informellen Arbeitsgruppe </w:t>
      </w:r>
      <w:r w:rsidR="00031D2E" w:rsidRPr="000974A4">
        <w:rPr>
          <w:lang w:val="de-DE"/>
        </w:rPr>
        <w:t>„</w:t>
      </w:r>
      <w:proofErr w:type="spellStart"/>
      <w:r w:rsidR="00031D2E" w:rsidRPr="000974A4">
        <w:rPr>
          <w:lang w:val="de-DE"/>
        </w:rPr>
        <w:t>Sachkundigena</w:t>
      </w:r>
      <w:r w:rsidR="00FF3E28" w:rsidRPr="000974A4">
        <w:rPr>
          <w:lang w:val="de-DE"/>
        </w:rPr>
        <w:t>usbildung</w:t>
      </w:r>
      <w:proofErr w:type="spellEnd"/>
      <w:r w:rsidR="00031D2E" w:rsidRPr="000974A4">
        <w:rPr>
          <w:lang w:val="de-DE"/>
        </w:rPr>
        <w:t>“</w:t>
      </w:r>
      <w:r w:rsidR="00FF3E28" w:rsidRPr="000974A4">
        <w:rPr>
          <w:lang w:val="de-DE"/>
        </w:rPr>
        <w:t xml:space="preserve"> zusammenzuarbeiten, um den Vorschlag </w:t>
      </w:r>
      <w:r w:rsidR="00031D2E" w:rsidRPr="000974A4">
        <w:rPr>
          <w:lang w:val="de-DE"/>
        </w:rPr>
        <w:t>unter Berücksichtigung</w:t>
      </w:r>
      <w:r w:rsidR="00FF3E28" w:rsidRPr="000974A4">
        <w:rPr>
          <w:lang w:val="de-DE"/>
        </w:rPr>
        <w:t xml:space="preserve"> der </w:t>
      </w:r>
      <w:r w:rsidR="00031D2E" w:rsidRPr="000974A4">
        <w:rPr>
          <w:lang w:val="de-DE"/>
        </w:rPr>
        <w:t>geäußerten</w:t>
      </w:r>
      <w:r w:rsidR="00FF3E28" w:rsidRPr="000974A4">
        <w:rPr>
          <w:lang w:val="de-DE"/>
        </w:rPr>
        <w:t xml:space="preserve"> Bemerkungen weiterzuentwickeln.</w:t>
      </w:r>
      <w:r w:rsidR="006C5078" w:rsidRPr="000974A4">
        <w:rPr>
          <w:lang w:val="de-DE"/>
        </w:rPr>
        <w:t xml:space="preserve"> </w:t>
      </w:r>
      <w:r w:rsidR="00031D2E" w:rsidRPr="000974A4">
        <w:rPr>
          <w:lang w:val="de-DE"/>
        </w:rPr>
        <w:t>Es wurde festgestellt, dass die Ergebnisse dieser Arbeiten auch für die Donaukommission von Interesse sein könnten, die derzeit Bestimmungen für die Prüfungen entwickelt.</w:t>
      </w:r>
      <w:r w:rsidR="006C5078" w:rsidRPr="000974A4">
        <w:rPr>
          <w:lang w:val="de-DE"/>
        </w:rPr>
        <w:t xml:space="preserve"> </w:t>
      </w:r>
    </w:p>
    <w:p w14:paraId="1881EA47" w14:textId="4ED0881A" w:rsidR="00EF6F9D" w:rsidRPr="000974A4" w:rsidRDefault="00EF6F9D" w:rsidP="004E750C">
      <w:pPr>
        <w:pStyle w:val="H1G"/>
        <w:spacing w:before="120" w:after="120"/>
        <w:rPr>
          <w:lang w:val="de-DE"/>
        </w:rPr>
      </w:pPr>
      <w:r w:rsidRPr="000974A4">
        <w:rPr>
          <w:lang w:val="de-DE"/>
        </w:rPr>
        <w:lastRenderedPageBreak/>
        <w:tab/>
      </w:r>
      <w:r w:rsidR="00031D2E" w:rsidRPr="000974A4">
        <w:rPr>
          <w:lang w:val="de-DE"/>
        </w:rPr>
        <w:t>E.</w:t>
      </w:r>
      <w:r w:rsidRPr="000974A4">
        <w:rPr>
          <w:lang w:val="de-DE"/>
        </w:rPr>
        <w:tab/>
      </w:r>
      <w:r w:rsidR="00031D2E" w:rsidRPr="000974A4">
        <w:rPr>
          <w:lang w:val="de-DE"/>
        </w:rPr>
        <w:t>Fragen im Zusammenhang mit den Klassifikationsgesellschaften</w:t>
      </w:r>
    </w:p>
    <w:p w14:paraId="4B0570CC" w14:textId="4CE6E863" w:rsidR="00EF6F9D" w:rsidRPr="000974A4" w:rsidRDefault="00EF6F9D" w:rsidP="004E750C">
      <w:pPr>
        <w:pStyle w:val="H23G"/>
        <w:spacing w:before="120"/>
        <w:rPr>
          <w:lang w:val="de-DE"/>
        </w:rPr>
      </w:pPr>
      <w:r w:rsidRPr="000974A4">
        <w:rPr>
          <w:lang w:val="de-DE"/>
        </w:rPr>
        <w:tab/>
        <w:t>1.</w:t>
      </w:r>
      <w:r w:rsidRPr="000974A4">
        <w:rPr>
          <w:lang w:val="de-DE"/>
        </w:rPr>
        <w:tab/>
      </w:r>
      <w:r w:rsidR="00031D2E" w:rsidRPr="000974A4">
        <w:rPr>
          <w:lang w:val="de-DE"/>
        </w:rPr>
        <w:t>Protokoll der sechzehnten Sitzung der informellen Arbeitsgruppe „Empfohlene ADN-Klassifikationsgesellschaften“</w:t>
      </w:r>
    </w:p>
    <w:p w14:paraId="2AC51522" w14:textId="0A0261EC" w:rsidR="00EF6F9D" w:rsidRPr="000974A4" w:rsidRDefault="00EF6F9D" w:rsidP="00031D2E">
      <w:pPr>
        <w:tabs>
          <w:tab w:val="left" w:pos="1134"/>
          <w:tab w:val="left" w:pos="1701"/>
          <w:tab w:val="left" w:pos="3119"/>
        </w:tabs>
        <w:spacing w:after="120"/>
        <w:ind w:right="142"/>
        <w:rPr>
          <w:lang w:val="de-DE"/>
        </w:rPr>
      </w:pPr>
      <w:r w:rsidRPr="000974A4">
        <w:rPr>
          <w:lang w:val="de-DE"/>
        </w:rPr>
        <w:tab/>
      </w:r>
      <w:r w:rsidR="00031D2E" w:rsidRPr="000974A4">
        <w:rPr>
          <w:i/>
          <w:iCs/>
          <w:lang w:val="de-DE"/>
        </w:rPr>
        <w:t>Informelles Dokument:</w:t>
      </w:r>
      <w:r w:rsidRPr="000974A4">
        <w:rPr>
          <w:lang w:val="de-DE"/>
        </w:rPr>
        <w:tab/>
      </w:r>
      <w:r w:rsidR="00031D2E" w:rsidRPr="000974A4">
        <w:rPr>
          <w:lang w:val="de-DE"/>
        </w:rPr>
        <w:t>INF.4 (Vorsitzender der informellen Arbeitsgruppe)</w:t>
      </w:r>
      <w:r w:rsidRPr="000974A4">
        <w:rPr>
          <w:lang w:val="de-DE"/>
        </w:rPr>
        <w:t xml:space="preserve"> </w:t>
      </w:r>
    </w:p>
    <w:p w14:paraId="65C876B7" w14:textId="11269910" w:rsidR="00EF6F9D" w:rsidRPr="000974A4" w:rsidRDefault="00AE43C0" w:rsidP="00CA123C">
      <w:pPr>
        <w:pStyle w:val="SingleTxtG"/>
        <w:rPr>
          <w:lang w:val="de-DE"/>
        </w:rPr>
      </w:pPr>
      <w:r w:rsidRPr="000974A4">
        <w:rPr>
          <w:lang w:val="de-DE"/>
        </w:rPr>
        <w:t>29</w:t>
      </w:r>
      <w:r w:rsidR="00EF6F9D" w:rsidRPr="000974A4">
        <w:rPr>
          <w:lang w:val="de-DE"/>
        </w:rPr>
        <w:t>.</w:t>
      </w:r>
      <w:r w:rsidR="00EF6F9D" w:rsidRPr="000974A4">
        <w:rPr>
          <w:lang w:val="de-DE"/>
        </w:rPr>
        <w:tab/>
      </w:r>
      <w:r w:rsidR="00031D2E" w:rsidRPr="000974A4">
        <w:rPr>
          <w:lang w:val="de-DE"/>
        </w:rPr>
        <w:t>Der Sicherheitsausschuss nahm den Bericht der informellen Arbeitsgruppe zur Kenntnis und befasste sich speziell mit den Punkten 2 e), 4 d), 4 e) und 4 f) des Berichts</w:t>
      </w:r>
      <w:r w:rsidR="00CA123C" w:rsidRPr="000974A4">
        <w:rPr>
          <w:lang w:val="de-DE"/>
        </w:rPr>
        <w:t>, und zwar mit</w:t>
      </w:r>
      <w:r w:rsidR="00031D2E" w:rsidRPr="000974A4">
        <w:rPr>
          <w:lang w:val="de-DE"/>
        </w:rPr>
        <w:t xml:space="preserve"> folg</w:t>
      </w:r>
      <w:r w:rsidR="00CA123C" w:rsidRPr="000974A4">
        <w:rPr>
          <w:lang w:val="de-DE"/>
        </w:rPr>
        <w:t>endem Ergebnis</w:t>
      </w:r>
      <w:r w:rsidR="00031D2E" w:rsidRPr="000974A4">
        <w:rPr>
          <w:lang w:val="de-DE"/>
        </w:rPr>
        <w:t>:</w:t>
      </w:r>
      <w:r w:rsidR="00EF6F9D" w:rsidRPr="000974A4">
        <w:rPr>
          <w:lang w:val="de-DE"/>
        </w:rPr>
        <w:t xml:space="preserve"> </w:t>
      </w:r>
    </w:p>
    <w:p w14:paraId="7B51D48A" w14:textId="502CFED5" w:rsidR="00CA123C" w:rsidRPr="000974A4" w:rsidRDefault="00CA123C" w:rsidP="004E750C">
      <w:pPr>
        <w:pStyle w:val="Bullet1G"/>
        <w:numPr>
          <w:ilvl w:val="0"/>
          <w:numId w:val="8"/>
        </w:numPr>
        <w:tabs>
          <w:tab w:val="clear" w:pos="1701"/>
        </w:tabs>
        <w:ind w:left="1418" w:hanging="284"/>
        <w:rPr>
          <w:lang w:val="de-DE"/>
        </w:rPr>
      </w:pPr>
      <w:r w:rsidRPr="000974A4">
        <w:rPr>
          <w:lang w:val="de-DE"/>
        </w:rPr>
        <w:t xml:space="preserve">Nutzung der </w:t>
      </w:r>
      <w:proofErr w:type="spellStart"/>
      <w:r w:rsidRPr="000974A4">
        <w:rPr>
          <w:lang w:val="de-DE"/>
        </w:rPr>
        <w:t>Boil</w:t>
      </w:r>
      <w:proofErr w:type="spellEnd"/>
      <w:r w:rsidRPr="000974A4">
        <w:rPr>
          <w:lang w:val="de-DE"/>
        </w:rPr>
        <w:t>-Off-Gase von LNG als Brennstoff (Punkt 2 e)): Der Sicherheitsausschuss kam überein, dass die bestehenden Bestimmungen des Internationalen Codes für die Beförderung von Gasen (IGC-Code) der Internationalen Seeschifffahrtsorganisation als Grundlage für die Entwicklung entsprechender ADN-Bestimmungen dienen sollten.</w:t>
      </w:r>
    </w:p>
    <w:p w14:paraId="3D27459D" w14:textId="07E3459C" w:rsidR="00CA123C" w:rsidRPr="000974A4" w:rsidRDefault="00CA123C" w:rsidP="004E750C">
      <w:pPr>
        <w:pStyle w:val="Bullet1G"/>
        <w:numPr>
          <w:ilvl w:val="0"/>
          <w:numId w:val="8"/>
        </w:numPr>
        <w:tabs>
          <w:tab w:val="clear" w:pos="1701"/>
        </w:tabs>
        <w:ind w:left="1418" w:hanging="284"/>
        <w:rPr>
          <w:lang w:val="de-DE"/>
        </w:rPr>
      </w:pPr>
      <w:r w:rsidRPr="000974A4">
        <w:rPr>
          <w:lang w:val="de-DE"/>
        </w:rPr>
        <w:t>Zu den Fristen der Übergangsbestimmungen für 9.3.x.24 und 9.3.x.21.1 und des multilateralen Abkommens M018 (Punkt 4 d)): Nach Anhörung der Meinungen und Bedenken mehrerer Delegationen stellte der Sicherheitsausschuss fest, dass die Übergangsbestimmungen für 9.3.x.24 und 9.3.x.21.1 möglicherweise gestrichen werden müssen, und begrüßte einen entsprechenden Vorschlag für die nächste Sitzung. In Anbetracht der Tatsache, dass neue Änderungen des ADN erst zum 1.</w:t>
      </w:r>
      <w:r w:rsidR="00F02414" w:rsidRPr="000974A4">
        <w:rPr>
          <w:lang w:val="de-DE"/>
        </w:rPr>
        <w:t> </w:t>
      </w:r>
      <w:r w:rsidRPr="000974A4">
        <w:rPr>
          <w:lang w:val="de-DE"/>
        </w:rPr>
        <w:t>Januar 2021 in Kraft treten können, erklärten sich mehrere Delegationen bereit, das multilaterale Abkommen M018 zu aktualisieren und bis zum 31. Dezember 2023 zu verlängern. Es wurde festgestellt, dass die derzeitige Übergangsfrist für Art und Standort von elektrischen Anlagen und Geräten, die zur Verwendung in explosionsgefährdeten Bereichen bestimmt sind, in Absatz 9.3.x.53.1 unverändert bleibt.</w:t>
      </w:r>
    </w:p>
    <w:p w14:paraId="67808F88" w14:textId="1BF09554" w:rsidR="00CA123C" w:rsidRPr="000974A4" w:rsidRDefault="00CA123C" w:rsidP="004E750C">
      <w:pPr>
        <w:pStyle w:val="Bullet1G"/>
        <w:numPr>
          <w:ilvl w:val="0"/>
          <w:numId w:val="8"/>
        </w:numPr>
        <w:tabs>
          <w:tab w:val="clear" w:pos="1701"/>
        </w:tabs>
        <w:ind w:left="1418" w:hanging="284"/>
        <w:rPr>
          <w:lang w:val="de-DE"/>
        </w:rPr>
      </w:pPr>
      <w:r w:rsidRPr="000974A4">
        <w:rPr>
          <w:lang w:val="de-DE"/>
        </w:rPr>
        <w:t>Zur Verwendung von Tanks, die größer als 1000 m</w:t>
      </w:r>
      <w:r w:rsidRPr="000974A4">
        <w:rPr>
          <w:vertAlign w:val="superscript"/>
          <w:lang w:val="de-DE"/>
        </w:rPr>
        <w:t>3</w:t>
      </w:r>
      <w:r w:rsidRPr="000974A4">
        <w:rPr>
          <w:lang w:val="de-DE"/>
        </w:rPr>
        <w:t xml:space="preserve"> sind (Punkte 2 e) und 4 e)): In Anbetracht der aktuellen Entwicklung hin zu einer verstärkten Nutzung großer Ladetanks ersuchte der Sicherheitsausschuss die Empfohlenen ADN-Klassifikationsgesellschaften, auch die bestehenden Praktiken für die Nutzung solcher Ladetanks zu berücksichtigen, damit der Sicherheitsausschuss beurteilen kann, ob spezifische Bestimmungen zur Behandlung von Sicherheitsfragen (z. B. anwendbare Füllraten, Stabilitätsanforderungen usw.) entwickelt werden müssen.</w:t>
      </w:r>
    </w:p>
    <w:p w14:paraId="5048990B" w14:textId="1274FE3F" w:rsidR="00CA123C" w:rsidRPr="000974A4" w:rsidRDefault="00CA123C" w:rsidP="004E750C">
      <w:pPr>
        <w:pStyle w:val="Bullet1G"/>
        <w:numPr>
          <w:ilvl w:val="0"/>
          <w:numId w:val="8"/>
        </w:numPr>
        <w:tabs>
          <w:tab w:val="clear" w:pos="1701"/>
        </w:tabs>
        <w:ind w:left="1418" w:hanging="284"/>
        <w:rPr>
          <w:lang w:val="de-DE"/>
        </w:rPr>
      </w:pPr>
      <w:r w:rsidRPr="000974A4">
        <w:rPr>
          <w:lang w:val="de-DE"/>
        </w:rPr>
        <w:t xml:space="preserve">Zu Hochgeschwindigkeitsraten im Zusammenhang mit höheren Temperaturen (Punkt 4 (f)): Der Sicherheitsausschuss ersuchte die Empfohlenen ADN-Klassifikationsgesellschaften, die vorgeschlagene Auslegung unter Berücksichtigung der derzeitigen Gleichwertigkeitskriterien in Absatz 1.3.5.3.1 ADN zu überdenken und für die nächste Sitzung ein offizielles Dokument mit einem konkreten Vorschlag vorzulegen. </w:t>
      </w:r>
    </w:p>
    <w:p w14:paraId="68A6E4EB" w14:textId="413846DD" w:rsidR="00EF6F9D" w:rsidRPr="000974A4" w:rsidRDefault="00EF6F9D" w:rsidP="004E750C">
      <w:pPr>
        <w:pStyle w:val="H23G"/>
        <w:spacing w:before="120"/>
        <w:rPr>
          <w:lang w:val="de-DE"/>
        </w:rPr>
      </w:pPr>
      <w:r w:rsidRPr="000974A4">
        <w:rPr>
          <w:lang w:val="de-DE"/>
        </w:rPr>
        <w:tab/>
        <w:t>2.</w:t>
      </w:r>
      <w:r w:rsidRPr="000974A4">
        <w:rPr>
          <w:lang w:val="de-DE"/>
        </w:rPr>
        <w:tab/>
      </w:r>
      <w:r w:rsidR="00317532" w:rsidRPr="000974A4">
        <w:rPr>
          <w:lang w:val="de-DE"/>
        </w:rPr>
        <w:t>Anerkennung von Klassifikationsgesellschaften</w:t>
      </w:r>
    </w:p>
    <w:p w14:paraId="65A8FD56" w14:textId="3A62F88D" w:rsidR="00EF6F9D" w:rsidRPr="000974A4" w:rsidRDefault="00EF6F9D" w:rsidP="00CA123C">
      <w:pPr>
        <w:tabs>
          <w:tab w:val="left" w:pos="1134"/>
          <w:tab w:val="left" w:pos="1701"/>
          <w:tab w:val="left" w:pos="3119"/>
        </w:tabs>
        <w:spacing w:after="120"/>
        <w:rPr>
          <w:lang w:val="de-DE"/>
        </w:rPr>
      </w:pPr>
      <w:r w:rsidRPr="000974A4">
        <w:rPr>
          <w:lang w:val="de-DE"/>
        </w:rPr>
        <w:tab/>
      </w:r>
      <w:r w:rsidR="00317532" w:rsidRPr="000974A4">
        <w:rPr>
          <w:i/>
          <w:iCs/>
          <w:lang w:val="de-DE"/>
        </w:rPr>
        <w:t>Informelles Dokument:</w:t>
      </w:r>
      <w:r w:rsidRPr="000974A4">
        <w:rPr>
          <w:lang w:val="de-DE"/>
        </w:rPr>
        <w:tab/>
      </w:r>
      <w:r w:rsidR="00317532" w:rsidRPr="000974A4">
        <w:rPr>
          <w:lang w:val="de-DE"/>
        </w:rPr>
        <w:t>INF.13 (Niederlande)</w:t>
      </w:r>
    </w:p>
    <w:p w14:paraId="1F0BB0A6" w14:textId="65911215" w:rsidR="00EF6F9D" w:rsidRPr="000974A4" w:rsidRDefault="00AE43C0" w:rsidP="00CA123C">
      <w:pPr>
        <w:pStyle w:val="SingleTxtG"/>
        <w:rPr>
          <w:lang w:val="de-DE"/>
        </w:rPr>
      </w:pPr>
      <w:r w:rsidRPr="000974A4">
        <w:rPr>
          <w:lang w:val="de-DE"/>
        </w:rPr>
        <w:t>30</w:t>
      </w:r>
      <w:r w:rsidR="00EF6F9D" w:rsidRPr="000974A4">
        <w:rPr>
          <w:lang w:val="de-DE"/>
        </w:rPr>
        <w:t>.</w:t>
      </w:r>
      <w:r w:rsidR="00EF6F9D" w:rsidRPr="000974A4">
        <w:rPr>
          <w:lang w:val="de-DE"/>
        </w:rPr>
        <w:tab/>
      </w:r>
      <w:r w:rsidR="00E331E2" w:rsidRPr="000974A4">
        <w:rPr>
          <w:lang w:val="de-DE"/>
        </w:rPr>
        <w:t>Der Sicherheitsausschuss nahm die Empfehlung des Sachverständigenausschusses zur Kenntnis und stellte fest, dass der Verwaltungsausschuss sie auf seiner zweiundzwanzigsten Sitzung prüfen wird.</w:t>
      </w:r>
    </w:p>
    <w:p w14:paraId="1E849311" w14:textId="3C164992" w:rsidR="00EF6F9D" w:rsidRPr="000974A4" w:rsidRDefault="00EF6F9D" w:rsidP="004E750C">
      <w:pPr>
        <w:pStyle w:val="H23G"/>
        <w:spacing w:before="120"/>
        <w:rPr>
          <w:lang w:val="de-DE"/>
        </w:rPr>
      </w:pPr>
      <w:r w:rsidRPr="000974A4">
        <w:rPr>
          <w:lang w:val="de-DE"/>
        </w:rPr>
        <w:tab/>
        <w:t>3.</w:t>
      </w:r>
      <w:r w:rsidRPr="000974A4">
        <w:rPr>
          <w:lang w:val="de-DE"/>
        </w:rPr>
        <w:tab/>
      </w:r>
      <w:r w:rsidR="00E331E2" w:rsidRPr="000974A4">
        <w:rPr>
          <w:lang w:val="de-DE"/>
        </w:rPr>
        <w:t>Aktueller Stand der Zulassung von Ladungsrechnern</w:t>
      </w:r>
    </w:p>
    <w:p w14:paraId="5F0AC6F2" w14:textId="66A6633E" w:rsidR="00EF6F9D" w:rsidRPr="000974A4" w:rsidRDefault="00EF6F9D" w:rsidP="00E331E2">
      <w:pPr>
        <w:tabs>
          <w:tab w:val="left" w:pos="1134"/>
          <w:tab w:val="left" w:pos="1701"/>
          <w:tab w:val="left" w:pos="3119"/>
        </w:tabs>
        <w:spacing w:after="120"/>
        <w:rPr>
          <w:lang w:val="de-DE"/>
        </w:rPr>
      </w:pPr>
      <w:r w:rsidRPr="000974A4">
        <w:rPr>
          <w:lang w:val="de-DE"/>
        </w:rPr>
        <w:tab/>
      </w:r>
      <w:r w:rsidR="00E331E2" w:rsidRPr="000974A4">
        <w:rPr>
          <w:i/>
          <w:iCs/>
          <w:lang w:val="de-DE"/>
        </w:rPr>
        <w:t>Informelles Dokument:</w:t>
      </w:r>
      <w:r w:rsidRPr="000974A4">
        <w:rPr>
          <w:lang w:val="de-DE"/>
        </w:rPr>
        <w:tab/>
      </w:r>
      <w:r w:rsidR="00E331E2" w:rsidRPr="000974A4">
        <w:rPr>
          <w:lang w:val="de-DE"/>
        </w:rPr>
        <w:t>INF.16 (Empfohlene ADN-Klassifikationsgesellschaften)</w:t>
      </w:r>
    </w:p>
    <w:p w14:paraId="3B7F0E9A" w14:textId="4AF1090D" w:rsidR="00EF6F9D" w:rsidRPr="000974A4" w:rsidRDefault="00AE43C0" w:rsidP="00A07FA1">
      <w:pPr>
        <w:pStyle w:val="SingleTxtG"/>
        <w:rPr>
          <w:lang w:val="de-DE"/>
        </w:rPr>
      </w:pPr>
      <w:r w:rsidRPr="000974A4">
        <w:rPr>
          <w:lang w:val="de-DE"/>
        </w:rPr>
        <w:t>31</w:t>
      </w:r>
      <w:r w:rsidR="00EF6F9D" w:rsidRPr="000974A4">
        <w:rPr>
          <w:lang w:val="de-DE"/>
        </w:rPr>
        <w:t>.</w:t>
      </w:r>
      <w:r w:rsidR="00EF6F9D" w:rsidRPr="000974A4">
        <w:rPr>
          <w:lang w:val="de-DE"/>
        </w:rPr>
        <w:tab/>
      </w:r>
      <w:r w:rsidR="00D927F9" w:rsidRPr="000974A4">
        <w:rPr>
          <w:lang w:val="de-DE"/>
        </w:rPr>
        <w:t>Der Sicherheitsausschuss begrüßte die Informationen der Empfohlenen ADN-Klassifikationsgesellschaften über den aktuellen Stand der Zulassung von Ladungsrechnern.</w:t>
      </w:r>
      <w:r w:rsidR="00EF6F9D" w:rsidRPr="000974A4">
        <w:rPr>
          <w:lang w:val="de-DE"/>
        </w:rPr>
        <w:t xml:space="preserve"> </w:t>
      </w:r>
    </w:p>
    <w:p w14:paraId="145FF7E0" w14:textId="2F351D99" w:rsidR="00EF6F9D" w:rsidRPr="000974A4" w:rsidRDefault="00AE43C0" w:rsidP="00A07FA1">
      <w:pPr>
        <w:pStyle w:val="SingleTxtG"/>
        <w:rPr>
          <w:lang w:val="de-DE"/>
        </w:rPr>
      </w:pPr>
      <w:r w:rsidRPr="000974A4">
        <w:rPr>
          <w:lang w:val="de-DE"/>
        </w:rPr>
        <w:t>32</w:t>
      </w:r>
      <w:r w:rsidR="00EF6F9D" w:rsidRPr="000974A4">
        <w:rPr>
          <w:lang w:val="de-DE"/>
        </w:rPr>
        <w:t>.</w:t>
      </w:r>
      <w:r w:rsidR="00EF6F9D" w:rsidRPr="000974A4">
        <w:rPr>
          <w:lang w:val="de-DE"/>
        </w:rPr>
        <w:tab/>
      </w:r>
      <w:r w:rsidR="00D927F9" w:rsidRPr="000974A4">
        <w:rPr>
          <w:lang w:val="de-DE"/>
        </w:rPr>
        <w:t xml:space="preserve">Jedoch wurde festgestellt, dass Informationen des </w:t>
      </w:r>
      <w:proofErr w:type="spellStart"/>
      <w:r w:rsidR="00D927F9" w:rsidRPr="000974A4">
        <w:rPr>
          <w:lang w:val="de-DE"/>
        </w:rPr>
        <w:t>Registro</w:t>
      </w:r>
      <w:proofErr w:type="spellEnd"/>
      <w:r w:rsidR="00D927F9" w:rsidRPr="000974A4">
        <w:rPr>
          <w:lang w:val="de-DE"/>
        </w:rPr>
        <w:t xml:space="preserve"> </w:t>
      </w:r>
      <w:proofErr w:type="spellStart"/>
      <w:r w:rsidR="00D927F9" w:rsidRPr="000974A4">
        <w:rPr>
          <w:lang w:val="de-DE"/>
        </w:rPr>
        <w:t>Italiano</w:t>
      </w:r>
      <w:proofErr w:type="spellEnd"/>
      <w:r w:rsidR="00D927F9" w:rsidRPr="000974A4">
        <w:rPr>
          <w:lang w:val="de-DE"/>
        </w:rPr>
        <w:t xml:space="preserve"> </w:t>
      </w:r>
      <w:proofErr w:type="spellStart"/>
      <w:r w:rsidR="00D927F9" w:rsidRPr="000974A4">
        <w:rPr>
          <w:lang w:val="de-DE"/>
        </w:rPr>
        <w:t>Navale</w:t>
      </w:r>
      <w:proofErr w:type="spellEnd"/>
      <w:r w:rsidR="00D927F9" w:rsidRPr="000974A4">
        <w:rPr>
          <w:lang w:val="de-DE"/>
        </w:rPr>
        <w:t xml:space="preserve"> (RINA) sowie des </w:t>
      </w:r>
      <w:proofErr w:type="spellStart"/>
      <w:r w:rsidR="00D927F9" w:rsidRPr="000974A4">
        <w:rPr>
          <w:lang w:val="de-DE"/>
        </w:rPr>
        <w:t>Russian</w:t>
      </w:r>
      <w:proofErr w:type="spellEnd"/>
      <w:r w:rsidR="00D927F9" w:rsidRPr="000974A4">
        <w:rPr>
          <w:lang w:val="de-DE"/>
        </w:rPr>
        <w:t xml:space="preserve"> Maritime Register </w:t>
      </w:r>
      <w:proofErr w:type="spellStart"/>
      <w:r w:rsidR="00D927F9" w:rsidRPr="000974A4">
        <w:rPr>
          <w:lang w:val="de-DE"/>
        </w:rPr>
        <w:t>of</w:t>
      </w:r>
      <w:proofErr w:type="spellEnd"/>
      <w:r w:rsidR="00D927F9" w:rsidRPr="000974A4">
        <w:rPr>
          <w:lang w:val="de-DE"/>
        </w:rPr>
        <w:t xml:space="preserve"> </w:t>
      </w:r>
      <w:proofErr w:type="spellStart"/>
      <w:r w:rsidR="00D927F9" w:rsidRPr="000974A4">
        <w:rPr>
          <w:lang w:val="de-DE"/>
        </w:rPr>
        <w:t>Shipping</w:t>
      </w:r>
      <w:proofErr w:type="spellEnd"/>
      <w:r w:rsidR="00D927F9" w:rsidRPr="000974A4">
        <w:rPr>
          <w:lang w:val="de-DE"/>
        </w:rPr>
        <w:t xml:space="preserve">, des </w:t>
      </w:r>
      <w:proofErr w:type="spellStart"/>
      <w:r w:rsidR="00D927F9" w:rsidRPr="000974A4">
        <w:rPr>
          <w:lang w:val="de-DE"/>
        </w:rPr>
        <w:t>Russian</w:t>
      </w:r>
      <w:proofErr w:type="spellEnd"/>
      <w:r w:rsidR="00D927F9" w:rsidRPr="000974A4">
        <w:rPr>
          <w:lang w:val="de-DE"/>
        </w:rPr>
        <w:t xml:space="preserve"> River Register und des </w:t>
      </w:r>
      <w:proofErr w:type="spellStart"/>
      <w:r w:rsidR="00D927F9" w:rsidRPr="000974A4">
        <w:rPr>
          <w:lang w:val="de-DE"/>
        </w:rPr>
        <w:t>Shipping</w:t>
      </w:r>
      <w:proofErr w:type="spellEnd"/>
      <w:r w:rsidR="00D927F9" w:rsidRPr="000974A4">
        <w:rPr>
          <w:lang w:val="de-DE"/>
        </w:rPr>
        <w:t xml:space="preserve"> Register </w:t>
      </w:r>
      <w:proofErr w:type="spellStart"/>
      <w:r w:rsidR="00D927F9" w:rsidRPr="000974A4">
        <w:rPr>
          <w:lang w:val="de-DE"/>
        </w:rPr>
        <w:t>of</w:t>
      </w:r>
      <w:proofErr w:type="spellEnd"/>
      <w:r w:rsidR="00D927F9" w:rsidRPr="000974A4">
        <w:rPr>
          <w:lang w:val="de-DE"/>
        </w:rPr>
        <w:t xml:space="preserve"> Ukraine fehlen.</w:t>
      </w:r>
    </w:p>
    <w:p w14:paraId="551173B6" w14:textId="77777777" w:rsidR="00A01F93" w:rsidRDefault="00A01F93">
      <w:pPr>
        <w:suppressAutoHyphens w:val="0"/>
        <w:spacing w:line="240" w:lineRule="auto"/>
        <w:rPr>
          <w:lang w:val="de-DE"/>
        </w:rPr>
      </w:pPr>
      <w:r>
        <w:rPr>
          <w:lang w:val="de-DE"/>
        </w:rPr>
        <w:br w:type="page"/>
      </w:r>
    </w:p>
    <w:p w14:paraId="40B4FC41" w14:textId="4C64E0D0" w:rsidR="00EF6F9D" w:rsidRPr="000974A4" w:rsidRDefault="00AE43C0" w:rsidP="00A07FA1">
      <w:pPr>
        <w:pStyle w:val="SingleTxtG"/>
        <w:rPr>
          <w:lang w:val="de-DE"/>
        </w:rPr>
      </w:pPr>
      <w:r w:rsidRPr="000974A4">
        <w:rPr>
          <w:lang w:val="de-DE"/>
        </w:rPr>
        <w:lastRenderedPageBreak/>
        <w:t>33</w:t>
      </w:r>
      <w:r w:rsidR="00EF6F9D" w:rsidRPr="000974A4">
        <w:rPr>
          <w:lang w:val="de-DE"/>
        </w:rPr>
        <w:t>.</w:t>
      </w:r>
      <w:r w:rsidR="00EF6F9D" w:rsidRPr="000974A4">
        <w:rPr>
          <w:lang w:val="de-DE"/>
        </w:rPr>
        <w:tab/>
      </w:r>
      <w:r w:rsidR="004A1F99" w:rsidRPr="000974A4">
        <w:rPr>
          <w:lang w:val="de-DE"/>
        </w:rPr>
        <w:t xml:space="preserve">Der Vertreter der Empfohlenen ADN-Klassifikationsgesellschaften erklärte, dass weder RINA noch die ukrainische Klassifikationsgesellschaft mit Tankschiffen zu tun hätten, für die eine Zulassung von Ladungsrechnern erforderlich </w:t>
      </w:r>
      <w:r w:rsidR="00A07FA1" w:rsidRPr="000974A4">
        <w:rPr>
          <w:lang w:val="de-DE"/>
        </w:rPr>
        <w:t>ist</w:t>
      </w:r>
      <w:r w:rsidR="004A1F99" w:rsidRPr="000974A4">
        <w:rPr>
          <w:lang w:val="de-DE"/>
        </w:rPr>
        <w:t>.</w:t>
      </w:r>
      <w:r w:rsidR="00EF6F9D" w:rsidRPr="000974A4">
        <w:rPr>
          <w:lang w:val="de-DE"/>
        </w:rPr>
        <w:t xml:space="preserve"> </w:t>
      </w:r>
      <w:r w:rsidR="004A1F99" w:rsidRPr="000974A4">
        <w:rPr>
          <w:lang w:val="de-DE"/>
        </w:rPr>
        <w:t xml:space="preserve">Zu den Informationen der beiden </w:t>
      </w:r>
      <w:r w:rsidR="00A07FA1" w:rsidRPr="000974A4">
        <w:rPr>
          <w:lang w:val="de-DE"/>
        </w:rPr>
        <w:t>E</w:t>
      </w:r>
      <w:r w:rsidR="004A1F99" w:rsidRPr="000974A4">
        <w:rPr>
          <w:lang w:val="de-DE"/>
        </w:rPr>
        <w:t>mpfohlenen ADN-Klassifikationsgesellschaften der Russischen Föderation stellte er fest, dass sie nicht an den Sitzungen teilgenommen hätten und keine Daten vorgelegt hätten.</w:t>
      </w:r>
    </w:p>
    <w:p w14:paraId="7A3E2612" w14:textId="40D24DF2" w:rsidR="00EF6F9D" w:rsidRPr="000974A4" w:rsidRDefault="00AE43C0" w:rsidP="00A07FA1">
      <w:pPr>
        <w:pStyle w:val="SingleTxtG"/>
        <w:rPr>
          <w:lang w:val="de-DE"/>
        </w:rPr>
      </w:pPr>
      <w:r w:rsidRPr="000974A4">
        <w:rPr>
          <w:lang w:val="de-DE"/>
        </w:rPr>
        <w:t>34</w:t>
      </w:r>
      <w:r w:rsidR="00EF6F9D" w:rsidRPr="000974A4">
        <w:rPr>
          <w:lang w:val="de-DE"/>
        </w:rPr>
        <w:t>.</w:t>
      </w:r>
      <w:r w:rsidR="00EF6F9D" w:rsidRPr="000974A4">
        <w:rPr>
          <w:lang w:val="de-DE"/>
        </w:rPr>
        <w:tab/>
      </w:r>
      <w:r w:rsidR="004A1F99" w:rsidRPr="000974A4">
        <w:rPr>
          <w:lang w:val="de-DE"/>
        </w:rPr>
        <w:t xml:space="preserve">Der Sicherheitsausschuss bekräftigte die </w:t>
      </w:r>
      <w:r w:rsidR="002E54AB" w:rsidRPr="000974A4">
        <w:rPr>
          <w:lang w:val="de-DE"/>
        </w:rPr>
        <w:t>P</w:t>
      </w:r>
      <w:r w:rsidR="004A1F99" w:rsidRPr="000974A4">
        <w:rPr>
          <w:lang w:val="de-DE"/>
        </w:rPr>
        <w:t xml:space="preserve">flichten der </w:t>
      </w:r>
      <w:r w:rsidR="00A07FA1" w:rsidRPr="000974A4">
        <w:rPr>
          <w:lang w:val="de-DE"/>
        </w:rPr>
        <w:t>E</w:t>
      </w:r>
      <w:r w:rsidR="004A1F99" w:rsidRPr="000974A4">
        <w:rPr>
          <w:lang w:val="de-DE"/>
        </w:rPr>
        <w:t>mpfohlenen ADN-Klassifikationsgesellschaften gemäß Kapitel 1.15 ADN.</w:t>
      </w:r>
      <w:r w:rsidR="00EF6F9D" w:rsidRPr="000974A4">
        <w:rPr>
          <w:lang w:val="de-DE"/>
        </w:rPr>
        <w:t xml:space="preserve"> </w:t>
      </w:r>
    </w:p>
    <w:p w14:paraId="3D478649" w14:textId="7C15C986" w:rsidR="00EF6F9D" w:rsidRPr="000974A4" w:rsidRDefault="00AE43C0" w:rsidP="00A07FA1">
      <w:pPr>
        <w:pStyle w:val="SingleTxtG"/>
        <w:rPr>
          <w:lang w:val="de-DE"/>
        </w:rPr>
      </w:pPr>
      <w:r w:rsidRPr="000974A4">
        <w:rPr>
          <w:lang w:val="de-DE"/>
        </w:rPr>
        <w:t>35</w:t>
      </w:r>
      <w:r w:rsidR="00EF6F9D" w:rsidRPr="000974A4">
        <w:rPr>
          <w:lang w:val="de-DE"/>
        </w:rPr>
        <w:t>.</w:t>
      </w:r>
      <w:r w:rsidR="00EF6F9D" w:rsidRPr="000974A4">
        <w:rPr>
          <w:lang w:val="de-DE"/>
        </w:rPr>
        <w:tab/>
      </w:r>
      <w:r w:rsidR="001B6FE5" w:rsidRPr="000974A4">
        <w:rPr>
          <w:lang w:val="de-DE"/>
        </w:rPr>
        <w:t xml:space="preserve">Der Vertreter der Russischen Föderation erklärte, dass eine Teilnahme der russischen Empfohlenen ADN-Klassifikationsgesellschaften in den letzten Jahren nicht möglich gewesen sei, und bekundete deren Absicht, von nun an </w:t>
      </w:r>
      <w:proofErr w:type="spellStart"/>
      <w:r w:rsidR="001B6FE5" w:rsidRPr="000974A4">
        <w:rPr>
          <w:lang w:val="de-DE"/>
        </w:rPr>
        <w:t>an</w:t>
      </w:r>
      <w:proofErr w:type="spellEnd"/>
      <w:r w:rsidR="001B6FE5" w:rsidRPr="000974A4">
        <w:rPr>
          <w:lang w:val="de-DE"/>
        </w:rPr>
        <w:t xml:space="preserve"> den Sitzungen teilzunehmen.</w:t>
      </w:r>
      <w:r w:rsidR="00EF6F9D" w:rsidRPr="000974A4">
        <w:rPr>
          <w:lang w:val="de-DE"/>
        </w:rPr>
        <w:t xml:space="preserve"> </w:t>
      </w:r>
      <w:r w:rsidR="000A6898" w:rsidRPr="000974A4">
        <w:rPr>
          <w:lang w:val="de-DE"/>
        </w:rPr>
        <w:t>Im Hinblick auf</w:t>
      </w:r>
      <w:r w:rsidR="001B6FE5" w:rsidRPr="000974A4">
        <w:rPr>
          <w:lang w:val="de-DE"/>
        </w:rPr>
        <w:t xml:space="preserve"> d</w:t>
      </w:r>
      <w:r w:rsidR="000A6898" w:rsidRPr="000974A4">
        <w:rPr>
          <w:lang w:val="de-DE"/>
        </w:rPr>
        <w:t>i</w:t>
      </w:r>
      <w:r w:rsidR="001B6FE5" w:rsidRPr="000974A4">
        <w:rPr>
          <w:lang w:val="de-DE"/>
        </w:rPr>
        <w:t xml:space="preserve">e Informationen </w:t>
      </w:r>
      <w:r w:rsidR="00A02992" w:rsidRPr="000974A4">
        <w:rPr>
          <w:lang w:val="de-DE"/>
        </w:rPr>
        <w:t>zum</w:t>
      </w:r>
      <w:r w:rsidR="001B6FE5" w:rsidRPr="000974A4">
        <w:rPr>
          <w:lang w:val="de-DE"/>
        </w:rPr>
        <w:t xml:space="preserve"> Stand der Zulassung von Ladungsrechnern erklärte er, dass russische Schiffe keine internationale Beförderung gefährlicher Güter auf Binnenwasserstraßen durchführten und daher nicht </w:t>
      </w:r>
      <w:r w:rsidR="00A02992" w:rsidRPr="000974A4">
        <w:rPr>
          <w:lang w:val="de-DE"/>
        </w:rPr>
        <w:t xml:space="preserve">unter </w:t>
      </w:r>
      <w:r w:rsidR="001B6FE5" w:rsidRPr="000974A4">
        <w:rPr>
          <w:lang w:val="de-DE"/>
        </w:rPr>
        <w:t>d</w:t>
      </w:r>
      <w:r w:rsidR="00A02992" w:rsidRPr="000974A4">
        <w:rPr>
          <w:lang w:val="de-DE"/>
        </w:rPr>
        <w:t>i</w:t>
      </w:r>
      <w:r w:rsidR="001B6FE5" w:rsidRPr="000974A4">
        <w:rPr>
          <w:lang w:val="de-DE"/>
        </w:rPr>
        <w:t>e ADN-</w:t>
      </w:r>
      <w:r w:rsidR="00A02992" w:rsidRPr="000974A4">
        <w:rPr>
          <w:lang w:val="de-DE"/>
        </w:rPr>
        <w:t>Vorschriften</w:t>
      </w:r>
      <w:r w:rsidR="001B6FE5" w:rsidRPr="000974A4">
        <w:rPr>
          <w:lang w:val="de-DE"/>
        </w:rPr>
        <w:t xml:space="preserve"> für Lad</w:t>
      </w:r>
      <w:r w:rsidR="00A02992" w:rsidRPr="000974A4">
        <w:rPr>
          <w:lang w:val="de-DE"/>
        </w:rPr>
        <w:t>ungsrechner</w:t>
      </w:r>
      <w:r w:rsidR="001B6FE5" w:rsidRPr="000974A4">
        <w:rPr>
          <w:lang w:val="de-DE"/>
        </w:rPr>
        <w:t xml:space="preserve"> </w:t>
      </w:r>
      <w:r w:rsidR="00A02992" w:rsidRPr="000974A4">
        <w:rPr>
          <w:lang w:val="de-DE"/>
        </w:rPr>
        <w:t>fielen</w:t>
      </w:r>
      <w:r w:rsidR="001B6FE5" w:rsidRPr="000974A4">
        <w:rPr>
          <w:lang w:val="de-DE"/>
        </w:rPr>
        <w:t xml:space="preserve">, und </w:t>
      </w:r>
      <w:r w:rsidR="00A02992" w:rsidRPr="000974A4">
        <w:rPr>
          <w:lang w:val="de-DE"/>
        </w:rPr>
        <w:t xml:space="preserve">dass </w:t>
      </w:r>
      <w:r w:rsidR="001B6FE5" w:rsidRPr="000974A4">
        <w:rPr>
          <w:lang w:val="de-DE"/>
        </w:rPr>
        <w:t>dies der Grund</w:t>
      </w:r>
      <w:r w:rsidR="00A02992" w:rsidRPr="000974A4">
        <w:rPr>
          <w:lang w:val="de-DE"/>
        </w:rPr>
        <w:t xml:space="preserve"> sei</w:t>
      </w:r>
      <w:r w:rsidR="001B6FE5" w:rsidRPr="000974A4">
        <w:rPr>
          <w:lang w:val="de-DE"/>
        </w:rPr>
        <w:t>, warum keine Informationen übermittelt wurden.</w:t>
      </w:r>
      <w:r w:rsidR="00EF6F9D" w:rsidRPr="000974A4">
        <w:rPr>
          <w:lang w:val="de-DE"/>
        </w:rPr>
        <w:t xml:space="preserve"> </w:t>
      </w:r>
      <w:r w:rsidR="00A02992" w:rsidRPr="000974A4">
        <w:rPr>
          <w:lang w:val="de-DE"/>
        </w:rPr>
        <w:t>Er wies gleichwohl darauf hin, dass bereits 320 Binnen- und Seeschiffe mit einem Stabilisierungsschutz gemäß den MARPOL-Bestimmungen ausgestattet seien.</w:t>
      </w:r>
    </w:p>
    <w:p w14:paraId="7BF78132" w14:textId="14A23160" w:rsidR="006C5078" w:rsidRPr="000974A4" w:rsidRDefault="006C5078" w:rsidP="004E750C">
      <w:pPr>
        <w:pStyle w:val="HChG"/>
        <w:spacing w:before="240"/>
        <w:rPr>
          <w:lang w:val="de-DE"/>
        </w:rPr>
      </w:pPr>
      <w:r w:rsidRPr="000974A4">
        <w:rPr>
          <w:lang w:val="de-DE"/>
        </w:rPr>
        <w:tab/>
      </w:r>
      <w:r w:rsidR="00CD497F" w:rsidRPr="000974A4">
        <w:rPr>
          <w:lang w:val="de-DE"/>
        </w:rPr>
        <w:t>VI.</w:t>
      </w:r>
      <w:r w:rsidRPr="000974A4">
        <w:rPr>
          <w:lang w:val="de-DE"/>
        </w:rPr>
        <w:tab/>
      </w:r>
      <w:r w:rsidR="00CD497F" w:rsidRPr="000974A4">
        <w:rPr>
          <w:lang w:val="de-DE"/>
        </w:rPr>
        <w:t>Vorschläge für Änderungen der dem ADN beigefügten Verordnung (TOP 5)</w:t>
      </w:r>
    </w:p>
    <w:p w14:paraId="612463D5" w14:textId="3D972E53" w:rsidR="006C5078" w:rsidRPr="000974A4" w:rsidRDefault="006C5078" w:rsidP="004E750C">
      <w:pPr>
        <w:pStyle w:val="H1G"/>
        <w:spacing w:before="240"/>
        <w:rPr>
          <w:lang w:val="de-DE"/>
        </w:rPr>
      </w:pPr>
      <w:r w:rsidRPr="000974A4">
        <w:rPr>
          <w:lang w:val="de-DE"/>
        </w:rPr>
        <w:tab/>
      </w:r>
      <w:r w:rsidR="00CD497F" w:rsidRPr="000974A4">
        <w:rPr>
          <w:lang w:val="de-DE"/>
        </w:rPr>
        <w:t>A.</w:t>
      </w:r>
      <w:r w:rsidRPr="000974A4">
        <w:rPr>
          <w:lang w:val="de-DE"/>
        </w:rPr>
        <w:tab/>
      </w:r>
      <w:r w:rsidR="00CD497F" w:rsidRPr="000974A4">
        <w:rPr>
          <w:lang w:val="de-DE"/>
        </w:rPr>
        <w:t>Arbeiten der Gemeinsamen RID/ADR/ADN-Tagung</w:t>
      </w:r>
    </w:p>
    <w:p w14:paraId="4C16C835" w14:textId="7E1AF2ED" w:rsidR="006C5078" w:rsidRPr="000974A4" w:rsidRDefault="006C5078" w:rsidP="00FA5CAC">
      <w:pPr>
        <w:tabs>
          <w:tab w:val="left" w:pos="1134"/>
          <w:tab w:val="left" w:pos="1701"/>
        </w:tabs>
        <w:spacing w:after="120"/>
        <w:ind w:left="2835" w:right="1133" w:hanging="2835"/>
        <w:jc w:val="both"/>
        <w:rPr>
          <w:lang w:val="de-DE"/>
        </w:rPr>
      </w:pPr>
      <w:r w:rsidRPr="000974A4">
        <w:rPr>
          <w:i/>
          <w:iCs/>
          <w:lang w:val="de-DE"/>
        </w:rPr>
        <w:tab/>
      </w:r>
      <w:r w:rsidR="00CD497F" w:rsidRPr="000974A4">
        <w:rPr>
          <w:i/>
          <w:iCs/>
          <w:lang w:val="de-DE"/>
        </w:rPr>
        <w:t>Dokumente:</w:t>
      </w:r>
      <w:r w:rsidRPr="000974A4">
        <w:rPr>
          <w:lang w:val="de-DE"/>
        </w:rPr>
        <w:t xml:space="preserve"> </w:t>
      </w:r>
      <w:r w:rsidRPr="000974A4">
        <w:rPr>
          <w:lang w:val="de-DE"/>
        </w:rPr>
        <w:tab/>
      </w:r>
      <w:r w:rsidR="00CD497F" w:rsidRPr="000974A4">
        <w:rPr>
          <w:lang w:val="de-DE"/>
        </w:rPr>
        <w:t>ECE/TRANS/WP.15/AC.1/152 (Protokoll über die Herbstsitzung 2018 der Gemeinsamen RID/ADR/ADN-Tagung)</w:t>
      </w:r>
    </w:p>
    <w:p w14:paraId="210B6D53" w14:textId="286BDE9E" w:rsidR="006C5078" w:rsidRPr="000974A4" w:rsidRDefault="00CD497F" w:rsidP="00FA5CAC">
      <w:pPr>
        <w:tabs>
          <w:tab w:val="left" w:pos="1134"/>
          <w:tab w:val="left" w:pos="1701"/>
        </w:tabs>
        <w:spacing w:after="120"/>
        <w:ind w:left="2835" w:right="1133"/>
        <w:jc w:val="both"/>
        <w:rPr>
          <w:lang w:val="de-DE"/>
        </w:rPr>
      </w:pPr>
      <w:r w:rsidRPr="000974A4">
        <w:rPr>
          <w:lang w:val="de-DE"/>
        </w:rPr>
        <w:t>ECE/TRANS/WP.15/244 (Protokoll über die 105. Sitzung der Arbeitsgruppe „Gefährliche Güter“)</w:t>
      </w:r>
    </w:p>
    <w:p w14:paraId="4E6DDB59" w14:textId="768F5469" w:rsidR="006C5078" w:rsidRPr="000974A4" w:rsidRDefault="00AE43C0" w:rsidP="00A07FA1">
      <w:pPr>
        <w:pStyle w:val="SingleTxtG"/>
        <w:rPr>
          <w:lang w:val="de-DE"/>
        </w:rPr>
      </w:pPr>
      <w:r w:rsidRPr="000974A4">
        <w:rPr>
          <w:lang w:val="de-DE"/>
        </w:rPr>
        <w:t>36</w:t>
      </w:r>
      <w:r w:rsidR="006C5078" w:rsidRPr="000974A4">
        <w:rPr>
          <w:lang w:val="de-DE"/>
        </w:rPr>
        <w:t>.</w:t>
      </w:r>
      <w:r w:rsidR="006C5078" w:rsidRPr="000974A4">
        <w:rPr>
          <w:lang w:val="de-DE"/>
        </w:rPr>
        <w:tab/>
      </w:r>
      <w:r w:rsidR="00CD497F" w:rsidRPr="000974A4">
        <w:rPr>
          <w:lang w:val="de-DE"/>
        </w:rPr>
        <w:t xml:space="preserve">Der Sicherheitsausschuss nahm von den laufenden Diskussionen über die Ernennung eines neuen Beraters mit Erfahrung in </w:t>
      </w:r>
      <w:r w:rsidR="00B4622C" w:rsidRPr="000974A4">
        <w:rPr>
          <w:lang w:val="de-DE"/>
        </w:rPr>
        <w:t>Fragen der</w:t>
      </w:r>
      <w:r w:rsidR="00CD497F" w:rsidRPr="000974A4">
        <w:rPr>
          <w:lang w:val="de-DE"/>
        </w:rPr>
        <w:t xml:space="preserve"> für die Arbeit</w:t>
      </w:r>
      <w:r w:rsidR="00471E57" w:rsidRPr="000974A4">
        <w:rPr>
          <w:lang w:val="de-DE"/>
        </w:rPr>
        <w:t>en</w:t>
      </w:r>
      <w:r w:rsidR="00CD497F" w:rsidRPr="000974A4">
        <w:rPr>
          <w:lang w:val="de-DE"/>
        </w:rPr>
        <w:t xml:space="preserve"> der Gemeinsamen RID/ADR/ADN-Tagung relevanten </w:t>
      </w:r>
      <w:r w:rsidR="00471E57" w:rsidRPr="000974A4">
        <w:rPr>
          <w:lang w:val="de-DE"/>
        </w:rPr>
        <w:t>Normen</w:t>
      </w:r>
      <w:r w:rsidR="00B4622C" w:rsidRPr="000974A4">
        <w:rPr>
          <w:lang w:val="de-DE"/>
        </w:rPr>
        <w:t xml:space="preserve"> gemäß dem Protokoll über de</w:t>
      </w:r>
      <w:r w:rsidR="00A07FA1" w:rsidRPr="000974A4">
        <w:rPr>
          <w:lang w:val="de-DE"/>
        </w:rPr>
        <w:t>r</w:t>
      </w:r>
      <w:r w:rsidR="00B4622C" w:rsidRPr="000974A4">
        <w:rPr>
          <w:lang w:val="de-DE"/>
        </w:rPr>
        <w:t>en Herbstsitzung (Dokument ECE/TRANS/WP.15/AC.1/152, Absätze 7-14)</w:t>
      </w:r>
      <w:r w:rsidR="00471E57" w:rsidRPr="000974A4">
        <w:rPr>
          <w:lang w:val="de-DE"/>
        </w:rPr>
        <w:t xml:space="preserve"> Kenntnis.</w:t>
      </w:r>
      <w:r w:rsidR="006C5078" w:rsidRPr="000974A4">
        <w:rPr>
          <w:lang w:val="de-DE"/>
        </w:rPr>
        <w:t xml:space="preserve"> </w:t>
      </w:r>
      <w:r w:rsidR="00F81855" w:rsidRPr="000974A4">
        <w:rPr>
          <w:lang w:val="de-DE"/>
        </w:rPr>
        <w:t>Er stellte ferner fest, dass die Gemeinsame Tagung auf ihrer Frühjahrs</w:t>
      </w:r>
      <w:r w:rsidR="00B116C9" w:rsidRPr="000974A4">
        <w:rPr>
          <w:lang w:val="de-DE"/>
        </w:rPr>
        <w:t>sitzu</w:t>
      </w:r>
      <w:r w:rsidR="00F81855" w:rsidRPr="000974A4">
        <w:rPr>
          <w:lang w:val="de-DE"/>
        </w:rPr>
        <w:t xml:space="preserve">ng 2019 die </w:t>
      </w:r>
      <w:r w:rsidR="00F816E6" w:rsidRPr="000974A4">
        <w:rPr>
          <w:lang w:val="de-DE"/>
        </w:rPr>
        <w:t xml:space="preserve">Vorschläge zur </w:t>
      </w:r>
      <w:r w:rsidR="00F81855" w:rsidRPr="000974A4">
        <w:rPr>
          <w:lang w:val="de-DE"/>
        </w:rPr>
        <w:t>Änderung</w:t>
      </w:r>
      <w:r w:rsidR="00F816E6" w:rsidRPr="000974A4">
        <w:rPr>
          <w:lang w:val="de-DE"/>
        </w:rPr>
        <w:t xml:space="preserve"> von</w:t>
      </w:r>
      <w:r w:rsidR="00F81855" w:rsidRPr="000974A4">
        <w:rPr>
          <w:lang w:val="de-DE"/>
        </w:rPr>
        <w:t xml:space="preserve"> RID, ADR und ADN aus de</w:t>
      </w:r>
      <w:r w:rsidR="00F816E6" w:rsidRPr="000974A4">
        <w:rPr>
          <w:lang w:val="de-DE"/>
        </w:rPr>
        <w:t>n</w:t>
      </w:r>
      <w:r w:rsidR="00F81855" w:rsidRPr="000974A4">
        <w:rPr>
          <w:lang w:val="de-DE"/>
        </w:rPr>
        <w:t xml:space="preserve"> Arbeit</w:t>
      </w:r>
      <w:r w:rsidR="00F816E6" w:rsidRPr="000974A4">
        <w:rPr>
          <w:lang w:val="de-DE"/>
        </w:rPr>
        <w:t>en</w:t>
      </w:r>
      <w:r w:rsidR="00F81855" w:rsidRPr="000974A4">
        <w:rPr>
          <w:lang w:val="de-DE"/>
        </w:rPr>
        <w:t xml:space="preserve"> der informellen Arbeitsgruppe zur Verwendung von </w:t>
      </w:r>
      <w:r w:rsidR="00B116C9" w:rsidRPr="000974A4">
        <w:rPr>
          <w:lang w:val="de-DE"/>
        </w:rPr>
        <w:t>„</w:t>
      </w:r>
      <w:proofErr w:type="spellStart"/>
      <w:r w:rsidR="00F816E6" w:rsidRPr="000974A4">
        <w:rPr>
          <w:lang w:val="de-DE"/>
        </w:rPr>
        <w:t>risk</w:t>
      </w:r>
      <w:proofErr w:type="spellEnd"/>
      <w:r w:rsidR="00B116C9" w:rsidRPr="000974A4">
        <w:rPr>
          <w:lang w:val="de-DE"/>
        </w:rPr>
        <w:t>“</w:t>
      </w:r>
      <w:r w:rsidR="00F81855" w:rsidRPr="000974A4">
        <w:rPr>
          <w:lang w:val="de-DE"/>
        </w:rPr>
        <w:t xml:space="preserve"> und </w:t>
      </w:r>
      <w:r w:rsidR="00B116C9" w:rsidRPr="000974A4">
        <w:rPr>
          <w:lang w:val="de-DE"/>
        </w:rPr>
        <w:t>„</w:t>
      </w:r>
      <w:proofErr w:type="spellStart"/>
      <w:r w:rsidR="00F816E6" w:rsidRPr="000974A4">
        <w:rPr>
          <w:lang w:val="de-DE"/>
        </w:rPr>
        <w:t>hazard</w:t>
      </w:r>
      <w:proofErr w:type="spellEnd"/>
      <w:r w:rsidR="00F81855" w:rsidRPr="000974A4">
        <w:rPr>
          <w:lang w:val="de-DE"/>
        </w:rPr>
        <w:t>/</w:t>
      </w:r>
      <w:proofErr w:type="spellStart"/>
      <w:r w:rsidR="00F816E6" w:rsidRPr="000974A4">
        <w:rPr>
          <w:lang w:val="de-DE"/>
        </w:rPr>
        <w:t>danger</w:t>
      </w:r>
      <w:proofErr w:type="spellEnd"/>
      <w:r w:rsidR="00B116C9" w:rsidRPr="000974A4">
        <w:rPr>
          <w:lang w:val="de-DE"/>
        </w:rPr>
        <w:t>“</w:t>
      </w:r>
      <w:r w:rsidR="00F81855" w:rsidRPr="000974A4">
        <w:rPr>
          <w:lang w:val="de-DE"/>
        </w:rPr>
        <w:t xml:space="preserve"> prüfen wird und die getroffenen Entscheidungen dem ADN-Sicherheitsausschuss zur Kenntnis gebracht werden (siehe Dokument ECE/TRANS/WP.15/AC.1/152</w:t>
      </w:r>
      <w:r w:rsidR="00B116C9" w:rsidRPr="000974A4">
        <w:rPr>
          <w:lang w:val="de-DE"/>
        </w:rPr>
        <w:t>,</w:t>
      </w:r>
      <w:r w:rsidR="00F81855" w:rsidRPr="000974A4">
        <w:rPr>
          <w:lang w:val="de-DE"/>
        </w:rPr>
        <w:t xml:space="preserve"> Absätze 47-50).</w:t>
      </w:r>
    </w:p>
    <w:p w14:paraId="6784C922" w14:textId="207FA5F2" w:rsidR="006C5078" w:rsidRPr="000974A4" w:rsidRDefault="00AE43C0" w:rsidP="00A07FA1">
      <w:pPr>
        <w:pStyle w:val="SingleTxtG"/>
        <w:spacing w:after="240"/>
        <w:rPr>
          <w:lang w:val="de-DE"/>
        </w:rPr>
      </w:pPr>
      <w:r w:rsidRPr="000974A4">
        <w:rPr>
          <w:lang w:val="de-DE"/>
        </w:rPr>
        <w:t>37</w:t>
      </w:r>
      <w:r w:rsidR="006C5078" w:rsidRPr="000974A4">
        <w:rPr>
          <w:lang w:val="de-DE"/>
        </w:rPr>
        <w:t>.</w:t>
      </w:r>
      <w:r w:rsidR="006C5078" w:rsidRPr="000974A4">
        <w:rPr>
          <w:lang w:val="de-DE"/>
        </w:rPr>
        <w:tab/>
      </w:r>
      <w:r w:rsidR="00F816E6" w:rsidRPr="000974A4">
        <w:rPr>
          <w:lang w:val="de-DE"/>
        </w:rPr>
        <w:t xml:space="preserve">Ein </w:t>
      </w:r>
      <w:r w:rsidR="00DE3CC0" w:rsidRPr="000974A4">
        <w:rPr>
          <w:lang w:val="de-DE"/>
        </w:rPr>
        <w:t xml:space="preserve">Mitglied des </w:t>
      </w:r>
      <w:r w:rsidR="00F816E6" w:rsidRPr="000974A4">
        <w:rPr>
          <w:lang w:val="de-DE"/>
        </w:rPr>
        <w:t>Sekretariats</w:t>
      </w:r>
      <w:r w:rsidR="00527267" w:rsidRPr="000974A4">
        <w:rPr>
          <w:lang w:val="de-DE"/>
        </w:rPr>
        <w:t xml:space="preserve"> </w:t>
      </w:r>
      <w:r w:rsidR="00F816E6" w:rsidRPr="000974A4">
        <w:rPr>
          <w:lang w:val="de-DE"/>
        </w:rPr>
        <w:t xml:space="preserve">teilte mit, dass </w:t>
      </w:r>
      <w:r w:rsidR="00C9448B" w:rsidRPr="000974A4">
        <w:rPr>
          <w:lang w:val="de-DE"/>
        </w:rPr>
        <w:t xml:space="preserve">dem Sicherheitsausschuss in seiner fünfunddreißigsten Sitzung </w:t>
      </w:r>
      <w:r w:rsidR="00F816E6" w:rsidRPr="000974A4">
        <w:rPr>
          <w:lang w:val="de-DE"/>
        </w:rPr>
        <w:t xml:space="preserve">ein informelles Dokument mit den von anderen zwischenstaatlichen </w:t>
      </w:r>
      <w:r w:rsidR="00C9448B" w:rsidRPr="000974A4">
        <w:rPr>
          <w:lang w:val="de-DE"/>
        </w:rPr>
        <w:t>Stellen</w:t>
      </w:r>
      <w:r w:rsidR="00F816E6" w:rsidRPr="000974A4">
        <w:rPr>
          <w:lang w:val="de-DE"/>
        </w:rPr>
        <w:t xml:space="preserve"> angenommenen Änderungsentwürfen, die auch in de</w:t>
      </w:r>
      <w:r w:rsidR="00DE3CC0" w:rsidRPr="000974A4">
        <w:rPr>
          <w:lang w:val="de-DE"/>
        </w:rPr>
        <w:t>r dem ADN beigefügten</w:t>
      </w:r>
      <w:r w:rsidR="00F816E6" w:rsidRPr="000974A4">
        <w:rPr>
          <w:lang w:val="de-DE"/>
        </w:rPr>
        <w:t xml:space="preserve"> Verordnung </w:t>
      </w:r>
      <w:r w:rsidR="00C9448B" w:rsidRPr="000974A4">
        <w:rPr>
          <w:lang w:val="de-DE"/>
        </w:rPr>
        <w:t>berücksichtigt</w:t>
      </w:r>
      <w:r w:rsidR="00F816E6" w:rsidRPr="000974A4">
        <w:rPr>
          <w:lang w:val="de-DE"/>
        </w:rPr>
        <w:t xml:space="preserve"> </w:t>
      </w:r>
      <w:r w:rsidR="00C9448B" w:rsidRPr="000974A4">
        <w:rPr>
          <w:lang w:val="de-DE"/>
        </w:rPr>
        <w:t>werde</w:t>
      </w:r>
      <w:r w:rsidR="00F816E6" w:rsidRPr="000974A4">
        <w:rPr>
          <w:lang w:val="de-DE"/>
        </w:rPr>
        <w:t>n sollten und noch nicht angenommen wurden, zur Prüfung vorgelegt w</w:t>
      </w:r>
      <w:r w:rsidR="00EA2AE3" w:rsidRPr="000974A4">
        <w:rPr>
          <w:lang w:val="de-DE"/>
        </w:rPr>
        <w:t>e</w:t>
      </w:r>
      <w:r w:rsidR="00F816E6" w:rsidRPr="000974A4">
        <w:rPr>
          <w:lang w:val="de-DE"/>
        </w:rPr>
        <w:t>rd</w:t>
      </w:r>
      <w:r w:rsidR="00EA2AE3" w:rsidRPr="000974A4">
        <w:rPr>
          <w:lang w:val="de-DE"/>
        </w:rPr>
        <w:t>e</w:t>
      </w:r>
      <w:r w:rsidR="00F816E6" w:rsidRPr="000974A4">
        <w:rPr>
          <w:lang w:val="de-DE"/>
        </w:rPr>
        <w:t>.</w:t>
      </w:r>
      <w:r w:rsidR="006C5078" w:rsidRPr="000974A4">
        <w:rPr>
          <w:lang w:val="de-DE"/>
        </w:rPr>
        <w:t xml:space="preserve"> </w:t>
      </w:r>
      <w:r w:rsidR="00EA2AE3" w:rsidRPr="000974A4">
        <w:rPr>
          <w:lang w:val="de-DE"/>
        </w:rPr>
        <w:t>So könne der Sicherheitsausschuss alle Harmonisierungsfragen auf der Gemeinsamen Tagung im September 2019 behandeln. Das Dokument werde die von der Ad-hoc-Arbeitsgruppe zur Harmonisierung des RID/ADR/ADN mit den Modellvorschriften, der Arbeitsgruppe „Beförderung gefährlicher Güter“ (WP.15) und der Gemeinsamen ADR/RID/ADN-Tagung angenommenen Änderungsentwürfe enthalten.</w:t>
      </w:r>
      <w:r w:rsidR="006C5078" w:rsidRPr="000974A4">
        <w:rPr>
          <w:lang w:val="de-DE"/>
        </w:rPr>
        <w:t xml:space="preserve"> </w:t>
      </w:r>
    </w:p>
    <w:p w14:paraId="36AFE8F0" w14:textId="2F595E48" w:rsidR="00211494" w:rsidRPr="000974A4" w:rsidRDefault="00120B0B" w:rsidP="00211494">
      <w:pPr>
        <w:pStyle w:val="SingleTxtG"/>
        <w:spacing w:after="0"/>
        <w:rPr>
          <w:lang w:val="de-DE"/>
        </w:rPr>
      </w:pPr>
      <w:r w:rsidRPr="000974A4">
        <w:rPr>
          <w:lang w:val="de-DE"/>
        </w:rPr>
        <w:t>38</w:t>
      </w:r>
      <w:r w:rsidR="00211494" w:rsidRPr="000974A4">
        <w:rPr>
          <w:lang w:val="de-DE"/>
        </w:rPr>
        <w:t>.</w:t>
      </w:r>
      <w:r w:rsidR="00211494" w:rsidRPr="000974A4">
        <w:rPr>
          <w:lang w:val="de-DE"/>
        </w:rPr>
        <w:tab/>
      </w:r>
      <w:r w:rsidR="00EA2AE3" w:rsidRPr="000974A4">
        <w:rPr>
          <w:lang w:val="de-DE"/>
        </w:rPr>
        <w:t xml:space="preserve">Nach Anhörung der Erläuterungen des Vertreters der Europäischen Union zu den Folgen der Einführung des EU-Systems der </w:t>
      </w:r>
      <w:proofErr w:type="spellStart"/>
      <w:r w:rsidR="00EA2AE3" w:rsidRPr="000974A4">
        <w:rPr>
          <w:lang w:val="de-DE"/>
        </w:rPr>
        <w:t>Harmonised</w:t>
      </w:r>
      <w:proofErr w:type="spellEnd"/>
      <w:r w:rsidR="00EA2AE3" w:rsidRPr="000974A4">
        <w:rPr>
          <w:lang w:val="de-DE"/>
        </w:rPr>
        <w:t>-Standards- (HAS) Consultants und deren Auswirkungen auf die Arbeitsergebnisse zwischenstaatlicher Stellen (z. B. der Gemeinsamen RID/ADR/ADN-Tagung), die sich mit internationalen Vorschriften und Vereinbarungen befassen, die in Nichtmitgliedstaaten der Europäischen Union verbindlich sind, forderte der Sicherheitsausschuss die Delegationen auf, mit der Europäischen Union zusammenzuarbeiten, um so bald wie möglich eine geeignete Lösung zu finden.</w:t>
      </w:r>
    </w:p>
    <w:p w14:paraId="69BC36DC" w14:textId="77777777" w:rsidR="00A01F93" w:rsidRDefault="00A01F93">
      <w:pPr>
        <w:suppressAutoHyphens w:val="0"/>
        <w:spacing w:line="240" w:lineRule="auto"/>
        <w:rPr>
          <w:b/>
          <w:sz w:val="24"/>
          <w:lang w:val="de-DE"/>
        </w:rPr>
      </w:pPr>
      <w:r>
        <w:rPr>
          <w:lang w:val="de-DE"/>
        </w:rPr>
        <w:br w:type="page"/>
      </w:r>
    </w:p>
    <w:p w14:paraId="6C251B74" w14:textId="1990F964" w:rsidR="006C5078" w:rsidRPr="000974A4" w:rsidRDefault="006C5078" w:rsidP="004E750C">
      <w:pPr>
        <w:pStyle w:val="H1G"/>
        <w:keepNext w:val="0"/>
        <w:keepLines w:val="0"/>
        <w:spacing w:before="240" w:after="120"/>
        <w:rPr>
          <w:lang w:val="de-DE"/>
        </w:rPr>
      </w:pPr>
      <w:r w:rsidRPr="000974A4">
        <w:rPr>
          <w:lang w:val="de-DE"/>
        </w:rPr>
        <w:lastRenderedPageBreak/>
        <w:tab/>
        <w:t>B.</w:t>
      </w:r>
      <w:r w:rsidRPr="000974A4">
        <w:rPr>
          <w:lang w:val="de-DE"/>
        </w:rPr>
        <w:tab/>
      </w:r>
      <w:r w:rsidR="008A186A" w:rsidRPr="000974A4">
        <w:rPr>
          <w:lang w:val="de-DE"/>
        </w:rPr>
        <w:t>Weitere Änderungsvorschläge</w:t>
      </w:r>
    </w:p>
    <w:p w14:paraId="669B25E0" w14:textId="50CCDC77" w:rsidR="006C5078" w:rsidRPr="000974A4" w:rsidRDefault="00913182" w:rsidP="004E750C">
      <w:pPr>
        <w:pStyle w:val="H23G"/>
        <w:spacing w:before="120"/>
        <w:rPr>
          <w:lang w:val="de-DE"/>
        </w:rPr>
      </w:pPr>
      <w:r w:rsidRPr="000974A4">
        <w:rPr>
          <w:lang w:val="de-DE"/>
        </w:rPr>
        <w:tab/>
      </w:r>
      <w:r w:rsidR="006C5078" w:rsidRPr="000974A4">
        <w:rPr>
          <w:lang w:val="de-DE"/>
        </w:rPr>
        <w:t>1.</w:t>
      </w:r>
      <w:r w:rsidR="006C5078" w:rsidRPr="000974A4">
        <w:rPr>
          <w:lang w:val="de-DE"/>
        </w:rPr>
        <w:tab/>
      </w:r>
      <w:r w:rsidR="008A186A" w:rsidRPr="000974A4">
        <w:rPr>
          <w:lang w:val="de-DE"/>
        </w:rPr>
        <w:t xml:space="preserve">Besondere Vorschriften für die Beförderung </w:t>
      </w:r>
      <w:proofErr w:type="spellStart"/>
      <w:r w:rsidR="008A186A" w:rsidRPr="000974A4">
        <w:rPr>
          <w:lang w:val="de-DE"/>
        </w:rPr>
        <w:t>selbstzersetzlicher</w:t>
      </w:r>
      <w:proofErr w:type="spellEnd"/>
      <w:r w:rsidR="008A186A" w:rsidRPr="000974A4">
        <w:rPr>
          <w:lang w:val="de-DE"/>
        </w:rPr>
        <w:t xml:space="preserve"> Stoffe der Klasse 4.1, organischer Peroxide der Klasse 5.2 und anderer Stoffe (als </w:t>
      </w:r>
      <w:proofErr w:type="spellStart"/>
      <w:r w:rsidR="008A186A" w:rsidRPr="000974A4">
        <w:rPr>
          <w:lang w:val="de-DE"/>
        </w:rPr>
        <w:t>selbstzersetzliche</w:t>
      </w:r>
      <w:proofErr w:type="spellEnd"/>
      <w:r w:rsidR="008A186A" w:rsidRPr="000974A4">
        <w:rPr>
          <w:lang w:val="de-DE"/>
        </w:rPr>
        <w:t xml:space="preserve"> Stoffe und organische Peroxide), die durch Temperaturkontrolle stabilisiert werden:</w:t>
      </w:r>
      <w:r w:rsidR="006C5078" w:rsidRPr="000974A4">
        <w:rPr>
          <w:lang w:val="de-DE"/>
        </w:rPr>
        <w:t xml:space="preserve"> </w:t>
      </w:r>
      <w:r w:rsidR="008A186A" w:rsidRPr="000974A4">
        <w:rPr>
          <w:lang w:val="de-DE"/>
        </w:rPr>
        <w:t>Abschnitt 7.1.7</w:t>
      </w:r>
    </w:p>
    <w:p w14:paraId="69090293" w14:textId="29764519" w:rsidR="006C5078" w:rsidRPr="000974A4" w:rsidRDefault="006C5078" w:rsidP="008A186A">
      <w:pPr>
        <w:tabs>
          <w:tab w:val="left" w:pos="1134"/>
          <w:tab w:val="left" w:pos="3119"/>
        </w:tabs>
        <w:spacing w:after="120"/>
        <w:rPr>
          <w:lang w:val="de-DE"/>
        </w:rPr>
      </w:pPr>
      <w:r w:rsidRPr="000974A4">
        <w:rPr>
          <w:lang w:val="de-DE"/>
        </w:rPr>
        <w:tab/>
      </w:r>
      <w:r w:rsidR="008A186A" w:rsidRPr="000974A4">
        <w:rPr>
          <w:i/>
          <w:iCs/>
          <w:lang w:val="de-DE"/>
        </w:rPr>
        <w:t>Dokument:</w:t>
      </w:r>
      <w:r w:rsidRPr="000974A4">
        <w:rPr>
          <w:i/>
          <w:iCs/>
          <w:lang w:val="de-DE"/>
        </w:rPr>
        <w:tab/>
      </w:r>
      <w:r w:rsidR="008A186A" w:rsidRPr="000974A4">
        <w:rPr>
          <w:lang w:val="de-DE"/>
        </w:rPr>
        <w:t>ECE/TRANS/WP.15/AC.2/2019/6 (Deutschland)</w:t>
      </w:r>
    </w:p>
    <w:p w14:paraId="19B4B971" w14:textId="7953DAB5" w:rsidR="006C5078" w:rsidRPr="000974A4" w:rsidRDefault="00120B0B" w:rsidP="00A07FA1">
      <w:pPr>
        <w:pStyle w:val="SingleTxtG"/>
        <w:rPr>
          <w:lang w:val="de-DE"/>
        </w:rPr>
      </w:pPr>
      <w:r w:rsidRPr="000974A4">
        <w:rPr>
          <w:lang w:val="de-DE"/>
        </w:rPr>
        <w:t>39</w:t>
      </w:r>
      <w:r w:rsidR="006C5078" w:rsidRPr="000974A4">
        <w:rPr>
          <w:lang w:val="de-DE"/>
        </w:rPr>
        <w:t>.</w:t>
      </w:r>
      <w:r w:rsidR="006C5078" w:rsidRPr="000974A4">
        <w:rPr>
          <w:lang w:val="de-DE"/>
        </w:rPr>
        <w:tab/>
      </w:r>
      <w:r w:rsidR="00227787" w:rsidRPr="000974A4">
        <w:rPr>
          <w:lang w:val="de-DE"/>
        </w:rPr>
        <w:t xml:space="preserve">Der Sicherheitsausschuss einigte sich auf die vorgeschlagene Zuordnung der Pflichten in der Tabelle </w:t>
      </w:r>
      <w:r w:rsidR="00224E01" w:rsidRPr="000974A4">
        <w:rPr>
          <w:lang w:val="de-DE"/>
        </w:rPr>
        <w:t>nach</w:t>
      </w:r>
      <w:r w:rsidR="00227787" w:rsidRPr="000974A4">
        <w:rPr>
          <w:lang w:val="de-DE"/>
        </w:rPr>
        <w:t xml:space="preserve"> Absatz 6 des Dokuments für die Abschnitte 7.1.7.4.1 a), 7.1.7.4.1 d) und 7.1.7.4.3.</w:t>
      </w:r>
      <w:r w:rsidR="006C5078" w:rsidRPr="000974A4">
        <w:rPr>
          <w:lang w:val="de-DE"/>
        </w:rPr>
        <w:t xml:space="preserve"> </w:t>
      </w:r>
      <w:r w:rsidR="00224E01" w:rsidRPr="000974A4">
        <w:rPr>
          <w:lang w:val="de-DE"/>
        </w:rPr>
        <w:t>Über die nach den übrigen Absätzen zugeordneten Pflichten konnte keine Einigung erzielt werden, da der CEFIC-Vertreter erklärte, dass die Absender diese nicht immer übernehmen können.</w:t>
      </w:r>
    </w:p>
    <w:p w14:paraId="453AD714" w14:textId="28B4B5C2" w:rsidR="006C5078" w:rsidRPr="000974A4" w:rsidRDefault="00120B0B" w:rsidP="00A07FA1">
      <w:pPr>
        <w:pStyle w:val="SingleTxtG"/>
        <w:rPr>
          <w:lang w:val="de-DE"/>
        </w:rPr>
      </w:pPr>
      <w:r w:rsidRPr="000974A4">
        <w:rPr>
          <w:lang w:val="de-DE"/>
        </w:rPr>
        <w:t>40</w:t>
      </w:r>
      <w:r w:rsidR="006C5078" w:rsidRPr="000974A4">
        <w:rPr>
          <w:lang w:val="de-DE"/>
        </w:rPr>
        <w:t>.</w:t>
      </w:r>
      <w:r w:rsidR="006C5078" w:rsidRPr="000974A4">
        <w:rPr>
          <w:lang w:val="de-DE"/>
        </w:rPr>
        <w:tab/>
      </w:r>
      <w:r w:rsidR="00224E01" w:rsidRPr="000974A4">
        <w:rPr>
          <w:lang w:val="de-DE"/>
        </w:rPr>
        <w:t xml:space="preserve">Der Sicherheitsausschuss stimmte </w:t>
      </w:r>
      <w:r w:rsidR="00A1026D" w:rsidRPr="000974A4">
        <w:rPr>
          <w:lang w:val="de-DE"/>
        </w:rPr>
        <w:t xml:space="preserve">grundsätzlich </w:t>
      </w:r>
      <w:r w:rsidR="00224E01" w:rsidRPr="000974A4">
        <w:rPr>
          <w:lang w:val="de-DE"/>
        </w:rPr>
        <w:t xml:space="preserve">auch den vorgeschlagenen Stauvorschriften </w:t>
      </w:r>
      <w:r w:rsidR="00A1026D" w:rsidRPr="000974A4">
        <w:rPr>
          <w:lang w:val="de-DE"/>
        </w:rPr>
        <w:t>nach</w:t>
      </w:r>
      <w:r w:rsidR="00224E01" w:rsidRPr="000974A4">
        <w:rPr>
          <w:lang w:val="de-DE"/>
        </w:rPr>
        <w:t xml:space="preserve"> Absatz 8 zu, war jedoch der Ansicht, dass der Text der beiden letzten </w:t>
      </w:r>
      <w:r w:rsidR="00233C7F" w:rsidRPr="000974A4">
        <w:rPr>
          <w:lang w:val="de-DE"/>
        </w:rPr>
        <w:t>A</w:t>
      </w:r>
      <w:r w:rsidR="00224E01" w:rsidRPr="000974A4">
        <w:rPr>
          <w:lang w:val="de-DE"/>
        </w:rPr>
        <w:t>nstriche weiter präzisiert werden sollte.</w:t>
      </w:r>
      <w:r w:rsidR="006C5078" w:rsidRPr="000974A4">
        <w:rPr>
          <w:lang w:val="de-DE"/>
        </w:rPr>
        <w:t xml:space="preserve"> </w:t>
      </w:r>
      <w:r w:rsidR="003B798A" w:rsidRPr="000974A4">
        <w:rPr>
          <w:lang w:val="de-DE"/>
        </w:rPr>
        <w:t>Auch die Folgeänderungen zu Spalte (11) der Tabelle A für die aufgeführte</w:t>
      </w:r>
      <w:r w:rsidR="00984325" w:rsidRPr="000974A4">
        <w:rPr>
          <w:lang w:val="de-DE"/>
        </w:rPr>
        <w:t>n</w:t>
      </w:r>
      <w:r w:rsidR="003B798A" w:rsidRPr="000974A4">
        <w:rPr>
          <w:lang w:val="de-DE"/>
        </w:rPr>
        <w:t xml:space="preserve"> UN-Nummer</w:t>
      </w:r>
      <w:r w:rsidR="00984325" w:rsidRPr="000974A4">
        <w:rPr>
          <w:lang w:val="de-DE"/>
        </w:rPr>
        <w:t>n</w:t>
      </w:r>
      <w:r w:rsidR="003B798A" w:rsidRPr="000974A4">
        <w:rPr>
          <w:lang w:val="de-DE"/>
        </w:rPr>
        <w:t xml:space="preserve"> wurden </w:t>
      </w:r>
      <w:r w:rsidR="00984325" w:rsidRPr="000974A4">
        <w:rPr>
          <w:lang w:val="de-DE"/>
        </w:rPr>
        <w:t xml:space="preserve">mit einigen Korrekturen </w:t>
      </w:r>
      <w:r w:rsidR="003B798A" w:rsidRPr="000974A4">
        <w:rPr>
          <w:lang w:val="de-DE"/>
        </w:rPr>
        <w:t xml:space="preserve">befürwortet </w:t>
      </w:r>
      <w:r w:rsidR="00984325" w:rsidRPr="000974A4">
        <w:rPr>
          <w:lang w:val="de-DE"/>
        </w:rPr>
        <w:t>(</w:t>
      </w:r>
      <w:r w:rsidR="003B798A" w:rsidRPr="000974A4">
        <w:rPr>
          <w:lang w:val="de-DE"/>
        </w:rPr>
        <w:t xml:space="preserve">UN-Nr. 3235 wird </w:t>
      </w:r>
      <w:r w:rsidR="00984325" w:rsidRPr="000974A4">
        <w:rPr>
          <w:lang w:val="de-DE"/>
        </w:rPr>
        <w:t>der</w:t>
      </w:r>
      <w:r w:rsidR="003B798A" w:rsidRPr="000974A4">
        <w:rPr>
          <w:lang w:val="de-DE"/>
        </w:rPr>
        <w:t xml:space="preserve"> Liste </w:t>
      </w:r>
      <w:r w:rsidR="00984325" w:rsidRPr="000974A4">
        <w:rPr>
          <w:lang w:val="de-DE"/>
        </w:rPr>
        <w:t>hinzugefügt</w:t>
      </w:r>
      <w:r w:rsidR="003B798A" w:rsidRPr="000974A4">
        <w:rPr>
          <w:lang w:val="de-DE"/>
        </w:rPr>
        <w:t xml:space="preserve"> und UN-Nr. 3229 wird durch UN-Nr. 3239 ersetzt</w:t>
      </w:r>
      <w:r w:rsidR="00984325" w:rsidRPr="000974A4">
        <w:rPr>
          <w:lang w:val="de-DE"/>
        </w:rPr>
        <w:t>)</w:t>
      </w:r>
      <w:r w:rsidR="003B798A" w:rsidRPr="000974A4">
        <w:rPr>
          <w:lang w:val="de-DE"/>
        </w:rPr>
        <w:t>.</w:t>
      </w:r>
      <w:r w:rsidR="006C5078" w:rsidRPr="000974A4">
        <w:rPr>
          <w:lang w:val="de-DE"/>
        </w:rPr>
        <w:t xml:space="preserve"> </w:t>
      </w:r>
    </w:p>
    <w:p w14:paraId="48DDE07B" w14:textId="3F2ED180" w:rsidR="00290B48" w:rsidRPr="000974A4" w:rsidRDefault="00120B0B" w:rsidP="00A07FA1">
      <w:pPr>
        <w:pStyle w:val="SingleTxtG"/>
        <w:rPr>
          <w:lang w:val="de-DE"/>
        </w:rPr>
      </w:pPr>
      <w:r w:rsidRPr="000974A4">
        <w:rPr>
          <w:lang w:val="de-DE"/>
        </w:rPr>
        <w:t>41</w:t>
      </w:r>
      <w:r w:rsidR="006C5078" w:rsidRPr="000974A4">
        <w:rPr>
          <w:lang w:val="de-DE"/>
        </w:rPr>
        <w:t>.</w:t>
      </w:r>
      <w:r w:rsidR="006C5078" w:rsidRPr="000974A4">
        <w:rPr>
          <w:lang w:val="de-DE"/>
        </w:rPr>
        <w:tab/>
      </w:r>
      <w:r w:rsidR="00984325" w:rsidRPr="000974A4">
        <w:rPr>
          <w:lang w:val="de-DE"/>
        </w:rPr>
        <w:t xml:space="preserve">Der Sicherheitsausschuss bat Deutschland, der Gemeinsamen RID/ADR/ADN-Tagung für ihre bevorstehende Sitzung ein informelles Dokument mit den Ergebnissen der </w:t>
      </w:r>
      <w:r w:rsidR="00756BEE" w:rsidRPr="000974A4">
        <w:rPr>
          <w:lang w:val="de-DE"/>
        </w:rPr>
        <w:t>Diskussionen</w:t>
      </w:r>
      <w:r w:rsidR="00984325" w:rsidRPr="000974A4">
        <w:rPr>
          <w:lang w:val="de-DE"/>
        </w:rPr>
        <w:t xml:space="preserve"> und einem Ersuchen um Rückmeldung zur Auslegung der Pflichten vorzulegen, </w:t>
      </w:r>
      <w:r w:rsidR="00756BEE" w:rsidRPr="000974A4">
        <w:rPr>
          <w:lang w:val="de-DE"/>
        </w:rPr>
        <w:t>über</w:t>
      </w:r>
      <w:r w:rsidR="00984325" w:rsidRPr="000974A4">
        <w:rPr>
          <w:lang w:val="de-DE"/>
        </w:rPr>
        <w:t xml:space="preserve"> die der Sicherheitsausschuss keine Einigung erzielen konnte, und dem Sicherheitsausschuss im August nächsten Jahres Bericht zu erstatten.</w:t>
      </w:r>
      <w:r w:rsidR="006C5078" w:rsidRPr="000974A4">
        <w:rPr>
          <w:lang w:val="de-DE"/>
        </w:rPr>
        <w:t xml:space="preserve"> </w:t>
      </w:r>
    </w:p>
    <w:p w14:paraId="7D38F586" w14:textId="28BE2360" w:rsidR="006C5078" w:rsidRPr="000974A4" w:rsidRDefault="006C5078" w:rsidP="00756BEE">
      <w:pPr>
        <w:pStyle w:val="H23G"/>
        <w:rPr>
          <w:lang w:val="de-DE"/>
        </w:rPr>
      </w:pPr>
      <w:r w:rsidRPr="000974A4">
        <w:rPr>
          <w:lang w:val="de-DE"/>
        </w:rPr>
        <w:tab/>
        <w:t>2.</w:t>
      </w:r>
      <w:r w:rsidRPr="000974A4">
        <w:rPr>
          <w:lang w:val="de-DE"/>
        </w:rPr>
        <w:tab/>
      </w:r>
      <w:r w:rsidR="008A186A" w:rsidRPr="000974A4">
        <w:rPr>
          <w:lang w:val="de-DE"/>
        </w:rPr>
        <w:t>Klarstellung des Absatzes 1.1.3.6.1</w:t>
      </w:r>
    </w:p>
    <w:p w14:paraId="0D300819" w14:textId="2E132A5A" w:rsidR="006C5078" w:rsidRPr="000974A4" w:rsidRDefault="006C5078" w:rsidP="008A186A">
      <w:pPr>
        <w:tabs>
          <w:tab w:val="left" w:pos="1134"/>
          <w:tab w:val="left" w:pos="3119"/>
        </w:tabs>
        <w:spacing w:after="120"/>
        <w:rPr>
          <w:bCs/>
          <w:iCs/>
          <w:lang w:val="de-DE"/>
        </w:rPr>
      </w:pPr>
      <w:r w:rsidRPr="000974A4">
        <w:rPr>
          <w:bCs/>
          <w:iCs/>
          <w:lang w:val="de-DE"/>
        </w:rPr>
        <w:tab/>
      </w:r>
      <w:r w:rsidR="008A186A" w:rsidRPr="000974A4">
        <w:rPr>
          <w:i/>
          <w:iCs/>
          <w:lang w:val="de-DE"/>
        </w:rPr>
        <w:t>Dokument:</w:t>
      </w:r>
      <w:r w:rsidRPr="000974A4">
        <w:rPr>
          <w:i/>
          <w:iCs/>
          <w:lang w:val="de-DE"/>
        </w:rPr>
        <w:tab/>
      </w:r>
      <w:r w:rsidR="008A186A" w:rsidRPr="000974A4">
        <w:rPr>
          <w:bCs/>
          <w:iCs/>
          <w:lang w:val="de-DE"/>
        </w:rPr>
        <w:t>ECE/TRANS/WP.15/AC.2/2019/10 (EBU, ESO)</w:t>
      </w:r>
    </w:p>
    <w:p w14:paraId="06B368A6" w14:textId="461DCA6B" w:rsidR="006C5078" w:rsidRPr="000974A4" w:rsidRDefault="00120B0B" w:rsidP="00A07FA1">
      <w:pPr>
        <w:pStyle w:val="SingleTxtG"/>
        <w:rPr>
          <w:lang w:val="de-DE"/>
        </w:rPr>
      </w:pPr>
      <w:r w:rsidRPr="000974A4">
        <w:rPr>
          <w:lang w:val="de-DE"/>
        </w:rPr>
        <w:t>42</w:t>
      </w:r>
      <w:r w:rsidR="006C5078" w:rsidRPr="000974A4">
        <w:rPr>
          <w:lang w:val="de-DE"/>
        </w:rPr>
        <w:t>.</w:t>
      </w:r>
      <w:r w:rsidR="006C5078" w:rsidRPr="000974A4">
        <w:rPr>
          <w:lang w:val="de-DE"/>
        </w:rPr>
        <w:tab/>
      </w:r>
      <w:r w:rsidR="00756BEE" w:rsidRPr="000974A4">
        <w:rPr>
          <w:lang w:val="de-DE"/>
        </w:rPr>
        <w:t>Der Vorschlag in Absatz 5 des Dokuments wurde mit einer Korrektur der freigestellten Mengen für Stoffe der Klasse 7 angenommen (siehe Anlage I).</w:t>
      </w:r>
      <w:r w:rsidR="006C5078" w:rsidRPr="000974A4">
        <w:rPr>
          <w:lang w:val="de-DE"/>
        </w:rPr>
        <w:t xml:space="preserve"> </w:t>
      </w:r>
    </w:p>
    <w:p w14:paraId="2BC2594F" w14:textId="0BADF9CF" w:rsidR="006C5078" w:rsidRPr="000974A4" w:rsidRDefault="006C5078" w:rsidP="004E750C">
      <w:pPr>
        <w:pStyle w:val="H23G"/>
        <w:spacing w:before="120"/>
        <w:rPr>
          <w:lang w:val="de-DE"/>
        </w:rPr>
      </w:pPr>
      <w:r w:rsidRPr="000974A4">
        <w:rPr>
          <w:lang w:val="de-DE"/>
        </w:rPr>
        <w:tab/>
        <w:t>3.</w:t>
      </w:r>
      <w:r w:rsidRPr="000974A4">
        <w:rPr>
          <w:lang w:val="de-DE"/>
        </w:rPr>
        <w:tab/>
      </w:r>
      <w:r w:rsidR="008A186A" w:rsidRPr="000974A4">
        <w:rPr>
          <w:lang w:val="de-DE"/>
        </w:rPr>
        <w:t>Feuerlöscheinrichtungen (Absatz 9.1.0.40.1)</w:t>
      </w:r>
    </w:p>
    <w:p w14:paraId="59E8FD98" w14:textId="7483B66F" w:rsidR="006C5078" w:rsidRPr="000974A4" w:rsidRDefault="006C5078" w:rsidP="008A186A">
      <w:pPr>
        <w:tabs>
          <w:tab w:val="left" w:pos="1134"/>
          <w:tab w:val="left" w:pos="3119"/>
        </w:tabs>
        <w:spacing w:after="120"/>
        <w:rPr>
          <w:lang w:val="de-DE"/>
        </w:rPr>
      </w:pPr>
      <w:r w:rsidRPr="000974A4">
        <w:rPr>
          <w:lang w:val="de-DE"/>
        </w:rPr>
        <w:tab/>
      </w:r>
      <w:r w:rsidR="008A186A" w:rsidRPr="000974A4">
        <w:rPr>
          <w:i/>
          <w:iCs/>
          <w:lang w:val="de-DE"/>
        </w:rPr>
        <w:t>Dokument:</w:t>
      </w:r>
      <w:r w:rsidRPr="000974A4">
        <w:rPr>
          <w:i/>
          <w:iCs/>
          <w:lang w:val="de-DE"/>
        </w:rPr>
        <w:tab/>
      </w:r>
      <w:r w:rsidR="008A186A" w:rsidRPr="000974A4">
        <w:rPr>
          <w:lang w:val="de-DE"/>
        </w:rPr>
        <w:t>ECE/TRANS/WP.15/AC.2/2019/11 (Belgien)</w:t>
      </w:r>
    </w:p>
    <w:p w14:paraId="5A559E83" w14:textId="683B6023" w:rsidR="006C5078" w:rsidRPr="000974A4" w:rsidRDefault="00120B0B" w:rsidP="00A07FA1">
      <w:pPr>
        <w:pStyle w:val="SingleTxtG"/>
        <w:rPr>
          <w:lang w:val="de-DE"/>
        </w:rPr>
      </w:pPr>
      <w:r w:rsidRPr="000974A4">
        <w:rPr>
          <w:lang w:val="de-DE"/>
        </w:rPr>
        <w:t>43</w:t>
      </w:r>
      <w:r w:rsidR="006C5078" w:rsidRPr="000974A4">
        <w:rPr>
          <w:lang w:val="de-DE"/>
        </w:rPr>
        <w:t>.</w:t>
      </w:r>
      <w:r w:rsidR="006C5078" w:rsidRPr="000974A4">
        <w:rPr>
          <w:lang w:val="de-DE"/>
        </w:rPr>
        <w:tab/>
      </w:r>
      <w:r w:rsidR="00756BEE" w:rsidRPr="000974A4">
        <w:rPr>
          <w:lang w:val="de-DE"/>
        </w:rPr>
        <w:t>Der Vorschlag wurde nicht angenommen.</w:t>
      </w:r>
      <w:r w:rsidR="006C5078" w:rsidRPr="000974A4">
        <w:rPr>
          <w:lang w:val="de-DE"/>
        </w:rPr>
        <w:t xml:space="preserve"> </w:t>
      </w:r>
      <w:r w:rsidR="00756BEE" w:rsidRPr="000974A4">
        <w:rPr>
          <w:lang w:val="de-DE"/>
        </w:rPr>
        <w:t>Der Sicherheitsausschuss zögerte, die Bestimmungen über den Standort der Betätigungsvorrichtung de</w:t>
      </w:r>
      <w:r w:rsidR="00BF7436" w:rsidRPr="000974A4">
        <w:rPr>
          <w:lang w:val="de-DE"/>
        </w:rPr>
        <w:t>r</w:t>
      </w:r>
      <w:r w:rsidR="00756BEE" w:rsidRPr="000974A4">
        <w:rPr>
          <w:lang w:val="de-DE"/>
        </w:rPr>
        <w:t xml:space="preserve"> Wasserversorgungs</w:t>
      </w:r>
      <w:r w:rsidR="00BF7436" w:rsidRPr="000974A4">
        <w:rPr>
          <w:lang w:val="de-DE"/>
        </w:rPr>
        <w:t>anlage</w:t>
      </w:r>
      <w:r w:rsidR="00756BEE" w:rsidRPr="000974A4">
        <w:rPr>
          <w:lang w:val="de-DE"/>
        </w:rPr>
        <w:t xml:space="preserve"> ohne eingehendere Analyse der </w:t>
      </w:r>
      <w:r w:rsidR="00BF7436" w:rsidRPr="000974A4">
        <w:rPr>
          <w:lang w:val="de-DE"/>
        </w:rPr>
        <w:t xml:space="preserve">sicherheitstechnischen </w:t>
      </w:r>
      <w:r w:rsidR="00756BEE" w:rsidRPr="000974A4">
        <w:rPr>
          <w:lang w:val="de-DE"/>
        </w:rPr>
        <w:t>Folgen dieser Entscheidung zu streichen.</w:t>
      </w:r>
      <w:r w:rsidR="006C5078" w:rsidRPr="000974A4">
        <w:rPr>
          <w:lang w:val="de-DE"/>
        </w:rPr>
        <w:t xml:space="preserve"> </w:t>
      </w:r>
      <w:r w:rsidR="00BF7436" w:rsidRPr="000974A4">
        <w:rPr>
          <w:lang w:val="de-DE"/>
        </w:rPr>
        <w:t xml:space="preserve">Die </w:t>
      </w:r>
      <w:r w:rsidR="0038300E" w:rsidRPr="000974A4">
        <w:rPr>
          <w:lang w:val="de-DE"/>
        </w:rPr>
        <w:t>E</w:t>
      </w:r>
      <w:r w:rsidR="00BF7436" w:rsidRPr="000974A4">
        <w:rPr>
          <w:lang w:val="de-DE"/>
        </w:rPr>
        <w:t xml:space="preserve">mpfohlenen ADN-Klassifikationsgesellschaften wurden </w:t>
      </w:r>
      <w:r w:rsidR="0038300E" w:rsidRPr="000974A4">
        <w:rPr>
          <w:lang w:val="de-DE"/>
        </w:rPr>
        <w:t>gebeten</w:t>
      </w:r>
      <w:r w:rsidR="00BF7436" w:rsidRPr="000974A4">
        <w:rPr>
          <w:lang w:val="de-DE"/>
        </w:rPr>
        <w:t xml:space="preserve">, Informationen über die derzeitigen Praktiken </w:t>
      </w:r>
      <w:r w:rsidR="0038300E" w:rsidRPr="000974A4">
        <w:rPr>
          <w:lang w:val="de-DE"/>
        </w:rPr>
        <w:t>hinsichtlich</w:t>
      </w:r>
      <w:r w:rsidR="00BF7436" w:rsidRPr="000974A4">
        <w:rPr>
          <w:lang w:val="de-DE"/>
        </w:rPr>
        <w:t xml:space="preserve"> de</w:t>
      </w:r>
      <w:r w:rsidR="0038300E" w:rsidRPr="000974A4">
        <w:rPr>
          <w:lang w:val="de-DE"/>
        </w:rPr>
        <w:t>s</w:t>
      </w:r>
      <w:r w:rsidR="00BF7436" w:rsidRPr="000974A4">
        <w:rPr>
          <w:lang w:val="de-DE"/>
        </w:rPr>
        <w:t xml:space="preserve"> Standort</w:t>
      </w:r>
      <w:r w:rsidR="0038300E" w:rsidRPr="000974A4">
        <w:rPr>
          <w:lang w:val="de-DE"/>
        </w:rPr>
        <w:t>s</w:t>
      </w:r>
      <w:r w:rsidR="00BF7436" w:rsidRPr="000974A4">
        <w:rPr>
          <w:lang w:val="de-DE"/>
        </w:rPr>
        <w:t xml:space="preserve"> der Feuerlösch</w:t>
      </w:r>
      <w:r w:rsidR="0038300E" w:rsidRPr="000974A4">
        <w:rPr>
          <w:lang w:val="de-DE"/>
        </w:rPr>
        <w:t>einricht</w:t>
      </w:r>
      <w:r w:rsidR="00BF7436" w:rsidRPr="000974A4">
        <w:rPr>
          <w:lang w:val="de-DE"/>
        </w:rPr>
        <w:t>ung für Trocken</w:t>
      </w:r>
      <w:r w:rsidR="0038300E" w:rsidRPr="000974A4">
        <w:rPr>
          <w:lang w:val="de-DE"/>
        </w:rPr>
        <w:t>güter</w:t>
      </w:r>
      <w:r w:rsidR="00BF7436" w:rsidRPr="000974A4">
        <w:rPr>
          <w:lang w:val="de-DE"/>
        </w:rPr>
        <w:t xml:space="preserve">schiffe bereitzustellen, damit der Sicherheitsausschuss </w:t>
      </w:r>
      <w:r w:rsidR="0038300E" w:rsidRPr="000974A4">
        <w:rPr>
          <w:lang w:val="de-DE"/>
        </w:rPr>
        <w:t xml:space="preserve">in dieser Angelegenheit </w:t>
      </w:r>
      <w:r w:rsidR="00BF7436" w:rsidRPr="000974A4">
        <w:rPr>
          <w:lang w:val="de-DE"/>
        </w:rPr>
        <w:t xml:space="preserve">eine </w:t>
      </w:r>
      <w:r w:rsidR="0038300E" w:rsidRPr="000974A4">
        <w:rPr>
          <w:lang w:val="de-DE"/>
        </w:rPr>
        <w:t>sachkundige</w:t>
      </w:r>
      <w:r w:rsidR="00BF7436" w:rsidRPr="000974A4">
        <w:rPr>
          <w:lang w:val="de-DE"/>
        </w:rPr>
        <w:t xml:space="preserve"> Entscheidung treffen kann.</w:t>
      </w:r>
      <w:r w:rsidR="006C5078" w:rsidRPr="000974A4">
        <w:rPr>
          <w:lang w:val="de-DE"/>
        </w:rPr>
        <w:t xml:space="preserve"> </w:t>
      </w:r>
    </w:p>
    <w:p w14:paraId="21AEEFD1" w14:textId="53B085A1" w:rsidR="006C5078" w:rsidRPr="000974A4" w:rsidRDefault="006C5078" w:rsidP="004E750C">
      <w:pPr>
        <w:pStyle w:val="H23G"/>
        <w:spacing w:before="120"/>
        <w:rPr>
          <w:lang w:val="de-DE"/>
        </w:rPr>
      </w:pPr>
      <w:r w:rsidRPr="000974A4">
        <w:rPr>
          <w:lang w:val="de-DE"/>
        </w:rPr>
        <w:tab/>
        <w:t>4.</w:t>
      </w:r>
      <w:r w:rsidRPr="000974A4">
        <w:rPr>
          <w:lang w:val="de-DE"/>
        </w:rPr>
        <w:tab/>
      </w:r>
      <w:r w:rsidR="008A186A" w:rsidRPr="000974A4">
        <w:rPr>
          <w:lang w:val="de-DE"/>
        </w:rPr>
        <w:t>Bauwerkstoffe (Unterabschnitt 9.1.0.0)</w:t>
      </w:r>
    </w:p>
    <w:p w14:paraId="4F32F1CD" w14:textId="7CD3C4B4" w:rsidR="006C5078" w:rsidRPr="000974A4" w:rsidRDefault="006C5078" w:rsidP="008A186A">
      <w:pPr>
        <w:tabs>
          <w:tab w:val="left" w:pos="1134"/>
          <w:tab w:val="left" w:pos="3119"/>
        </w:tabs>
        <w:spacing w:after="120"/>
        <w:rPr>
          <w:lang w:val="de-DE"/>
        </w:rPr>
      </w:pPr>
      <w:r w:rsidRPr="000974A4">
        <w:rPr>
          <w:lang w:val="de-DE"/>
        </w:rPr>
        <w:tab/>
      </w:r>
      <w:r w:rsidR="008A186A" w:rsidRPr="000974A4">
        <w:rPr>
          <w:i/>
          <w:iCs/>
          <w:lang w:val="de-DE"/>
        </w:rPr>
        <w:t>Dokument:</w:t>
      </w:r>
      <w:r w:rsidRPr="000974A4">
        <w:rPr>
          <w:i/>
          <w:iCs/>
          <w:lang w:val="de-DE"/>
        </w:rPr>
        <w:tab/>
      </w:r>
      <w:r w:rsidR="008A186A" w:rsidRPr="000974A4">
        <w:rPr>
          <w:lang w:val="de-DE"/>
        </w:rPr>
        <w:t>ECE/TRANS/WP.15/AC.2/2019/12 (Belgien)</w:t>
      </w:r>
    </w:p>
    <w:p w14:paraId="70732D3F" w14:textId="1641EA26" w:rsidR="006C5078" w:rsidRPr="000974A4" w:rsidRDefault="006C5078" w:rsidP="008A186A">
      <w:pPr>
        <w:tabs>
          <w:tab w:val="left" w:pos="1134"/>
          <w:tab w:val="left" w:pos="1701"/>
          <w:tab w:val="left" w:pos="3119"/>
        </w:tabs>
        <w:spacing w:after="120"/>
        <w:rPr>
          <w:lang w:val="de-DE"/>
        </w:rPr>
      </w:pPr>
      <w:r w:rsidRPr="000974A4">
        <w:rPr>
          <w:lang w:val="de-DE"/>
        </w:rPr>
        <w:tab/>
      </w:r>
      <w:r w:rsidR="00120B0B" w:rsidRPr="000974A4">
        <w:rPr>
          <w:lang w:val="de-DE"/>
        </w:rPr>
        <w:t>44</w:t>
      </w:r>
      <w:r w:rsidRPr="000974A4">
        <w:rPr>
          <w:lang w:val="de-DE"/>
        </w:rPr>
        <w:t>.</w:t>
      </w:r>
      <w:r w:rsidRPr="000974A4">
        <w:rPr>
          <w:lang w:val="de-DE"/>
        </w:rPr>
        <w:tab/>
      </w:r>
      <w:r w:rsidR="008A186A" w:rsidRPr="000974A4">
        <w:rPr>
          <w:lang w:val="de-DE"/>
        </w:rPr>
        <w:t>Der Vertreter Belgiens zog das Dokument zurück.</w:t>
      </w:r>
      <w:r w:rsidRPr="000974A4">
        <w:rPr>
          <w:lang w:val="de-DE"/>
        </w:rPr>
        <w:t xml:space="preserve"> </w:t>
      </w:r>
    </w:p>
    <w:p w14:paraId="6D459DE0" w14:textId="72C4B09E" w:rsidR="00596B2D" w:rsidRPr="000974A4" w:rsidRDefault="00596B2D" w:rsidP="004E750C">
      <w:pPr>
        <w:pStyle w:val="H23G"/>
        <w:spacing w:before="120"/>
        <w:rPr>
          <w:lang w:val="de-DE"/>
        </w:rPr>
      </w:pPr>
      <w:r w:rsidRPr="000974A4">
        <w:rPr>
          <w:lang w:val="de-DE"/>
        </w:rPr>
        <w:tab/>
        <w:t>5.</w:t>
      </w:r>
      <w:r w:rsidRPr="000974A4">
        <w:rPr>
          <w:lang w:val="de-DE"/>
        </w:rPr>
        <w:tab/>
      </w:r>
      <w:r w:rsidR="008A186A" w:rsidRPr="000974A4">
        <w:rPr>
          <w:lang w:val="de-DE"/>
        </w:rPr>
        <w:t>Bunkern von verflüssigtem Erdgas (LNG)</w:t>
      </w:r>
    </w:p>
    <w:p w14:paraId="22C689A5" w14:textId="6B0048AD" w:rsidR="00596B2D" w:rsidRPr="000974A4" w:rsidRDefault="00596B2D" w:rsidP="008A186A">
      <w:pPr>
        <w:tabs>
          <w:tab w:val="left" w:pos="1134"/>
          <w:tab w:val="left" w:pos="3119"/>
        </w:tabs>
        <w:spacing w:after="120"/>
        <w:rPr>
          <w:lang w:val="de-DE"/>
        </w:rPr>
      </w:pPr>
      <w:r w:rsidRPr="000974A4">
        <w:rPr>
          <w:lang w:val="de-DE"/>
        </w:rPr>
        <w:tab/>
      </w:r>
      <w:r w:rsidR="008A186A" w:rsidRPr="000974A4">
        <w:rPr>
          <w:i/>
          <w:iCs/>
          <w:lang w:val="de-DE"/>
        </w:rPr>
        <w:t>Dokument:</w:t>
      </w:r>
      <w:r w:rsidRPr="000974A4">
        <w:rPr>
          <w:i/>
          <w:iCs/>
          <w:lang w:val="de-DE"/>
        </w:rPr>
        <w:tab/>
      </w:r>
      <w:r w:rsidR="008A186A" w:rsidRPr="000974A4">
        <w:rPr>
          <w:lang w:val="de-DE"/>
        </w:rPr>
        <w:t>ECE/TRANS/WP.15/AC.2/2019/15 (Niederlande)</w:t>
      </w:r>
    </w:p>
    <w:p w14:paraId="7A3A961A" w14:textId="7C3C64A3" w:rsidR="008F1B32" w:rsidRPr="000974A4" w:rsidRDefault="00120B0B" w:rsidP="00596B2D">
      <w:pPr>
        <w:pStyle w:val="SingleTxtG"/>
        <w:spacing w:after="0"/>
        <w:rPr>
          <w:lang w:val="de-DE"/>
        </w:rPr>
      </w:pPr>
      <w:r w:rsidRPr="000974A4">
        <w:rPr>
          <w:lang w:val="de-DE"/>
        </w:rPr>
        <w:t>45</w:t>
      </w:r>
      <w:r w:rsidR="00596B2D" w:rsidRPr="000974A4">
        <w:rPr>
          <w:lang w:val="de-DE"/>
        </w:rPr>
        <w:t>.</w:t>
      </w:r>
      <w:r w:rsidR="00596B2D" w:rsidRPr="000974A4">
        <w:rPr>
          <w:lang w:val="de-DE"/>
        </w:rPr>
        <w:tab/>
      </w:r>
      <w:r w:rsidR="008D4A44" w:rsidRPr="000974A4">
        <w:rPr>
          <w:lang w:val="de-DE"/>
        </w:rPr>
        <w:t>Der Sicherheitsausschuss kam überein, dass das Bunkern von LNG nicht als Lade- oder Löschvorgang angesehen werden kann, weshalb die in Absatz 4 des Dokuments vorgeschlagene Änderung des Absatzes 7.2.4.7.2 nicht erforderlich ist.</w:t>
      </w:r>
      <w:r w:rsidR="00596B2D" w:rsidRPr="000974A4">
        <w:rPr>
          <w:lang w:val="de-DE"/>
        </w:rPr>
        <w:t xml:space="preserve"> </w:t>
      </w:r>
      <w:r w:rsidR="00995A34" w:rsidRPr="000974A4">
        <w:rPr>
          <w:lang w:val="de-DE"/>
        </w:rPr>
        <w:t xml:space="preserve">Es wurde darauf hingewiesen, dass das Bunkern von LNG nur im Einklang mit den geltenden </w:t>
      </w:r>
      <w:r w:rsidR="00221064" w:rsidRPr="000974A4">
        <w:rPr>
          <w:lang w:val="de-DE"/>
        </w:rPr>
        <w:t>örtlichen</w:t>
      </w:r>
      <w:r w:rsidR="00995A34" w:rsidRPr="000974A4">
        <w:rPr>
          <w:lang w:val="de-DE"/>
        </w:rPr>
        <w:t>, regionalen oder nationalen Rechtsvorschriften, wie beispielsweise den Hafenv</w:t>
      </w:r>
      <w:r w:rsidR="00221064" w:rsidRPr="000974A4">
        <w:rPr>
          <w:lang w:val="de-DE"/>
        </w:rPr>
        <w:t>e</w:t>
      </w:r>
      <w:r w:rsidR="00995A34" w:rsidRPr="000974A4">
        <w:rPr>
          <w:lang w:val="de-DE"/>
        </w:rPr>
        <w:t>r</w:t>
      </w:r>
      <w:r w:rsidR="00221064" w:rsidRPr="000974A4">
        <w:rPr>
          <w:lang w:val="de-DE"/>
        </w:rPr>
        <w:t>ordnung</w:t>
      </w:r>
      <w:r w:rsidR="00995A34" w:rsidRPr="000974A4">
        <w:rPr>
          <w:lang w:val="de-DE"/>
        </w:rPr>
        <w:t>en, erfolgen sollte.</w:t>
      </w:r>
      <w:r w:rsidR="00596B2D" w:rsidRPr="000974A4">
        <w:rPr>
          <w:lang w:val="de-DE"/>
        </w:rPr>
        <w:t xml:space="preserve"> </w:t>
      </w:r>
      <w:r w:rsidR="00221064" w:rsidRPr="000974A4">
        <w:rPr>
          <w:lang w:val="de-DE"/>
        </w:rPr>
        <w:t>Im Lichte der vorgebrachten Bemerkungen zog der Vertreter der Niederlande den Vorschlag in Absatz 4 zurück.</w:t>
      </w:r>
    </w:p>
    <w:p w14:paraId="0DB53845" w14:textId="77777777" w:rsidR="00A01F93" w:rsidRDefault="00A01F93">
      <w:pPr>
        <w:suppressAutoHyphens w:val="0"/>
        <w:spacing w:line="240" w:lineRule="auto"/>
        <w:rPr>
          <w:lang w:val="de-DE"/>
        </w:rPr>
      </w:pPr>
      <w:r>
        <w:rPr>
          <w:lang w:val="de-DE"/>
        </w:rPr>
        <w:br w:type="page"/>
      </w:r>
    </w:p>
    <w:p w14:paraId="09B57C8F" w14:textId="74918556" w:rsidR="00596B2D" w:rsidRPr="000974A4" w:rsidRDefault="00120B0B" w:rsidP="00596B2D">
      <w:pPr>
        <w:pStyle w:val="SingleTxtG"/>
        <w:spacing w:after="0"/>
        <w:rPr>
          <w:lang w:val="de-DE"/>
        </w:rPr>
      </w:pPr>
      <w:r w:rsidRPr="000974A4">
        <w:rPr>
          <w:lang w:val="de-DE"/>
        </w:rPr>
        <w:lastRenderedPageBreak/>
        <w:t>46</w:t>
      </w:r>
      <w:r w:rsidR="00596B2D" w:rsidRPr="000974A4">
        <w:rPr>
          <w:lang w:val="de-DE"/>
        </w:rPr>
        <w:t>.</w:t>
      </w:r>
      <w:r w:rsidR="00596B2D" w:rsidRPr="000974A4">
        <w:rPr>
          <w:lang w:val="de-DE"/>
        </w:rPr>
        <w:tab/>
      </w:r>
      <w:r w:rsidR="00221064" w:rsidRPr="000974A4">
        <w:rPr>
          <w:lang w:val="de-DE"/>
        </w:rPr>
        <w:t>Der Änderungsvorschlag zu Absatz 7.2.4.17.3 wurde mit einigen Änderungen angenommen (siehe Anlage I).</w:t>
      </w:r>
    </w:p>
    <w:p w14:paraId="12783C57" w14:textId="77777777" w:rsidR="00596B2D" w:rsidRPr="000974A4" w:rsidRDefault="00596B2D" w:rsidP="00596B2D">
      <w:pPr>
        <w:pStyle w:val="SingleTxtG"/>
        <w:spacing w:after="0"/>
        <w:rPr>
          <w:lang w:val="de-DE"/>
        </w:rPr>
      </w:pPr>
    </w:p>
    <w:p w14:paraId="29AF8689" w14:textId="3BD3E098" w:rsidR="00596B2D" w:rsidRPr="000974A4" w:rsidRDefault="00120B0B" w:rsidP="00596B2D">
      <w:pPr>
        <w:pStyle w:val="SingleTxtG"/>
        <w:spacing w:after="0"/>
        <w:rPr>
          <w:lang w:val="de-DE"/>
        </w:rPr>
      </w:pPr>
      <w:r w:rsidRPr="000974A4">
        <w:rPr>
          <w:lang w:val="de-DE"/>
        </w:rPr>
        <w:t>47</w:t>
      </w:r>
      <w:r w:rsidR="00596B2D" w:rsidRPr="000974A4">
        <w:rPr>
          <w:lang w:val="de-DE"/>
        </w:rPr>
        <w:t>.</w:t>
      </w:r>
      <w:r w:rsidR="00596B2D" w:rsidRPr="000974A4">
        <w:rPr>
          <w:lang w:val="de-DE"/>
        </w:rPr>
        <w:tab/>
      </w:r>
      <w:r w:rsidR="00D22ADF" w:rsidRPr="000974A4">
        <w:rPr>
          <w:lang w:val="de-DE"/>
        </w:rPr>
        <w:t>Nach einem Gedankenaustausch über die Vorschläge in den Absätzen 6 und 7 des Dokuments ersuchte der Sicherheitsausschuss den Vertreter der Niederlande, sie unter Berücksichtigung der geäußerten Bemerkungen zu überprüfen und auf der nächsten Sitzung einen überarbeiteten Vorschlag vorzulegen.</w:t>
      </w:r>
    </w:p>
    <w:p w14:paraId="4DC900B3" w14:textId="797459F0" w:rsidR="00596B2D" w:rsidRPr="000974A4" w:rsidRDefault="00596B2D" w:rsidP="008A186A">
      <w:pPr>
        <w:pStyle w:val="H23G"/>
        <w:rPr>
          <w:lang w:val="de-DE"/>
        </w:rPr>
      </w:pPr>
      <w:r w:rsidRPr="000974A4">
        <w:rPr>
          <w:lang w:val="de-DE"/>
        </w:rPr>
        <w:tab/>
        <w:t>6.</w:t>
      </w:r>
      <w:r w:rsidRPr="000974A4">
        <w:rPr>
          <w:lang w:val="de-DE"/>
        </w:rPr>
        <w:tab/>
      </w:r>
      <w:r w:rsidR="008A186A" w:rsidRPr="000974A4">
        <w:rPr>
          <w:lang w:val="de-DE"/>
        </w:rPr>
        <w:t>Änderungen und Berichtigungen der dem ADN beigefügten Verordnung</w:t>
      </w:r>
    </w:p>
    <w:p w14:paraId="332C9F15" w14:textId="46A50B7E" w:rsidR="00596B2D" w:rsidRPr="000974A4" w:rsidRDefault="00596B2D" w:rsidP="008A186A">
      <w:pPr>
        <w:tabs>
          <w:tab w:val="left" w:pos="1134"/>
          <w:tab w:val="left" w:pos="3119"/>
        </w:tabs>
        <w:spacing w:after="120"/>
        <w:rPr>
          <w:lang w:val="de-DE"/>
        </w:rPr>
      </w:pPr>
      <w:r w:rsidRPr="000974A4">
        <w:rPr>
          <w:lang w:val="de-DE"/>
        </w:rPr>
        <w:tab/>
      </w:r>
      <w:r w:rsidR="008A186A" w:rsidRPr="000974A4">
        <w:rPr>
          <w:i/>
          <w:iCs/>
          <w:lang w:val="de-DE"/>
        </w:rPr>
        <w:t>Dokument:</w:t>
      </w:r>
      <w:r w:rsidRPr="000974A4">
        <w:rPr>
          <w:i/>
          <w:iCs/>
          <w:lang w:val="de-DE"/>
        </w:rPr>
        <w:tab/>
      </w:r>
      <w:r w:rsidR="008A186A" w:rsidRPr="000974A4">
        <w:rPr>
          <w:lang w:val="de-DE"/>
        </w:rPr>
        <w:t>ECE/TRANS/WP.15/AC.2/2019/17 (Sekretariat)</w:t>
      </w:r>
    </w:p>
    <w:p w14:paraId="51DFAA1E" w14:textId="0B02AC06" w:rsidR="00596B2D" w:rsidRPr="000974A4" w:rsidRDefault="00120B0B" w:rsidP="00A07FA1">
      <w:pPr>
        <w:pStyle w:val="SingleTxtG"/>
        <w:rPr>
          <w:lang w:val="de-DE"/>
        </w:rPr>
      </w:pPr>
      <w:r w:rsidRPr="000974A4">
        <w:rPr>
          <w:lang w:val="de-DE"/>
        </w:rPr>
        <w:t>48</w:t>
      </w:r>
      <w:r w:rsidR="00596B2D" w:rsidRPr="000974A4">
        <w:rPr>
          <w:lang w:val="de-DE"/>
        </w:rPr>
        <w:t>.</w:t>
      </w:r>
      <w:r w:rsidR="00596B2D" w:rsidRPr="000974A4">
        <w:rPr>
          <w:lang w:val="de-DE"/>
        </w:rPr>
        <w:tab/>
      </w:r>
      <w:r w:rsidR="00233C7F" w:rsidRPr="000974A4">
        <w:rPr>
          <w:lang w:val="de-DE"/>
        </w:rPr>
        <w:t>Der Sicherheitsausschuss nahm die Folgeänderungen und -korrekturen der Unterabschnitte 3.2.3.1, 7.2.3.7, die Begriffsbestimmung für „Slops“ und 1.8.3.3 (sechster und neunter Anstrich) sowie eine Korrektur der englischen Fassung des Unterabschnitts 3.2.4.3 B an, um sie an die anderen Sprachfassungen anzupassen (siehe Anlagen I und II).</w:t>
      </w:r>
    </w:p>
    <w:p w14:paraId="413A66A1" w14:textId="1C15ED1B" w:rsidR="00596B2D" w:rsidRPr="000974A4" w:rsidRDefault="00120B0B" w:rsidP="00A07FA1">
      <w:pPr>
        <w:pStyle w:val="SingleTxtG"/>
        <w:rPr>
          <w:lang w:val="de-DE"/>
        </w:rPr>
      </w:pPr>
      <w:r w:rsidRPr="000974A4">
        <w:rPr>
          <w:lang w:val="de-DE"/>
        </w:rPr>
        <w:t>49</w:t>
      </w:r>
      <w:r w:rsidR="00596B2D" w:rsidRPr="000974A4">
        <w:rPr>
          <w:lang w:val="de-DE"/>
        </w:rPr>
        <w:t>.</w:t>
      </w:r>
      <w:r w:rsidR="00596B2D" w:rsidRPr="000974A4">
        <w:rPr>
          <w:lang w:val="de-DE"/>
        </w:rPr>
        <w:tab/>
      </w:r>
      <w:r w:rsidR="00233C7F" w:rsidRPr="000974A4">
        <w:rPr>
          <w:lang w:val="de-DE"/>
        </w:rPr>
        <w:t>Die Prüfung der in Absatz 7 des Dokuments aufgeworfenen Frage wurde der informellen Arbeitsgruppe „Stoffe“ übertragen.</w:t>
      </w:r>
      <w:r w:rsidR="00596B2D" w:rsidRPr="000974A4">
        <w:rPr>
          <w:lang w:val="de-DE"/>
        </w:rPr>
        <w:t xml:space="preserve"> </w:t>
      </w:r>
    </w:p>
    <w:p w14:paraId="600EEFBE" w14:textId="5B2DB40D" w:rsidR="00596B2D" w:rsidRPr="000974A4" w:rsidRDefault="00596B2D" w:rsidP="00AB66A6">
      <w:pPr>
        <w:pStyle w:val="SingleTxtG"/>
        <w:spacing w:after="0"/>
        <w:rPr>
          <w:lang w:val="de-DE"/>
        </w:rPr>
      </w:pPr>
      <w:r w:rsidRPr="000974A4">
        <w:rPr>
          <w:lang w:val="de-DE"/>
        </w:rPr>
        <w:tab/>
      </w:r>
      <w:r w:rsidR="00120B0B" w:rsidRPr="000974A4">
        <w:rPr>
          <w:lang w:val="de-DE"/>
        </w:rPr>
        <w:t>50</w:t>
      </w:r>
      <w:r w:rsidRPr="000974A4">
        <w:rPr>
          <w:lang w:val="de-DE"/>
        </w:rPr>
        <w:t>.</w:t>
      </w:r>
      <w:r w:rsidRPr="000974A4">
        <w:rPr>
          <w:lang w:val="de-DE"/>
        </w:rPr>
        <w:tab/>
      </w:r>
      <w:r w:rsidR="00233C7F" w:rsidRPr="000974A4">
        <w:rPr>
          <w:lang w:val="de-DE"/>
        </w:rPr>
        <w:t>Da sich der Sicherheitsausschuss häufig mit Korrekturvorschlägen zur Behebung von Abweichungen zwischen den verschiedenen Sprachfassungen zu befassen hat, bot der Vorsitzende an, einen Vorschlag für ein besseres Verfahren zur künftigen Lösung dieser Probleme zu entwickeln.</w:t>
      </w:r>
    </w:p>
    <w:p w14:paraId="38102DA8" w14:textId="0FD492D6" w:rsidR="00596B2D" w:rsidRPr="000974A4" w:rsidRDefault="00596B2D" w:rsidP="008A186A">
      <w:pPr>
        <w:pStyle w:val="H23G"/>
        <w:rPr>
          <w:lang w:val="de-DE"/>
        </w:rPr>
      </w:pPr>
      <w:r w:rsidRPr="000974A4">
        <w:rPr>
          <w:lang w:val="de-DE"/>
        </w:rPr>
        <w:tab/>
        <w:t>7.</w:t>
      </w:r>
      <w:r w:rsidRPr="000974A4">
        <w:rPr>
          <w:lang w:val="de-DE"/>
        </w:rPr>
        <w:tab/>
      </w:r>
      <w:r w:rsidR="008A186A" w:rsidRPr="000974A4">
        <w:rPr>
          <w:lang w:val="de-DE"/>
        </w:rPr>
        <w:t>Tabelle C:</w:t>
      </w:r>
      <w:r w:rsidRPr="000974A4">
        <w:rPr>
          <w:lang w:val="de-DE"/>
        </w:rPr>
        <w:t xml:space="preserve"> </w:t>
      </w:r>
      <w:r w:rsidR="008A186A" w:rsidRPr="000974A4">
        <w:rPr>
          <w:lang w:val="de-DE"/>
        </w:rPr>
        <w:t>UN-Nr. 3295</w:t>
      </w:r>
    </w:p>
    <w:p w14:paraId="5FB45381" w14:textId="37BF3B4F" w:rsidR="00596B2D" w:rsidRPr="000974A4" w:rsidRDefault="00596B2D" w:rsidP="008A186A">
      <w:pPr>
        <w:tabs>
          <w:tab w:val="left" w:pos="1134"/>
          <w:tab w:val="left" w:pos="3119"/>
        </w:tabs>
        <w:spacing w:after="120"/>
        <w:rPr>
          <w:lang w:val="de-DE"/>
        </w:rPr>
      </w:pPr>
      <w:r w:rsidRPr="000974A4">
        <w:rPr>
          <w:lang w:val="de-DE"/>
        </w:rPr>
        <w:tab/>
      </w:r>
      <w:r w:rsidR="008A186A" w:rsidRPr="000974A4">
        <w:rPr>
          <w:i/>
          <w:iCs/>
          <w:lang w:val="de-DE"/>
        </w:rPr>
        <w:t>Informelles Dokument:</w:t>
      </w:r>
      <w:r w:rsidRPr="000974A4">
        <w:rPr>
          <w:lang w:val="de-DE"/>
        </w:rPr>
        <w:tab/>
        <w:t xml:space="preserve"> </w:t>
      </w:r>
      <w:r w:rsidR="008A186A" w:rsidRPr="000974A4">
        <w:rPr>
          <w:lang w:val="de-DE"/>
        </w:rPr>
        <w:t>INF.2 (Deutschland)</w:t>
      </w:r>
    </w:p>
    <w:p w14:paraId="23F47506" w14:textId="0B45BB9F" w:rsidR="00596B2D" w:rsidRPr="000974A4" w:rsidRDefault="00120B0B" w:rsidP="00596B2D">
      <w:pPr>
        <w:pStyle w:val="SingleTxtG"/>
        <w:spacing w:after="0"/>
        <w:rPr>
          <w:lang w:val="de-DE"/>
        </w:rPr>
      </w:pPr>
      <w:r w:rsidRPr="000974A4">
        <w:rPr>
          <w:lang w:val="de-DE"/>
        </w:rPr>
        <w:t>51</w:t>
      </w:r>
      <w:r w:rsidR="00596B2D" w:rsidRPr="000974A4">
        <w:rPr>
          <w:lang w:val="de-DE"/>
        </w:rPr>
        <w:t>.</w:t>
      </w:r>
      <w:r w:rsidR="00596B2D" w:rsidRPr="000974A4">
        <w:rPr>
          <w:lang w:val="de-DE"/>
        </w:rPr>
        <w:tab/>
      </w:r>
      <w:r w:rsidR="008A186A" w:rsidRPr="000974A4">
        <w:rPr>
          <w:lang w:val="de-DE"/>
        </w:rPr>
        <w:t>Der Sicherheitsausschuss übertrug die Prüfung dieses Vorschlags der informellen Arbeitsgruppe „Stoffe“.</w:t>
      </w:r>
      <w:r w:rsidR="00596B2D" w:rsidRPr="000974A4">
        <w:rPr>
          <w:lang w:val="de-DE"/>
        </w:rPr>
        <w:t xml:space="preserve"> </w:t>
      </w:r>
    </w:p>
    <w:bookmarkEnd w:id="10"/>
    <w:p w14:paraId="7836A17F" w14:textId="5CA81DC2" w:rsidR="00596B2D" w:rsidRPr="000974A4" w:rsidRDefault="00596B2D" w:rsidP="008A186A">
      <w:pPr>
        <w:pStyle w:val="H23G"/>
        <w:rPr>
          <w:lang w:val="de-DE"/>
        </w:rPr>
      </w:pPr>
      <w:r w:rsidRPr="000974A4">
        <w:rPr>
          <w:lang w:val="de-DE"/>
        </w:rPr>
        <w:tab/>
        <w:t>8.</w:t>
      </w:r>
      <w:r w:rsidRPr="000974A4">
        <w:rPr>
          <w:lang w:val="de-DE"/>
        </w:rPr>
        <w:tab/>
      </w:r>
      <w:r w:rsidR="008A186A" w:rsidRPr="000974A4">
        <w:rPr>
          <w:lang w:val="de-DE"/>
        </w:rPr>
        <w:t>Vorschläge zur Anpassung der Verweise auf die CEVNI im ADN</w:t>
      </w:r>
    </w:p>
    <w:p w14:paraId="62DE7CF2" w14:textId="54D0DDCA" w:rsidR="00596B2D" w:rsidRPr="000974A4" w:rsidRDefault="00596B2D" w:rsidP="008A186A">
      <w:pPr>
        <w:tabs>
          <w:tab w:val="left" w:pos="1134"/>
          <w:tab w:val="left" w:pos="3119"/>
        </w:tabs>
        <w:spacing w:after="120"/>
        <w:rPr>
          <w:lang w:val="de-DE"/>
        </w:rPr>
      </w:pPr>
      <w:r w:rsidRPr="000974A4">
        <w:rPr>
          <w:lang w:val="de-DE"/>
        </w:rPr>
        <w:tab/>
      </w:r>
      <w:r w:rsidR="008A186A" w:rsidRPr="000974A4">
        <w:rPr>
          <w:i/>
          <w:iCs/>
          <w:lang w:val="de-DE"/>
        </w:rPr>
        <w:t>Informelles Dokument:</w:t>
      </w:r>
      <w:r w:rsidRPr="000974A4">
        <w:rPr>
          <w:lang w:val="de-DE"/>
        </w:rPr>
        <w:tab/>
      </w:r>
      <w:r w:rsidR="008A186A" w:rsidRPr="000974A4">
        <w:rPr>
          <w:lang w:val="de-DE"/>
        </w:rPr>
        <w:t>INF.5 (ZKR)</w:t>
      </w:r>
    </w:p>
    <w:p w14:paraId="0C6C3AD7" w14:textId="0242823B" w:rsidR="00596B2D" w:rsidRPr="000974A4" w:rsidRDefault="00120B0B" w:rsidP="007B18E2">
      <w:pPr>
        <w:pStyle w:val="SingleTxtG"/>
        <w:rPr>
          <w:lang w:val="de-DE"/>
        </w:rPr>
      </w:pPr>
      <w:r w:rsidRPr="000974A4">
        <w:rPr>
          <w:lang w:val="de-DE"/>
        </w:rPr>
        <w:t>52</w:t>
      </w:r>
      <w:r w:rsidR="00596B2D" w:rsidRPr="000974A4">
        <w:rPr>
          <w:lang w:val="de-DE"/>
        </w:rPr>
        <w:t>.</w:t>
      </w:r>
      <w:r w:rsidR="00596B2D" w:rsidRPr="000974A4">
        <w:rPr>
          <w:lang w:val="de-DE"/>
        </w:rPr>
        <w:tab/>
      </w:r>
      <w:r w:rsidR="002F4F60" w:rsidRPr="000974A4">
        <w:rPr>
          <w:lang w:val="de-DE"/>
        </w:rPr>
        <w:t>Nach Ansicht des Sicherheitsausschusses bedarf es mehr Zeit, um die Auswirkungen der vorgeschlagenen Änderungen zu bewerten. Er ersuchte das Sekretariat der ZKR, die Vorlage eines offiziellen Dokuments für die nächste Sitzung zu prüfen.</w:t>
      </w:r>
      <w:r w:rsidR="00596B2D" w:rsidRPr="000974A4">
        <w:rPr>
          <w:lang w:val="de-DE"/>
        </w:rPr>
        <w:t xml:space="preserve"> </w:t>
      </w:r>
    </w:p>
    <w:p w14:paraId="2F1A054D" w14:textId="19D498BF" w:rsidR="00596B2D" w:rsidRPr="000974A4" w:rsidRDefault="00596B2D" w:rsidP="008A186A">
      <w:pPr>
        <w:pStyle w:val="H23G"/>
        <w:rPr>
          <w:lang w:val="de-DE"/>
        </w:rPr>
      </w:pPr>
      <w:r w:rsidRPr="000974A4">
        <w:rPr>
          <w:lang w:val="de-DE"/>
        </w:rPr>
        <w:tab/>
        <w:t>9.</w:t>
      </w:r>
      <w:r w:rsidRPr="000974A4">
        <w:rPr>
          <w:lang w:val="de-DE"/>
        </w:rPr>
        <w:tab/>
      </w:r>
      <w:r w:rsidR="008A186A" w:rsidRPr="000974A4">
        <w:rPr>
          <w:lang w:val="de-DE"/>
        </w:rPr>
        <w:t>Berichtigung der Beispiele für Schiffstypen in Abschnitt 1.2.1</w:t>
      </w:r>
    </w:p>
    <w:p w14:paraId="144A217C" w14:textId="53772399" w:rsidR="00596B2D" w:rsidRPr="000974A4" w:rsidRDefault="00596B2D" w:rsidP="008A186A">
      <w:pPr>
        <w:tabs>
          <w:tab w:val="left" w:pos="1134"/>
          <w:tab w:val="left" w:pos="3119"/>
        </w:tabs>
        <w:spacing w:after="120"/>
        <w:rPr>
          <w:lang w:val="de-DE"/>
        </w:rPr>
      </w:pPr>
      <w:r w:rsidRPr="000974A4">
        <w:rPr>
          <w:lang w:val="de-DE"/>
        </w:rPr>
        <w:tab/>
      </w:r>
      <w:r w:rsidR="008A186A" w:rsidRPr="000974A4">
        <w:rPr>
          <w:i/>
          <w:iCs/>
          <w:lang w:val="de-DE"/>
        </w:rPr>
        <w:t>Informelles Dokument:</w:t>
      </w:r>
      <w:r w:rsidRPr="000974A4">
        <w:rPr>
          <w:lang w:val="de-DE"/>
        </w:rPr>
        <w:tab/>
      </w:r>
      <w:r w:rsidR="008A186A" w:rsidRPr="000974A4">
        <w:rPr>
          <w:lang w:val="de-DE"/>
        </w:rPr>
        <w:t>INF.6 (Österreich)</w:t>
      </w:r>
    </w:p>
    <w:p w14:paraId="7AF34299" w14:textId="1F6B6365" w:rsidR="00596B2D" w:rsidRPr="000974A4" w:rsidRDefault="00120B0B" w:rsidP="002F4F60">
      <w:pPr>
        <w:pStyle w:val="SingleTxtG"/>
        <w:rPr>
          <w:lang w:val="de-DE"/>
        </w:rPr>
      </w:pPr>
      <w:r w:rsidRPr="000974A4">
        <w:rPr>
          <w:lang w:val="de-DE"/>
        </w:rPr>
        <w:t>53</w:t>
      </w:r>
      <w:r w:rsidR="00596B2D" w:rsidRPr="000974A4">
        <w:rPr>
          <w:lang w:val="de-DE"/>
        </w:rPr>
        <w:t>.</w:t>
      </w:r>
      <w:r w:rsidR="00596B2D" w:rsidRPr="000974A4">
        <w:rPr>
          <w:lang w:val="de-DE"/>
        </w:rPr>
        <w:tab/>
      </w:r>
      <w:r w:rsidR="002F4F60" w:rsidRPr="000974A4">
        <w:rPr>
          <w:lang w:val="de-DE"/>
        </w:rPr>
        <w:t>Es wurde festgestellt, dass es sich bei Typ-C-Schiffen um Doppelhüllenschiffe handelt und Typ-3-Ladetanks nicht für Typ-C-Schiffe verwendet werden.</w:t>
      </w:r>
      <w:r w:rsidR="00596B2D" w:rsidRPr="000974A4">
        <w:rPr>
          <w:lang w:val="de-DE"/>
        </w:rPr>
        <w:t xml:space="preserve"> </w:t>
      </w:r>
      <w:r w:rsidR="002F4F60" w:rsidRPr="000974A4">
        <w:rPr>
          <w:lang w:val="de-DE"/>
        </w:rPr>
        <w:t>Aus diesen Gründen hielt der Sicherheitsausschuss die vorgeschlagene Korrektur für nicht angebracht und nahm sie nicht an.</w:t>
      </w:r>
      <w:r w:rsidR="00596B2D" w:rsidRPr="000974A4">
        <w:rPr>
          <w:lang w:val="de-DE"/>
        </w:rPr>
        <w:t xml:space="preserve"> </w:t>
      </w:r>
    </w:p>
    <w:p w14:paraId="614EDC65" w14:textId="09156DB6" w:rsidR="00596B2D" w:rsidRPr="000974A4" w:rsidRDefault="00596B2D" w:rsidP="008A186A">
      <w:pPr>
        <w:pStyle w:val="H23G"/>
        <w:rPr>
          <w:lang w:val="de-DE"/>
        </w:rPr>
      </w:pPr>
      <w:r w:rsidRPr="000974A4">
        <w:rPr>
          <w:lang w:val="de-DE"/>
        </w:rPr>
        <w:tab/>
        <w:t>10.</w:t>
      </w:r>
      <w:r w:rsidRPr="000974A4">
        <w:rPr>
          <w:lang w:val="de-DE"/>
        </w:rPr>
        <w:tab/>
      </w:r>
      <w:r w:rsidR="008A186A" w:rsidRPr="000974A4">
        <w:rPr>
          <w:lang w:val="de-DE"/>
        </w:rPr>
        <w:t>Aktualisierung der Schiffskontrolllisten gemäß Absatz 1.8.1.2.1</w:t>
      </w:r>
    </w:p>
    <w:p w14:paraId="2969EF6D" w14:textId="0C9159F8" w:rsidR="00596B2D" w:rsidRPr="000974A4" w:rsidRDefault="00596B2D" w:rsidP="008A186A">
      <w:pPr>
        <w:tabs>
          <w:tab w:val="left" w:pos="1134"/>
          <w:tab w:val="left" w:pos="3119"/>
        </w:tabs>
        <w:spacing w:after="120"/>
        <w:rPr>
          <w:lang w:val="de-DE"/>
        </w:rPr>
      </w:pPr>
      <w:r w:rsidRPr="000974A4">
        <w:rPr>
          <w:lang w:val="de-DE"/>
        </w:rPr>
        <w:tab/>
      </w:r>
      <w:r w:rsidR="008A186A" w:rsidRPr="000974A4">
        <w:rPr>
          <w:i/>
          <w:iCs/>
          <w:lang w:val="de-DE"/>
        </w:rPr>
        <w:t>Informelles Dokument:</w:t>
      </w:r>
      <w:r w:rsidRPr="000974A4">
        <w:rPr>
          <w:lang w:val="de-DE"/>
        </w:rPr>
        <w:tab/>
      </w:r>
      <w:r w:rsidR="008A186A" w:rsidRPr="000974A4">
        <w:rPr>
          <w:lang w:val="de-DE"/>
        </w:rPr>
        <w:t>INF.7 (Österreich)</w:t>
      </w:r>
    </w:p>
    <w:p w14:paraId="0EDB4603" w14:textId="1DF9AA41" w:rsidR="0056390E" w:rsidRPr="000974A4" w:rsidRDefault="00120B0B" w:rsidP="007B18E2">
      <w:pPr>
        <w:pStyle w:val="SingleTxtG"/>
        <w:rPr>
          <w:lang w:val="de-DE"/>
        </w:rPr>
      </w:pPr>
      <w:r w:rsidRPr="000974A4">
        <w:rPr>
          <w:lang w:val="de-DE"/>
        </w:rPr>
        <w:t>54</w:t>
      </w:r>
      <w:r w:rsidR="00596B2D" w:rsidRPr="000974A4">
        <w:rPr>
          <w:lang w:val="de-DE"/>
        </w:rPr>
        <w:t>.</w:t>
      </w:r>
      <w:r w:rsidR="00596B2D" w:rsidRPr="000974A4">
        <w:rPr>
          <w:lang w:val="de-DE"/>
        </w:rPr>
        <w:tab/>
      </w:r>
      <w:r w:rsidR="002F4F60" w:rsidRPr="000974A4">
        <w:rPr>
          <w:lang w:val="de-DE"/>
        </w:rPr>
        <w:t>Der Sicherheitsausschuss stimmte mit dem Vertreter Österreichs darin überein, dass die Schiffskontrollliste aktualisiert werden muss, um den Bestimmungen der Ausgabe 2019 des ADN Rechnung zu tragen.</w:t>
      </w:r>
      <w:r w:rsidR="00596B2D" w:rsidRPr="000974A4">
        <w:rPr>
          <w:lang w:val="de-DE"/>
        </w:rPr>
        <w:t xml:space="preserve"> </w:t>
      </w:r>
      <w:r w:rsidR="002F4F60" w:rsidRPr="000974A4">
        <w:rPr>
          <w:lang w:val="de-DE"/>
        </w:rPr>
        <w:t>Die Vertreter Deutschlands, der Niederlande und Frankreichs erklärten sich bereit, auf der Grundlage des informellen Dokuments INF.7 gemeinsam mit dem Vertreter Österreichs an der Ausarbeitung eines Vorschlags für die nächste Sitzung zu arbeiten.</w:t>
      </w:r>
      <w:r w:rsidR="00596B2D" w:rsidRPr="000974A4">
        <w:rPr>
          <w:lang w:val="de-DE"/>
        </w:rPr>
        <w:t xml:space="preserve"> </w:t>
      </w:r>
      <w:r w:rsidR="002F4F60" w:rsidRPr="000974A4">
        <w:rPr>
          <w:lang w:val="de-DE"/>
        </w:rPr>
        <w:t>Der Sicherheitsausschuss ermunterte sie, die nationalen Kontrollstellen und andere relevante Interessengruppen in diese Arbeit einzubeziehen.</w:t>
      </w:r>
      <w:r w:rsidR="00596B2D" w:rsidRPr="000974A4">
        <w:rPr>
          <w:lang w:val="de-DE"/>
        </w:rPr>
        <w:t xml:space="preserve"> </w:t>
      </w:r>
    </w:p>
    <w:p w14:paraId="516E9598" w14:textId="2EFDBDB1" w:rsidR="00596B2D" w:rsidRPr="000974A4" w:rsidRDefault="00596B2D" w:rsidP="004E750C">
      <w:pPr>
        <w:pStyle w:val="H23G"/>
        <w:spacing w:line="240" w:lineRule="auto"/>
        <w:rPr>
          <w:lang w:val="de-DE"/>
        </w:rPr>
      </w:pPr>
      <w:r w:rsidRPr="000974A4">
        <w:rPr>
          <w:lang w:val="de-DE"/>
        </w:rPr>
        <w:lastRenderedPageBreak/>
        <w:tab/>
        <w:t>11.</w:t>
      </w:r>
      <w:r w:rsidRPr="000974A4">
        <w:rPr>
          <w:lang w:val="de-DE"/>
        </w:rPr>
        <w:tab/>
      </w:r>
      <w:r w:rsidR="008A186A" w:rsidRPr="000974A4">
        <w:rPr>
          <w:lang w:val="de-DE"/>
        </w:rPr>
        <w:t>Unterabschnitt 3.2.3.3, Schema A:</w:t>
      </w:r>
      <w:r w:rsidRPr="000974A4">
        <w:rPr>
          <w:lang w:val="de-DE"/>
        </w:rPr>
        <w:t xml:space="preserve"> </w:t>
      </w:r>
      <w:r w:rsidR="008A186A" w:rsidRPr="000974A4">
        <w:rPr>
          <w:lang w:val="de-DE"/>
        </w:rPr>
        <w:t>Kriterien für die Ladetankausrüstung von C-Schiffen</w:t>
      </w:r>
    </w:p>
    <w:p w14:paraId="1A6DD8EA" w14:textId="2C0B557F" w:rsidR="00596B2D" w:rsidRPr="000974A4" w:rsidRDefault="00596B2D" w:rsidP="004E750C">
      <w:pPr>
        <w:keepNext/>
        <w:keepLines/>
        <w:tabs>
          <w:tab w:val="left" w:pos="1134"/>
          <w:tab w:val="left" w:pos="3119"/>
        </w:tabs>
        <w:spacing w:after="120" w:line="240" w:lineRule="auto"/>
        <w:rPr>
          <w:lang w:val="de-DE"/>
        </w:rPr>
      </w:pPr>
      <w:r w:rsidRPr="000974A4">
        <w:rPr>
          <w:lang w:val="de-DE"/>
        </w:rPr>
        <w:tab/>
      </w:r>
      <w:r w:rsidR="008A186A" w:rsidRPr="000974A4">
        <w:rPr>
          <w:i/>
          <w:iCs/>
          <w:lang w:val="de-DE"/>
        </w:rPr>
        <w:t>Informelles Dokument:</w:t>
      </w:r>
      <w:r w:rsidRPr="000974A4">
        <w:rPr>
          <w:lang w:val="de-DE"/>
        </w:rPr>
        <w:tab/>
      </w:r>
      <w:r w:rsidR="008A186A" w:rsidRPr="000974A4">
        <w:rPr>
          <w:lang w:val="de-DE"/>
        </w:rPr>
        <w:t>INF.10 (Niederlande)</w:t>
      </w:r>
    </w:p>
    <w:p w14:paraId="032743AE" w14:textId="0BD29D83" w:rsidR="00596B2D" w:rsidRPr="000974A4" w:rsidRDefault="00120B0B" w:rsidP="004E750C">
      <w:pPr>
        <w:pStyle w:val="SingleTxtG"/>
        <w:keepNext/>
        <w:keepLines/>
        <w:spacing w:line="240" w:lineRule="auto"/>
        <w:rPr>
          <w:lang w:val="de-DE"/>
        </w:rPr>
      </w:pPr>
      <w:r w:rsidRPr="000974A4">
        <w:rPr>
          <w:lang w:val="de-DE"/>
        </w:rPr>
        <w:t>55</w:t>
      </w:r>
      <w:r w:rsidR="00596B2D" w:rsidRPr="000974A4">
        <w:rPr>
          <w:lang w:val="de-DE"/>
        </w:rPr>
        <w:t>.</w:t>
      </w:r>
      <w:r w:rsidR="00596B2D" w:rsidRPr="000974A4">
        <w:rPr>
          <w:lang w:val="de-DE"/>
        </w:rPr>
        <w:tab/>
      </w:r>
      <w:r w:rsidR="008A186A" w:rsidRPr="000974A4">
        <w:rPr>
          <w:lang w:val="de-DE"/>
        </w:rPr>
        <w:t>Der Sicherheitsausschuss stimmte den Berichtigungen des Unterabschnitts 3.2.3.3 (Schema A) in Absatz 5 des informellen Dokuments zu (siehe Anlage III).</w:t>
      </w:r>
      <w:r w:rsidR="00596B2D" w:rsidRPr="000974A4">
        <w:rPr>
          <w:lang w:val="de-DE"/>
        </w:rPr>
        <w:t xml:space="preserve"> </w:t>
      </w:r>
      <w:r w:rsidR="008A186A" w:rsidRPr="000974A4">
        <w:rPr>
          <w:lang w:val="de-DE"/>
        </w:rPr>
        <w:t>Es wurde darauf hingewiesen, dass die deutsche Fassung des ADN von diesen Berichtigungen nicht betroffen ist.</w:t>
      </w:r>
    </w:p>
    <w:p w14:paraId="40AF652A" w14:textId="7EA414AB" w:rsidR="0056390E" w:rsidRPr="000974A4" w:rsidRDefault="00120B0B" w:rsidP="004E750C">
      <w:pPr>
        <w:pStyle w:val="SingleTxtG"/>
        <w:spacing w:line="240" w:lineRule="auto"/>
        <w:rPr>
          <w:lang w:val="de-DE"/>
        </w:rPr>
      </w:pPr>
      <w:r w:rsidRPr="000974A4">
        <w:rPr>
          <w:lang w:val="de-DE"/>
        </w:rPr>
        <w:t>56</w:t>
      </w:r>
      <w:r w:rsidR="00596B2D" w:rsidRPr="000974A4">
        <w:rPr>
          <w:lang w:val="de-DE"/>
        </w:rPr>
        <w:t>.</w:t>
      </w:r>
      <w:r w:rsidR="00596B2D" w:rsidRPr="000974A4">
        <w:rPr>
          <w:lang w:val="de-DE"/>
        </w:rPr>
        <w:tab/>
      </w:r>
      <w:r w:rsidR="00B94EEC" w:rsidRPr="000974A4">
        <w:rPr>
          <w:lang w:val="de-DE"/>
        </w:rPr>
        <w:t xml:space="preserve">Nach Kenntnisnahme der Informationen in Absatz 2 des informellen Dokuments über die Komplexität der Schemata in Absatz 3.2.3.3 bat der Sicherheitsausschuss die informelle Gruppe „Stoffe“, diese zu überprüfen und die Ausarbeitung von Vorschlägen zur </w:t>
      </w:r>
      <w:r w:rsidR="003006A1" w:rsidRPr="000974A4">
        <w:rPr>
          <w:lang w:val="de-DE"/>
        </w:rPr>
        <w:t>Erhöhung</w:t>
      </w:r>
      <w:r w:rsidR="00B94EEC" w:rsidRPr="000974A4">
        <w:rPr>
          <w:lang w:val="de-DE"/>
        </w:rPr>
        <w:t xml:space="preserve"> </w:t>
      </w:r>
      <w:r w:rsidR="003006A1" w:rsidRPr="000974A4">
        <w:rPr>
          <w:lang w:val="de-DE"/>
        </w:rPr>
        <w:t>d</w:t>
      </w:r>
      <w:r w:rsidR="00B94EEC" w:rsidRPr="000974A4">
        <w:rPr>
          <w:lang w:val="de-DE"/>
        </w:rPr>
        <w:t>er Benutzerfreundlichkeit zu prüfen.</w:t>
      </w:r>
    </w:p>
    <w:p w14:paraId="2E364BBE" w14:textId="6A534132" w:rsidR="00596B2D" w:rsidRPr="000974A4" w:rsidRDefault="00120B0B" w:rsidP="004E750C">
      <w:pPr>
        <w:pStyle w:val="H23G"/>
        <w:spacing w:before="120" w:line="240" w:lineRule="auto"/>
        <w:rPr>
          <w:lang w:val="de-DE"/>
        </w:rPr>
      </w:pPr>
      <w:r w:rsidRPr="000974A4">
        <w:rPr>
          <w:lang w:val="de-DE"/>
        </w:rPr>
        <w:tab/>
      </w:r>
      <w:r w:rsidR="00596B2D" w:rsidRPr="000974A4">
        <w:rPr>
          <w:lang w:val="de-DE"/>
        </w:rPr>
        <w:t>12.</w:t>
      </w:r>
      <w:r w:rsidR="00596B2D" w:rsidRPr="000974A4">
        <w:rPr>
          <w:lang w:val="de-DE"/>
        </w:rPr>
        <w:tab/>
      </w:r>
      <w:r w:rsidR="009E4996" w:rsidRPr="000974A4">
        <w:rPr>
          <w:lang w:val="de-DE"/>
        </w:rPr>
        <w:t>Begriffsbestimmung „Gasabfuhrleitung“ „an Bord“ in Abschnitt 1.2.1</w:t>
      </w:r>
    </w:p>
    <w:p w14:paraId="7404747D" w14:textId="0E69038F" w:rsidR="00596B2D" w:rsidRPr="000974A4" w:rsidRDefault="00596B2D" w:rsidP="004E750C">
      <w:pPr>
        <w:pStyle w:val="SingleTxtG"/>
        <w:spacing w:line="240" w:lineRule="auto"/>
        <w:rPr>
          <w:lang w:val="de-DE"/>
        </w:rPr>
      </w:pPr>
      <w:r w:rsidRPr="000974A4">
        <w:rPr>
          <w:lang w:val="de-DE"/>
        </w:rPr>
        <w:tab/>
      </w:r>
      <w:r w:rsidR="009E4996" w:rsidRPr="000974A4">
        <w:rPr>
          <w:i/>
          <w:iCs/>
          <w:lang w:val="de-DE"/>
        </w:rPr>
        <w:t>Informelles Dokument:</w:t>
      </w:r>
      <w:r w:rsidRPr="000974A4">
        <w:rPr>
          <w:lang w:val="de-DE"/>
        </w:rPr>
        <w:tab/>
        <w:t>INF.18 (CEFIC)</w:t>
      </w:r>
    </w:p>
    <w:p w14:paraId="712A6F77" w14:textId="38F939DD" w:rsidR="00647129" w:rsidRPr="000974A4" w:rsidRDefault="00120B0B" w:rsidP="004E750C">
      <w:pPr>
        <w:pStyle w:val="SingleTxtG"/>
        <w:spacing w:line="240" w:lineRule="auto"/>
        <w:rPr>
          <w:lang w:val="de-DE"/>
        </w:rPr>
      </w:pPr>
      <w:r w:rsidRPr="000974A4">
        <w:rPr>
          <w:lang w:val="de-DE"/>
        </w:rPr>
        <w:t>57</w:t>
      </w:r>
      <w:r w:rsidR="00596B2D" w:rsidRPr="000974A4">
        <w:rPr>
          <w:lang w:val="de-DE"/>
        </w:rPr>
        <w:t>.</w:t>
      </w:r>
      <w:r w:rsidR="00596B2D" w:rsidRPr="000974A4">
        <w:rPr>
          <w:lang w:val="de-DE"/>
        </w:rPr>
        <w:tab/>
      </w:r>
      <w:r w:rsidR="009E4996" w:rsidRPr="000974A4">
        <w:rPr>
          <w:lang w:val="de-DE"/>
        </w:rPr>
        <w:t xml:space="preserve">Der Sicherheitsausschuss stimmte den Änderungsvorschlägen des CEFIC-Vertreters grundsätzlich zu und ersuchte ihn, auf der nächsten </w:t>
      </w:r>
      <w:r w:rsidR="007B18E2" w:rsidRPr="000974A4">
        <w:rPr>
          <w:lang w:val="de-DE"/>
        </w:rPr>
        <w:t>Sitzung</w:t>
      </w:r>
      <w:r w:rsidR="009E4996" w:rsidRPr="000974A4">
        <w:rPr>
          <w:lang w:val="de-DE"/>
        </w:rPr>
        <w:t xml:space="preserve"> </w:t>
      </w:r>
      <w:r w:rsidR="007B18E2" w:rsidRPr="000974A4">
        <w:rPr>
          <w:lang w:val="de-DE"/>
        </w:rPr>
        <w:t xml:space="preserve">ein offizielles Dokument zur Genehmigung </w:t>
      </w:r>
      <w:r w:rsidR="009E4996" w:rsidRPr="000974A4">
        <w:rPr>
          <w:lang w:val="de-DE"/>
        </w:rPr>
        <w:t>vorzulegen.</w:t>
      </w:r>
      <w:r w:rsidR="00596B2D" w:rsidRPr="000974A4">
        <w:rPr>
          <w:lang w:val="de-DE"/>
        </w:rPr>
        <w:t xml:space="preserve"> </w:t>
      </w:r>
    </w:p>
    <w:p w14:paraId="162C1768" w14:textId="027E7DFA" w:rsidR="00EF6F9D" w:rsidRPr="000974A4" w:rsidRDefault="00EF6F9D" w:rsidP="004E750C">
      <w:pPr>
        <w:pStyle w:val="H23G"/>
        <w:spacing w:line="240" w:lineRule="auto"/>
        <w:rPr>
          <w:lang w:val="de-DE"/>
        </w:rPr>
      </w:pPr>
      <w:r w:rsidRPr="000974A4">
        <w:rPr>
          <w:lang w:val="de-DE"/>
        </w:rPr>
        <w:tab/>
        <w:t>13.</w:t>
      </w:r>
      <w:r w:rsidRPr="000974A4">
        <w:rPr>
          <w:lang w:val="de-DE"/>
        </w:rPr>
        <w:tab/>
      </w:r>
      <w:r w:rsidR="00E75B28" w:rsidRPr="000974A4">
        <w:rPr>
          <w:lang w:val="de-DE"/>
        </w:rPr>
        <w:t>Kopfzeile der Tabelle C</w:t>
      </w:r>
    </w:p>
    <w:p w14:paraId="348AAD2D" w14:textId="48AD906D" w:rsidR="00EF6F9D" w:rsidRPr="000974A4" w:rsidRDefault="00EF6F9D" w:rsidP="004E750C">
      <w:pPr>
        <w:pStyle w:val="H23G"/>
        <w:spacing w:before="120" w:line="240" w:lineRule="auto"/>
        <w:rPr>
          <w:b w:val="0"/>
          <w:bCs/>
          <w:lang w:val="de-DE"/>
        </w:rPr>
      </w:pPr>
      <w:r w:rsidRPr="000974A4">
        <w:rPr>
          <w:b w:val="0"/>
          <w:bCs/>
          <w:lang w:val="de-DE"/>
        </w:rPr>
        <w:tab/>
      </w:r>
      <w:r w:rsidR="00647129" w:rsidRPr="000974A4">
        <w:rPr>
          <w:b w:val="0"/>
          <w:bCs/>
          <w:lang w:val="de-DE"/>
        </w:rPr>
        <w:tab/>
      </w:r>
      <w:r w:rsidR="00E75B28" w:rsidRPr="000974A4">
        <w:rPr>
          <w:b w:val="0"/>
          <w:bCs/>
          <w:i/>
          <w:iCs/>
          <w:lang w:val="de-DE"/>
        </w:rPr>
        <w:t>Dokument:</w:t>
      </w:r>
      <w:r w:rsidRPr="000974A4">
        <w:rPr>
          <w:b w:val="0"/>
          <w:bCs/>
          <w:i/>
          <w:iCs/>
          <w:lang w:val="de-DE"/>
        </w:rPr>
        <w:tab/>
      </w:r>
      <w:r w:rsidRPr="000974A4">
        <w:rPr>
          <w:b w:val="0"/>
          <w:bCs/>
          <w:lang w:val="de-DE"/>
        </w:rPr>
        <w:t xml:space="preserve">ECE/TRANS/WP.15/AC.2/2019/13 (EBU </w:t>
      </w:r>
      <w:r w:rsidR="00E75B28" w:rsidRPr="000974A4">
        <w:rPr>
          <w:b w:val="0"/>
          <w:bCs/>
          <w:lang w:val="de-DE"/>
        </w:rPr>
        <w:t>u</w:t>
      </w:r>
      <w:r w:rsidRPr="000974A4">
        <w:rPr>
          <w:b w:val="0"/>
          <w:bCs/>
          <w:lang w:val="de-DE"/>
        </w:rPr>
        <w:t>nd ESO)</w:t>
      </w:r>
    </w:p>
    <w:p w14:paraId="47225A42" w14:textId="2D51F360" w:rsidR="00EF6F9D" w:rsidRPr="000974A4" w:rsidRDefault="00EF6F9D" w:rsidP="004E750C">
      <w:pPr>
        <w:pStyle w:val="H23G"/>
        <w:spacing w:after="240" w:line="240" w:lineRule="auto"/>
        <w:rPr>
          <w:b w:val="0"/>
          <w:bCs/>
          <w:lang w:val="de-DE"/>
        </w:rPr>
      </w:pPr>
      <w:r w:rsidRPr="000974A4">
        <w:rPr>
          <w:b w:val="0"/>
          <w:bCs/>
          <w:lang w:val="de-DE"/>
        </w:rPr>
        <w:tab/>
      </w:r>
      <w:r w:rsidR="00647129" w:rsidRPr="000974A4">
        <w:rPr>
          <w:b w:val="0"/>
          <w:bCs/>
          <w:lang w:val="de-DE"/>
        </w:rPr>
        <w:tab/>
      </w:r>
      <w:r w:rsidR="00E75B28" w:rsidRPr="000974A4">
        <w:rPr>
          <w:b w:val="0"/>
          <w:bCs/>
          <w:i/>
          <w:iCs/>
          <w:lang w:val="de-DE"/>
        </w:rPr>
        <w:t>Informelles Dokument:</w:t>
      </w:r>
      <w:r w:rsidRPr="000974A4">
        <w:rPr>
          <w:b w:val="0"/>
          <w:bCs/>
          <w:i/>
          <w:iCs/>
          <w:lang w:val="de-DE"/>
        </w:rPr>
        <w:t xml:space="preserve"> </w:t>
      </w:r>
      <w:r w:rsidRPr="000974A4">
        <w:rPr>
          <w:b w:val="0"/>
          <w:bCs/>
          <w:i/>
          <w:iCs/>
          <w:lang w:val="de-DE"/>
        </w:rPr>
        <w:tab/>
      </w:r>
      <w:r w:rsidRPr="000974A4">
        <w:rPr>
          <w:b w:val="0"/>
          <w:bCs/>
          <w:lang w:val="de-DE"/>
        </w:rPr>
        <w:t xml:space="preserve">INF.20 (Luxemburg, </w:t>
      </w:r>
      <w:r w:rsidR="00E75B28" w:rsidRPr="000974A4">
        <w:rPr>
          <w:b w:val="0"/>
          <w:bCs/>
          <w:lang w:val="de-DE"/>
        </w:rPr>
        <w:t>Deutschland</w:t>
      </w:r>
      <w:r w:rsidRPr="000974A4">
        <w:rPr>
          <w:b w:val="0"/>
          <w:bCs/>
          <w:lang w:val="de-DE"/>
        </w:rPr>
        <w:t xml:space="preserve">, </w:t>
      </w:r>
      <w:r w:rsidR="00E75B28" w:rsidRPr="000974A4">
        <w:rPr>
          <w:b w:val="0"/>
          <w:bCs/>
          <w:lang w:val="de-DE"/>
        </w:rPr>
        <w:t>Österreich</w:t>
      </w:r>
      <w:r w:rsidRPr="000974A4">
        <w:rPr>
          <w:b w:val="0"/>
          <w:bCs/>
          <w:lang w:val="de-DE"/>
        </w:rPr>
        <w:t>, N</w:t>
      </w:r>
      <w:r w:rsidR="00E75B28" w:rsidRPr="000974A4">
        <w:rPr>
          <w:b w:val="0"/>
          <w:bCs/>
          <w:lang w:val="de-DE"/>
        </w:rPr>
        <w:t>i</w:t>
      </w:r>
      <w:r w:rsidRPr="000974A4">
        <w:rPr>
          <w:b w:val="0"/>
          <w:bCs/>
          <w:lang w:val="de-DE"/>
        </w:rPr>
        <w:t>e</w:t>
      </w:r>
      <w:r w:rsidR="00E75B28" w:rsidRPr="000974A4">
        <w:rPr>
          <w:b w:val="0"/>
          <w:bCs/>
          <w:lang w:val="de-DE"/>
        </w:rPr>
        <w:t>d</w:t>
      </w:r>
      <w:r w:rsidRPr="000974A4">
        <w:rPr>
          <w:b w:val="0"/>
          <w:bCs/>
          <w:lang w:val="de-DE"/>
        </w:rPr>
        <w:t>erland</w:t>
      </w:r>
      <w:r w:rsidR="00E75B28" w:rsidRPr="000974A4">
        <w:rPr>
          <w:b w:val="0"/>
          <w:bCs/>
          <w:lang w:val="de-DE"/>
        </w:rPr>
        <w:t>e</w:t>
      </w:r>
      <w:r w:rsidRPr="000974A4">
        <w:rPr>
          <w:b w:val="0"/>
          <w:bCs/>
          <w:lang w:val="de-DE"/>
        </w:rPr>
        <w:t xml:space="preserve">, EBU </w:t>
      </w:r>
      <w:r w:rsidR="00E75B28" w:rsidRPr="000974A4">
        <w:rPr>
          <w:b w:val="0"/>
          <w:bCs/>
          <w:lang w:val="de-DE"/>
        </w:rPr>
        <w:t>u</w:t>
      </w:r>
      <w:r w:rsidRPr="000974A4">
        <w:rPr>
          <w:b w:val="0"/>
          <w:bCs/>
          <w:lang w:val="de-DE"/>
        </w:rPr>
        <w:t>nd ESO)</w:t>
      </w:r>
    </w:p>
    <w:p w14:paraId="0BED77B0" w14:textId="1229A536" w:rsidR="00EF6F9D" w:rsidRPr="000974A4" w:rsidRDefault="00120B0B" w:rsidP="004E750C">
      <w:pPr>
        <w:pStyle w:val="SingleTxtG"/>
        <w:spacing w:line="240" w:lineRule="auto"/>
        <w:rPr>
          <w:lang w:val="de-DE"/>
        </w:rPr>
      </w:pPr>
      <w:r w:rsidRPr="000974A4">
        <w:rPr>
          <w:lang w:val="de-DE"/>
        </w:rPr>
        <w:t>58</w:t>
      </w:r>
      <w:r w:rsidR="00EF6F9D" w:rsidRPr="000974A4">
        <w:rPr>
          <w:lang w:val="de-DE"/>
        </w:rPr>
        <w:t>.</w:t>
      </w:r>
      <w:r w:rsidR="00EF6F9D" w:rsidRPr="000974A4">
        <w:rPr>
          <w:lang w:val="de-DE"/>
        </w:rPr>
        <w:tab/>
      </w:r>
      <w:r w:rsidR="00E75B28" w:rsidRPr="000974A4">
        <w:rPr>
          <w:lang w:val="de-DE"/>
        </w:rPr>
        <w:t>Der Sicherheitsausschuss nahm den Vorschlag von EBU und ESO in der durch das informelle Dokument INF.20 geänderten Fassung an (siehe Anlage I).</w:t>
      </w:r>
    </w:p>
    <w:p w14:paraId="49A2BC86" w14:textId="0D7543F7" w:rsidR="00647129" w:rsidRPr="000974A4" w:rsidRDefault="00647129" w:rsidP="004E750C">
      <w:pPr>
        <w:pStyle w:val="H23G"/>
        <w:spacing w:before="120" w:line="240" w:lineRule="auto"/>
        <w:rPr>
          <w:lang w:val="de-DE"/>
        </w:rPr>
      </w:pPr>
      <w:r w:rsidRPr="000974A4">
        <w:rPr>
          <w:lang w:val="de-DE"/>
        </w:rPr>
        <w:tab/>
        <w:t>14.</w:t>
      </w:r>
      <w:r w:rsidRPr="000974A4">
        <w:rPr>
          <w:lang w:val="de-DE"/>
        </w:rPr>
        <w:tab/>
      </w:r>
      <w:r w:rsidR="00E75B28" w:rsidRPr="000974A4">
        <w:rPr>
          <w:lang w:val="de-DE"/>
        </w:rPr>
        <w:t>Implementierung des modifizierten Explosionsschutzkonzepts auf Binnenschiffen: Auslegungsfragen</w:t>
      </w:r>
    </w:p>
    <w:p w14:paraId="03274563" w14:textId="52A03B0C" w:rsidR="00647129" w:rsidRPr="000974A4" w:rsidRDefault="00647129" w:rsidP="004E750C">
      <w:pPr>
        <w:tabs>
          <w:tab w:val="left" w:pos="1134"/>
          <w:tab w:val="left" w:pos="1701"/>
          <w:tab w:val="left" w:pos="3119"/>
        </w:tabs>
        <w:spacing w:after="120" w:line="240" w:lineRule="auto"/>
        <w:rPr>
          <w:lang w:val="de-DE"/>
        </w:rPr>
      </w:pPr>
      <w:r w:rsidRPr="000974A4">
        <w:rPr>
          <w:lang w:val="de-DE"/>
        </w:rPr>
        <w:tab/>
      </w:r>
      <w:r w:rsidR="00E75B28" w:rsidRPr="000974A4">
        <w:rPr>
          <w:i/>
          <w:iCs/>
          <w:lang w:val="de-DE"/>
        </w:rPr>
        <w:t>Dokument:</w:t>
      </w:r>
      <w:r w:rsidRPr="000974A4">
        <w:rPr>
          <w:i/>
          <w:iCs/>
          <w:lang w:val="de-DE"/>
        </w:rPr>
        <w:tab/>
      </w:r>
      <w:r w:rsidR="00E75B28" w:rsidRPr="000974A4">
        <w:rPr>
          <w:lang w:val="de-DE"/>
        </w:rPr>
        <w:t>ECE/TRANS/WP.15/AC.2/2019/4 (Deutschland)</w:t>
      </w:r>
    </w:p>
    <w:p w14:paraId="149D9F3D" w14:textId="369C5B3B" w:rsidR="00647129" w:rsidRPr="000974A4" w:rsidRDefault="00120B0B" w:rsidP="004E750C">
      <w:pPr>
        <w:pStyle w:val="SingleTxtG"/>
        <w:spacing w:line="240" w:lineRule="auto"/>
        <w:rPr>
          <w:lang w:val="de-DE"/>
        </w:rPr>
      </w:pPr>
      <w:r w:rsidRPr="000974A4">
        <w:rPr>
          <w:lang w:val="de-DE"/>
        </w:rPr>
        <w:t>59</w:t>
      </w:r>
      <w:r w:rsidR="00647129" w:rsidRPr="000974A4">
        <w:rPr>
          <w:lang w:val="de-DE"/>
        </w:rPr>
        <w:t>.</w:t>
      </w:r>
      <w:r w:rsidR="00647129" w:rsidRPr="000974A4">
        <w:rPr>
          <w:lang w:val="de-DE"/>
        </w:rPr>
        <w:tab/>
      </w:r>
      <w:r w:rsidR="006A77D2" w:rsidRPr="000974A4">
        <w:rPr>
          <w:lang w:val="de-DE"/>
        </w:rPr>
        <w:t>Der Sicherheitsausschuss nahm die Vorschläge in den Abschnitten A.2, D, E, F, G, J, L, M, N (Prüfliste, Frage 14) und O mit einigen Änderungen zu Unterabschnitt 1.6.7.5, einer Folgeänderung zu Absatz 9.3.3.52.2 und einer Korrektur zu Absatz 7.2.3.29.1 (zweiter Satz) an (siehe Anlagen I, II und III).</w:t>
      </w:r>
    </w:p>
    <w:p w14:paraId="7DF2AA72" w14:textId="32FEA05B" w:rsidR="00647129" w:rsidRPr="000974A4" w:rsidRDefault="00120B0B" w:rsidP="004E750C">
      <w:pPr>
        <w:pStyle w:val="SingleTxtG"/>
        <w:spacing w:line="240" w:lineRule="auto"/>
        <w:rPr>
          <w:lang w:val="de-DE"/>
        </w:rPr>
      </w:pPr>
      <w:r w:rsidRPr="000974A4">
        <w:rPr>
          <w:lang w:val="de-DE"/>
        </w:rPr>
        <w:t>60</w:t>
      </w:r>
      <w:r w:rsidR="00647129" w:rsidRPr="000974A4">
        <w:rPr>
          <w:lang w:val="de-DE"/>
        </w:rPr>
        <w:t>.</w:t>
      </w:r>
      <w:r w:rsidR="00647129" w:rsidRPr="000974A4">
        <w:rPr>
          <w:lang w:val="de-DE"/>
        </w:rPr>
        <w:tab/>
      </w:r>
      <w:r w:rsidR="006A77D2" w:rsidRPr="000974A4">
        <w:rPr>
          <w:lang w:val="de-DE"/>
        </w:rPr>
        <w:t>Angesichts der Tatsache, dass die in den Abschnitten B, H (Änderung zu 7.1.4.4.4), P und Q aufgeworfenen Fragen bereits in der Ausgabe 2019 des ADN behandelt wurden, zog der Vertreter Deutschlands die entsprechenden Vorschläge zurück.</w:t>
      </w:r>
    </w:p>
    <w:p w14:paraId="4B930D15" w14:textId="7A5ACEFB" w:rsidR="00647129" w:rsidRPr="000974A4" w:rsidRDefault="00120B0B" w:rsidP="004E750C">
      <w:pPr>
        <w:pStyle w:val="SingleTxtG"/>
        <w:spacing w:line="240" w:lineRule="auto"/>
        <w:rPr>
          <w:lang w:val="de-DE"/>
        </w:rPr>
      </w:pPr>
      <w:r w:rsidRPr="000974A4">
        <w:rPr>
          <w:lang w:val="de-DE"/>
        </w:rPr>
        <w:t>61</w:t>
      </w:r>
      <w:r w:rsidR="00647129" w:rsidRPr="000974A4">
        <w:rPr>
          <w:lang w:val="de-DE"/>
        </w:rPr>
        <w:t>.</w:t>
      </w:r>
      <w:r w:rsidR="00647129" w:rsidRPr="000974A4">
        <w:rPr>
          <w:lang w:val="de-DE"/>
        </w:rPr>
        <w:tab/>
      </w:r>
      <w:r w:rsidR="006A77D2" w:rsidRPr="000974A4">
        <w:rPr>
          <w:lang w:val="de-DE"/>
        </w:rPr>
        <w:t>Zu den übrigen Änderungsvorschlägen kam der Sicherheitsausschuss wie folgt überein:</w:t>
      </w:r>
      <w:r w:rsidR="00647129" w:rsidRPr="000974A4">
        <w:rPr>
          <w:lang w:val="de-DE"/>
        </w:rPr>
        <w:t xml:space="preserve"> </w:t>
      </w:r>
    </w:p>
    <w:p w14:paraId="7446907C" w14:textId="1819B886" w:rsidR="007B18E2" w:rsidRPr="000974A4" w:rsidRDefault="007B18E2" w:rsidP="004E750C">
      <w:pPr>
        <w:pStyle w:val="Bullet1G"/>
        <w:numPr>
          <w:ilvl w:val="0"/>
          <w:numId w:val="8"/>
        </w:numPr>
        <w:tabs>
          <w:tab w:val="clear" w:pos="1701"/>
          <w:tab w:val="num" w:pos="1418"/>
        </w:tabs>
        <w:spacing w:line="240" w:lineRule="auto"/>
        <w:ind w:left="1418" w:hanging="284"/>
        <w:rPr>
          <w:lang w:val="de-DE"/>
        </w:rPr>
      </w:pPr>
      <w:r w:rsidRPr="000974A4">
        <w:rPr>
          <w:lang w:val="de-DE"/>
        </w:rPr>
        <w:t xml:space="preserve">Abschnitt A.1 (Begriffsbestimmung für „Anlagen (elektrische oder nicht-elektrische)“): Der Vorschlag wurde nicht angenommen, da mehrere Delegationen der Ansicht waren, dass die vorgeschlagene Begriffsbestimmung zu vage sei. Der Vertreter Deutschlands wurde gebeten, eine Änderung zu prüfen, um klarzustellen, dass mobile Ausrüstungsgegenstände nicht unter die Begriffsbestimmung fallen, und für die nächste Sitzung einen überarbeiteten Vorschlag vorzulegen. </w:t>
      </w:r>
    </w:p>
    <w:p w14:paraId="2AFD2E6D" w14:textId="1AD55B48" w:rsidR="007B18E2" w:rsidRPr="000974A4" w:rsidRDefault="007B18E2" w:rsidP="004E750C">
      <w:pPr>
        <w:pStyle w:val="Bullet1G"/>
        <w:numPr>
          <w:ilvl w:val="0"/>
          <w:numId w:val="8"/>
        </w:numPr>
        <w:tabs>
          <w:tab w:val="clear" w:pos="1701"/>
          <w:tab w:val="num" w:pos="1418"/>
        </w:tabs>
        <w:spacing w:line="240" w:lineRule="auto"/>
        <w:ind w:left="1418" w:hanging="284"/>
        <w:rPr>
          <w:lang w:val="de-DE"/>
        </w:rPr>
      </w:pPr>
      <w:r w:rsidRPr="000974A4">
        <w:rPr>
          <w:lang w:val="de-DE"/>
        </w:rPr>
        <w:t>Abschnitt I (Änderung zu 7.2.4.16.4): Der Sicherheitsausschuss ersuchte den Vertreter Deutschlands, den Vorschlag unter Berücksichtigung der von Österreich geäußerten Bedenken hinsichtlich der Notwendigkeit, bei Schiffen, die den neuen Bestimmungen noch nicht entsprechen, die Türen des Querschotts während des Ladens und Löschens geschlossen zu halten, weiter zu prüfen.</w:t>
      </w:r>
    </w:p>
    <w:p w14:paraId="46449F60" w14:textId="172D7BDD" w:rsidR="007B18E2" w:rsidRPr="000974A4" w:rsidRDefault="007B18E2" w:rsidP="00A01F93">
      <w:pPr>
        <w:pStyle w:val="Bullet1G"/>
        <w:numPr>
          <w:ilvl w:val="0"/>
          <w:numId w:val="8"/>
        </w:numPr>
        <w:tabs>
          <w:tab w:val="clear" w:pos="1701"/>
          <w:tab w:val="num" w:pos="1418"/>
        </w:tabs>
        <w:spacing w:line="240" w:lineRule="auto"/>
        <w:ind w:left="1418" w:hanging="284"/>
        <w:rPr>
          <w:lang w:val="de-DE"/>
        </w:rPr>
      </w:pPr>
      <w:r w:rsidRPr="000974A4">
        <w:rPr>
          <w:lang w:val="de-DE"/>
        </w:rPr>
        <w:t xml:space="preserve">Abschnitt N (Änderung der Erklärung zu Frage 11 in der Prüfliste nach Abschnitt 8.6.3): Der Sicherheitsausschuss stimmte diesem Vorschlag nicht zu. Es wurde darauf hingewiesen, dass die vorliegende Fassung potentiell irreführend sei und nicht alle denkbaren Fälle erfasse, in denen explosionsgeschützte Telefon- und Funkgeräte erforderlich sind. Der Vertreter Deutschlands zog den Vorschlag daraufhin zurück. </w:t>
      </w:r>
    </w:p>
    <w:p w14:paraId="796ED6DF" w14:textId="6A6EB012" w:rsidR="007B18E2" w:rsidRPr="000974A4" w:rsidRDefault="007B18E2" w:rsidP="00A01F93">
      <w:pPr>
        <w:pStyle w:val="Bullet1G"/>
        <w:numPr>
          <w:ilvl w:val="0"/>
          <w:numId w:val="8"/>
        </w:numPr>
        <w:tabs>
          <w:tab w:val="clear" w:pos="1701"/>
          <w:tab w:val="num" w:pos="1418"/>
        </w:tabs>
        <w:spacing w:line="240" w:lineRule="auto"/>
        <w:ind w:left="1418" w:hanging="284"/>
        <w:rPr>
          <w:lang w:val="de-DE"/>
        </w:rPr>
      </w:pPr>
      <w:r w:rsidRPr="000974A4">
        <w:rPr>
          <w:lang w:val="de-DE"/>
        </w:rPr>
        <w:lastRenderedPageBreak/>
        <w:t>Abschnitt R: Der Sicherheitsausschuss kam überein, dass die Terminologie im ADN einheitlich verwendet werden sollte, und beschloss, in der gesamten englischen Fassung „</w:t>
      </w:r>
      <w:proofErr w:type="spellStart"/>
      <w:r w:rsidRPr="000974A4">
        <w:rPr>
          <w:lang w:val="de-DE"/>
        </w:rPr>
        <w:t>self-contained</w:t>
      </w:r>
      <w:proofErr w:type="spellEnd"/>
      <w:r w:rsidRPr="000974A4">
        <w:rPr>
          <w:lang w:val="de-DE"/>
        </w:rPr>
        <w:t xml:space="preserve"> </w:t>
      </w:r>
      <w:proofErr w:type="spellStart"/>
      <w:r w:rsidRPr="000974A4">
        <w:rPr>
          <w:lang w:val="de-DE"/>
        </w:rPr>
        <w:t>protection</w:t>
      </w:r>
      <w:proofErr w:type="spellEnd"/>
      <w:r w:rsidRPr="000974A4">
        <w:rPr>
          <w:lang w:val="de-DE"/>
        </w:rPr>
        <w:t xml:space="preserve"> </w:t>
      </w:r>
      <w:proofErr w:type="spellStart"/>
      <w:r w:rsidRPr="000974A4">
        <w:rPr>
          <w:lang w:val="de-DE"/>
        </w:rPr>
        <w:t>systems</w:t>
      </w:r>
      <w:proofErr w:type="spellEnd"/>
      <w:r w:rsidRPr="000974A4">
        <w:rPr>
          <w:lang w:val="de-DE"/>
        </w:rPr>
        <w:t>“ durch „</w:t>
      </w:r>
      <w:proofErr w:type="spellStart"/>
      <w:r w:rsidRPr="000974A4">
        <w:rPr>
          <w:lang w:val="de-DE"/>
        </w:rPr>
        <w:t>autonomous</w:t>
      </w:r>
      <w:proofErr w:type="spellEnd"/>
      <w:r w:rsidRPr="000974A4">
        <w:rPr>
          <w:lang w:val="de-DE"/>
        </w:rPr>
        <w:t xml:space="preserve"> </w:t>
      </w:r>
      <w:proofErr w:type="spellStart"/>
      <w:r w:rsidRPr="000974A4">
        <w:rPr>
          <w:lang w:val="de-DE"/>
        </w:rPr>
        <w:t>protection</w:t>
      </w:r>
      <w:proofErr w:type="spellEnd"/>
      <w:r w:rsidRPr="000974A4">
        <w:rPr>
          <w:lang w:val="de-DE"/>
        </w:rPr>
        <w:t xml:space="preserve"> </w:t>
      </w:r>
      <w:proofErr w:type="spellStart"/>
      <w:r w:rsidRPr="000974A4">
        <w:rPr>
          <w:lang w:val="de-DE"/>
        </w:rPr>
        <w:t>systems</w:t>
      </w:r>
      <w:proofErr w:type="spellEnd"/>
      <w:r w:rsidRPr="000974A4">
        <w:rPr>
          <w:lang w:val="de-DE"/>
        </w:rPr>
        <w:t xml:space="preserve">“ (autonome Schutzsysteme) zu ersetzen (siehe Anlage II). </w:t>
      </w:r>
    </w:p>
    <w:p w14:paraId="70DD1FF8" w14:textId="7D541C6B" w:rsidR="00647129" w:rsidRPr="000974A4" w:rsidRDefault="00120B0B" w:rsidP="00A01F93">
      <w:pPr>
        <w:pStyle w:val="SingleTxtG"/>
        <w:spacing w:line="240" w:lineRule="auto"/>
        <w:rPr>
          <w:lang w:val="de-DE"/>
        </w:rPr>
      </w:pPr>
      <w:r w:rsidRPr="000974A4">
        <w:rPr>
          <w:lang w:val="de-DE"/>
        </w:rPr>
        <w:t>62</w:t>
      </w:r>
      <w:r w:rsidR="00647129" w:rsidRPr="000974A4">
        <w:rPr>
          <w:lang w:val="de-DE"/>
        </w:rPr>
        <w:t>.</w:t>
      </w:r>
      <w:r w:rsidR="00647129" w:rsidRPr="000974A4">
        <w:rPr>
          <w:lang w:val="de-DE"/>
        </w:rPr>
        <w:tab/>
      </w:r>
      <w:r w:rsidR="007519E1" w:rsidRPr="000974A4">
        <w:rPr>
          <w:lang w:val="de-DE"/>
        </w:rPr>
        <w:t>Zu der in Abschnitt C (Absätze 9 bis 10) aufgeworfenen Frage bestätigte der Sicherheitsausschuss, dass die Übergangsvorschrift in Absatz 1.6.7.2.2.2 nur für den ersten Absatz von Absatz 9.3.x.53.1 gilt.</w:t>
      </w:r>
      <w:r w:rsidR="00647129" w:rsidRPr="000974A4">
        <w:rPr>
          <w:lang w:val="de-DE"/>
        </w:rPr>
        <w:t xml:space="preserve"> </w:t>
      </w:r>
    </w:p>
    <w:p w14:paraId="6E2053AB" w14:textId="6DFF3E9E" w:rsidR="00647129" w:rsidRPr="000974A4" w:rsidRDefault="00120B0B" w:rsidP="00A01F93">
      <w:pPr>
        <w:pStyle w:val="SingleTxtG"/>
        <w:spacing w:line="240" w:lineRule="auto"/>
        <w:rPr>
          <w:lang w:val="de-DE"/>
        </w:rPr>
      </w:pPr>
      <w:r w:rsidRPr="000974A4">
        <w:rPr>
          <w:lang w:val="de-DE"/>
        </w:rPr>
        <w:t>63</w:t>
      </w:r>
      <w:r w:rsidR="00647129" w:rsidRPr="000974A4">
        <w:rPr>
          <w:lang w:val="de-DE"/>
        </w:rPr>
        <w:t>.</w:t>
      </w:r>
      <w:r w:rsidR="00647129" w:rsidRPr="000974A4">
        <w:rPr>
          <w:lang w:val="de-DE"/>
        </w:rPr>
        <w:tab/>
      </w:r>
      <w:r w:rsidR="006B4A79" w:rsidRPr="000974A4">
        <w:rPr>
          <w:lang w:val="de-DE"/>
        </w:rPr>
        <w:t xml:space="preserve">Auf die Frage zu der in Abschnitt C Absatz 11 vorgeschlagenen Auslegung bestätigte der Sicherheitsausschuss, dass ein Schiff mit einem ab dem 1. Januar 2019 gültigen Zeugnis als mit den Anforderungen in Spalte (3) b) der Übergangsvorschrift </w:t>
      </w:r>
      <w:r w:rsidR="002A44AE" w:rsidRPr="000974A4">
        <w:rPr>
          <w:lang w:val="de-DE"/>
        </w:rPr>
        <w:t>konform gilt</w:t>
      </w:r>
      <w:r w:rsidR="006B4A79" w:rsidRPr="000974A4">
        <w:rPr>
          <w:lang w:val="de-DE"/>
        </w:rPr>
        <w:t>.</w:t>
      </w:r>
    </w:p>
    <w:p w14:paraId="6936BA95" w14:textId="1B607FD4" w:rsidR="00647129" w:rsidRPr="000974A4" w:rsidRDefault="00120B0B" w:rsidP="00A01F93">
      <w:pPr>
        <w:pStyle w:val="SingleTxtG"/>
        <w:spacing w:line="240" w:lineRule="auto"/>
        <w:rPr>
          <w:lang w:val="de-DE"/>
        </w:rPr>
      </w:pPr>
      <w:r w:rsidRPr="000974A4">
        <w:rPr>
          <w:lang w:val="de-DE"/>
        </w:rPr>
        <w:t>64</w:t>
      </w:r>
      <w:r w:rsidR="00647129" w:rsidRPr="000974A4">
        <w:rPr>
          <w:lang w:val="de-DE"/>
        </w:rPr>
        <w:t>.</w:t>
      </w:r>
      <w:r w:rsidR="00647129" w:rsidRPr="000974A4">
        <w:rPr>
          <w:lang w:val="de-DE"/>
        </w:rPr>
        <w:tab/>
      </w:r>
      <w:r w:rsidR="002A44AE" w:rsidRPr="000974A4">
        <w:rPr>
          <w:lang w:val="de-DE"/>
        </w:rPr>
        <w:t>Der Sicherheitsausschuss stimmte der Auslegung des Begriffs „elektrische Einrichtungen“ in Spalte 3 d) der Übergangsvorschrift entsprechend Abschnitt C Absätze 12 und 13 zu, d. h.</w:t>
      </w:r>
    </w:p>
    <w:p w14:paraId="73A0E2E2" w14:textId="04B7699D" w:rsidR="00647129" w:rsidRPr="000974A4" w:rsidRDefault="002A44AE" w:rsidP="00A01F93">
      <w:pPr>
        <w:pStyle w:val="SingleTxtG"/>
        <w:spacing w:line="240" w:lineRule="auto"/>
        <w:ind w:left="1701"/>
        <w:rPr>
          <w:lang w:val="de-DE"/>
        </w:rPr>
      </w:pPr>
      <w:r w:rsidRPr="000974A4">
        <w:rPr>
          <w:lang w:val="de-DE"/>
        </w:rPr>
        <w:t>Der Begriff „elektrische Einrichtungen“ wird im ADN 2019 wie in der bis 31.</w:t>
      </w:r>
      <w:r w:rsidR="002961D5" w:rsidRPr="000974A4">
        <w:rPr>
          <w:lang w:val="de-DE"/>
        </w:rPr>
        <w:t> </w:t>
      </w:r>
      <w:r w:rsidRPr="000974A4">
        <w:rPr>
          <w:lang w:val="de-DE"/>
        </w:rPr>
        <w:t>Dezember 2018 geltenden Fassung des ADN weiterverwendet. Es handelt sich um eine Wiedergabe des bis dahin gültigen Rechtstextes.</w:t>
      </w:r>
      <w:r w:rsidR="00647129" w:rsidRPr="000974A4">
        <w:rPr>
          <w:lang w:val="de-DE"/>
        </w:rPr>
        <w:t xml:space="preserve"> </w:t>
      </w:r>
    </w:p>
    <w:p w14:paraId="7E2CE27F" w14:textId="58661934" w:rsidR="00647129" w:rsidRPr="000974A4" w:rsidRDefault="002A44AE" w:rsidP="00A01F93">
      <w:pPr>
        <w:pStyle w:val="SingleTxtG"/>
        <w:spacing w:line="240" w:lineRule="auto"/>
        <w:ind w:left="1701"/>
        <w:rPr>
          <w:lang w:val="de-DE"/>
        </w:rPr>
      </w:pPr>
      <w:r w:rsidRPr="000974A4">
        <w:rPr>
          <w:lang w:val="de-DE"/>
        </w:rPr>
        <w:t>Das gleiche gilt für die Buchstaben a) und b) des nachfolgenden Absatzes: „An Bord von in Betrieb befindlichen Schiffen, die vor dem 1. Januar 1977 auf Kiel gelegt worden sind“.</w:t>
      </w:r>
    </w:p>
    <w:p w14:paraId="65484B55" w14:textId="1C9E2526" w:rsidR="00CB7E17" w:rsidRPr="000974A4" w:rsidRDefault="00120B0B" w:rsidP="00A01F93">
      <w:pPr>
        <w:pStyle w:val="SingleTxtG"/>
        <w:spacing w:line="240" w:lineRule="auto"/>
        <w:rPr>
          <w:lang w:val="de-DE"/>
        </w:rPr>
      </w:pPr>
      <w:r w:rsidRPr="000974A4">
        <w:rPr>
          <w:lang w:val="de-DE"/>
        </w:rPr>
        <w:t>65.</w:t>
      </w:r>
      <w:r w:rsidRPr="000974A4">
        <w:rPr>
          <w:lang w:val="de-DE"/>
        </w:rPr>
        <w:tab/>
      </w:r>
      <w:r w:rsidR="002A44AE" w:rsidRPr="000974A4">
        <w:rPr>
          <w:lang w:val="de-DE"/>
        </w:rPr>
        <w:t xml:space="preserve">Zur Frage der Auslegung in Abschnitt K bezüglich der Anforderung an </w:t>
      </w:r>
      <w:r w:rsidR="00F93CA6" w:rsidRPr="000974A4">
        <w:rPr>
          <w:lang w:val="de-DE"/>
        </w:rPr>
        <w:t>den</w:t>
      </w:r>
      <w:r w:rsidR="002A44AE" w:rsidRPr="000974A4">
        <w:rPr>
          <w:lang w:val="de-DE"/>
        </w:rPr>
        <w:t xml:space="preserve"> S</w:t>
      </w:r>
      <w:r w:rsidR="00F93CA6" w:rsidRPr="000974A4">
        <w:rPr>
          <w:lang w:val="de-DE"/>
        </w:rPr>
        <w:t>ich</w:t>
      </w:r>
      <w:r w:rsidR="002A44AE" w:rsidRPr="000974A4">
        <w:rPr>
          <w:lang w:val="de-DE"/>
        </w:rPr>
        <w:t>t</w:t>
      </w:r>
      <w:r w:rsidR="00F93CA6" w:rsidRPr="000974A4">
        <w:rPr>
          <w:lang w:val="de-DE"/>
        </w:rPr>
        <w:t>v</w:t>
      </w:r>
      <w:r w:rsidR="002A44AE" w:rsidRPr="000974A4">
        <w:rPr>
          <w:lang w:val="de-DE"/>
        </w:rPr>
        <w:t>e</w:t>
      </w:r>
      <w:r w:rsidR="00F93CA6" w:rsidRPr="000974A4">
        <w:rPr>
          <w:lang w:val="de-DE"/>
        </w:rPr>
        <w:t>rmerk</w:t>
      </w:r>
      <w:r w:rsidR="002A44AE" w:rsidRPr="000974A4">
        <w:rPr>
          <w:lang w:val="de-DE"/>
        </w:rPr>
        <w:t xml:space="preserve"> der zuständigen Behörde, die d</w:t>
      </w:r>
      <w:r w:rsidR="00F93CA6" w:rsidRPr="000974A4">
        <w:rPr>
          <w:lang w:val="de-DE"/>
        </w:rPr>
        <w:t>as</w:t>
      </w:r>
      <w:r w:rsidR="002A44AE" w:rsidRPr="000974A4">
        <w:rPr>
          <w:lang w:val="de-DE"/>
        </w:rPr>
        <w:t xml:space="preserve"> Zulassungs</w:t>
      </w:r>
      <w:r w:rsidR="00F93CA6" w:rsidRPr="000974A4">
        <w:rPr>
          <w:lang w:val="de-DE"/>
        </w:rPr>
        <w:t>zeugnis erteilt hat,</w:t>
      </w:r>
      <w:r w:rsidR="002A44AE" w:rsidRPr="000974A4">
        <w:rPr>
          <w:lang w:val="de-DE"/>
        </w:rPr>
        <w:t xml:space="preserve"> in den </w:t>
      </w:r>
      <w:r w:rsidR="00F93CA6" w:rsidRPr="000974A4">
        <w:rPr>
          <w:lang w:val="de-DE"/>
        </w:rPr>
        <w:t>in Unterabschnitt</w:t>
      </w:r>
      <w:r w:rsidR="002A44AE" w:rsidRPr="000974A4">
        <w:rPr>
          <w:lang w:val="de-DE"/>
        </w:rPr>
        <w:t xml:space="preserve"> 8.1.2.2 e) bis h) und</w:t>
      </w:r>
      <w:r w:rsidR="00F93CA6" w:rsidRPr="000974A4">
        <w:rPr>
          <w:lang w:val="de-DE"/>
        </w:rPr>
        <w:t xml:space="preserve"> Unterabschnitt</w:t>
      </w:r>
      <w:r w:rsidR="002A44AE" w:rsidRPr="000974A4">
        <w:rPr>
          <w:lang w:val="de-DE"/>
        </w:rPr>
        <w:t xml:space="preserve"> 8.1.2.3 r) bis v) </w:t>
      </w:r>
      <w:r w:rsidR="00F93CA6" w:rsidRPr="000974A4">
        <w:rPr>
          <w:lang w:val="de-DE"/>
        </w:rPr>
        <w:t>genannten</w:t>
      </w:r>
      <w:r w:rsidR="002A44AE" w:rsidRPr="000974A4">
        <w:rPr>
          <w:lang w:val="de-DE"/>
        </w:rPr>
        <w:t xml:space="preserve"> </w:t>
      </w:r>
      <w:r w:rsidR="00F93CA6" w:rsidRPr="000974A4">
        <w:rPr>
          <w:lang w:val="de-DE"/>
        </w:rPr>
        <w:t>Unterlagen</w:t>
      </w:r>
      <w:r w:rsidR="002A44AE" w:rsidRPr="000974A4">
        <w:rPr>
          <w:lang w:val="de-DE"/>
        </w:rPr>
        <w:t xml:space="preserve"> stellte der Sicherheitsausschuss klar, dass bei der Erneuerung der </w:t>
      </w:r>
      <w:r w:rsidR="00F93CA6" w:rsidRPr="000974A4">
        <w:rPr>
          <w:lang w:val="de-DE"/>
        </w:rPr>
        <w:t>Unterlagen</w:t>
      </w:r>
      <w:r w:rsidR="002A44AE" w:rsidRPr="000974A4">
        <w:rPr>
          <w:lang w:val="de-DE"/>
        </w:rPr>
        <w:t xml:space="preserve"> keine Erneuerung de</w:t>
      </w:r>
      <w:r w:rsidR="00F93CA6" w:rsidRPr="000974A4">
        <w:rPr>
          <w:lang w:val="de-DE"/>
        </w:rPr>
        <w:t>s</w:t>
      </w:r>
      <w:r w:rsidR="002A44AE" w:rsidRPr="000974A4">
        <w:rPr>
          <w:lang w:val="de-DE"/>
        </w:rPr>
        <w:t xml:space="preserve"> S</w:t>
      </w:r>
      <w:r w:rsidR="00F93CA6" w:rsidRPr="000974A4">
        <w:rPr>
          <w:lang w:val="de-DE"/>
        </w:rPr>
        <w:t>ich</w:t>
      </w:r>
      <w:r w:rsidR="002A44AE" w:rsidRPr="000974A4">
        <w:rPr>
          <w:lang w:val="de-DE"/>
        </w:rPr>
        <w:t>t</w:t>
      </w:r>
      <w:r w:rsidR="00F93CA6" w:rsidRPr="000974A4">
        <w:rPr>
          <w:lang w:val="de-DE"/>
        </w:rPr>
        <w:t>v</w:t>
      </w:r>
      <w:r w:rsidR="002A44AE" w:rsidRPr="000974A4">
        <w:rPr>
          <w:lang w:val="de-DE"/>
        </w:rPr>
        <w:t>e</w:t>
      </w:r>
      <w:r w:rsidR="00F93CA6" w:rsidRPr="000974A4">
        <w:rPr>
          <w:lang w:val="de-DE"/>
        </w:rPr>
        <w:t>r</w:t>
      </w:r>
      <w:r w:rsidR="002A44AE" w:rsidRPr="000974A4">
        <w:rPr>
          <w:lang w:val="de-DE"/>
        </w:rPr>
        <w:t>me</w:t>
      </w:r>
      <w:r w:rsidR="00F93CA6" w:rsidRPr="000974A4">
        <w:rPr>
          <w:lang w:val="de-DE"/>
        </w:rPr>
        <w:t>rk</w:t>
      </w:r>
      <w:r w:rsidR="002A44AE" w:rsidRPr="000974A4">
        <w:rPr>
          <w:lang w:val="de-DE"/>
        </w:rPr>
        <w:t>s erforderlich sei.</w:t>
      </w:r>
    </w:p>
    <w:p w14:paraId="1AFA1FA5" w14:textId="0B5B692E" w:rsidR="00647129" w:rsidRPr="000974A4" w:rsidRDefault="00120B0B" w:rsidP="00A01F93">
      <w:pPr>
        <w:pStyle w:val="SingleTxtG"/>
        <w:spacing w:line="240" w:lineRule="auto"/>
        <w:rPr>
          <w:lang w:val="de-DE"/>
        </w:rPr>
      </w:pPr>
      <w:r w:rsidRPr="000974A4">
        <w:rPr>
          <w:lang w:val="de-DE"/>
        </w:rPr>
        <w:t>66</w:t>
      </w:r>
      <w:r w:rsidR="00647129" w:rsidRPr="000974A4">
        <w:rPr>
          <w:lang w:val="de-DE"/>
        </w:rPr>
        <w:t>.</w:t>
      </w:r>
      <w:r w:rsidR="00647129" w:rsidRPr="000974A4">
        <w:rPr>
          <w:lang w:val="de-DE"/>
        </w:rPr>
        <w:tab/>
      </w:r>
      <w:r w:rsidR="007D3A48" w:rsidRPr="000974A4">
        <w:rPr>
          <w:lang w:val="de-DE"/>
        </w:rPr>
        <w:t xml:space="preserve">In Bezug auf die Diskussionen über </w:t>
      </w:r>
      <w:proofErr w:type="spellStart"/>
      <w:r w:rsidR="009304A1" w:rsidRPr="000974A4">
        <w:rPr>
          <w:i/>
          <w:lang w:val="de-DE"/>
        </w:rPr>
        <w:t>data</w:t>
      </w:r>
      <w:proofErr w:type="spellEnd"/>
      <w:r w:rsidR="009304A1" w:rsidRPr="000974A4">
        <w:rPr>
          <w:i/>
          <w:lang w:val="de-DE"/>
        </w:rPr>
        <w:t xml:space="preserve"> </w:t>
      </w:r>
      <w:proofErr w:type="spellStart"/>
      <w:r w:rsidR="009304A1" w:rsidRPr="000974A4">
        <w:rPr>
          <w:i/>
          <w:lang w:val="de-DE"/>
        </w:rPr>
        <w:t>loggers</w:t>
      </w:r>
      <w:proofErr w:type="spellEnd"/>
      <w:r w:rsidR="009304A1" w:rsidRPr="000974A4">
        <w:rPr>
          <w:lang w:val="de-DE"/>
        </w:rPr>
        <w:t xml:space="preserve"> </w:t>
      </w:r>
      <w:r w:rsidR="007D3A48" w:rsidRPr="000974A4">
        <w:rPr>
          <w:lang w:val="de-DE"/>
        </w:rPr>
        <w:t xml:space="preserve">und </w:t>
      </w:r>
      <w:proofErr w:type="spellStart"/>
      <w:r w:rsidR="009304A1" w:rsidRPr="000974A4">
        <w:rPr>
          <w:i/>
          <w:lang w:val="de-DE"/>
        </w:rPr>
        <w:t>cargo-monitoring</w:t>
      </w:r>
      <w:proofErr w:type="spellEnd"/>
      <w:r w:rsidR="009304A1" w:rsidRPr="000974A4">
        <w:rPr>
          <w:i/>
          <w:lang w:val="de-DE"/>
        </w:rPr>
        <w:t xml:space="preserve"> </w:t>
      </w:r>
      <w:proofErr w:type="spellStart"/>
      <w:r w:rsidR="009304A1" w:rsidRPr="000974A4">
        <w:rPr>
          <w:i/>
          <w:lang w:val="de-DE"/>
        </w:rPr>
        <w:t>devices</w:t>
      </w:r>
      <w:proofErr w:type="spellEnd"/>
      <w:r w:rsidR="009304A1" w:rsidRPr="000974A4">
        <w:rPr>
          <w:lang w:val="de-DE"/>
        </w:rPr>
        <w:t xml:space="preserve"> </w:t>
      </w:r>
      <w:r w:rsidR="007D3A48" w:rsidRPr="000974A4">
        <w:rPr>
          <w:lang w:val="de-DE"/>
        </w:rPr>
        <w:t xml:space="preserve">teilte ein Mitglied des Sekretariats dem Sicherheitsausschuss mit, dass der </w:t>
      </w:r>
      <w:r w:rsidR="009304A1" w:rsidRPr="000974A4">
        <w:rPr>
          <w:lang w:val="de-DE"/>
        </w:rPr>
        <w:t>Experten-</w:t>
      </w:r>
      <w:r w:rsidR="007D3A48" w:rsidRPr="000974A4">
        <w:rPr>
          <w:lang w:val="de-DE"/>
        </w:rPr>
        <w:t xml:space="preserve">Unterausschuss für die Beförderung gefährlicher Güter Vorschriften für die Beförderung gefährlicher </w:t>
      </w:r>
      <w:r w:rsidR="00BB0E98" w:rsidRPr="000974A4">
        <w:rPr>
          <w:lang w:val="de-DE"/>
        </w:rPr>
        <w:t>Stoffe</w:t>
      </w:r>
      <w:r w:rsidR="007D3A48" w:rsidRPr="000974A4">
        <w:rPr>
          <w:lang w:val="de-DE"/>
        </w:rPr>
        <w:t xml:space="preserve"> </w:t>
      </w:r>
      <w:r w:rsidR="00BB0E98" w:rsidRPr="000974A4">
        <w:rPr>
          <w:lang w:val="de-DE"/>
        </w:rPr>
        <w:t>in Geräten zum Einsatz während der Beförderung erlassen habe.</w:t>
      </w:r>
      <w:r w:rsidR="00647129" w:rsidRPr="000974A4">
        <w:rPr>
          <w:lang w:val="de-DE"/>
        </w:rPr>
        <w:t xml:space="preserve"> </w:t>
      </w:r>
      <w:r w:rsidR="003204EE" w:rsidRPr="000974A4">
        <w:rPr>
          <w:lang w:val="de-DE"/>
        </w:rPr>
        <w:t xml:space="preserve">Die neuen Bestimmungen werden in Kapitel 5.5 der Modellvorschriften </w:t>
      </w:r>
      <w:r w:rsidR="00F8499C" w:rsidRPr="000974A4">
        <w:rPr>
          <w:lang w:val="de-DE"/>
        </w:rPr>
        <w:t>aufgenommen</w:t>
      </w:r>
      <w:r w:rsidR="003204EE" w:rsidRPr="000974A4">
        <w:rPr>
          <w:lang w:val="de-DE"/>
        </w:rPr>
        <w:t xml:space="preserve"> (siehe </w:t>
      </w:r>
      <w:r w:rsidR="00797959" w:rsidRPr="000974A4">
        <w:rPr>
          <w:lang w:val="de-DE"/>
        </w:rPr>
        <w:t xml:space="preserve">das </w:t>
      </w:r>
      <w:r w:rsidR="00F8499C" w:rsidRPr="000974A4">
        <w:rPr>
          <w:lang w:val="de-DE"/>
        </w:rPr>
        <w:t>Protokoll</w:t>
      </w:r>
      <w:r w:rsidR="003204EE" w:rsidRPr="000974A4">
        <w:rPr>
          <w:lang w:val="de-DE"/>
        </w:rPr>
        <w:t xml:space="preserve"> </w:t>
      </w:r>
      <w:r w:rsidR="00797959" w:rsidRPr="000974A4">
        <w:rPr>
          <w:lang w:val="de-DE"/>
        </w:rPr>
        <w:t xml:space="preserve">über die vierundfünfzigste Sitzung </w:t>
      </w:r>
      <w:r w:rsidR="003204EE" w:rsidRPr="000974A4">
        <w:rPr>
          <w:lang w:val="de-DE"/>
        </w:rPr>
        <w:t xml:space="preserve">des Unterausschusses, </w:t>
      </w:r>
      <w:r w:rsidR="00797959" w:rsidRPr="000974A4">
        <w:rPr>
          <w:lang w:val="de-DE"/>
        </w:rPr>
        <w:t xml:space="preserve">das </w:t>
      </w:r>
      <w:r w:rsidR="003204EE" w:rsidRPr="000974A4">
        <w:rPr>
          <w:lang w:val="de-DE"/>
        </w:rPr>
        <w:t>Dokument ST/SG/AC.10/C.3/108, Abs</w:t>
      </w:r>
      <w:r w:rsidR="00797959" w:rsidRPr="000974A4">
        <w:rPr>
          <w:lang w:val="de-DE"/>
        </w:rPr>
        <w:t>ä</w:t>
      </w:r>
      <w:r w:rsidR="003204EE" w:rsidRPr="000974A4">
        <w:rPr>
          <w:lang w:val="de-DE"/>
        </w:rPr>
        <w:t>tz</w:t>
      </w:r>
      <w:r w:rsidR="00797959" w:rsidRPr="000974A4">
        <w:rPr>
          <w:lang w:val="de-DE"/>
        </w:rPr>
        <w:t>e</w:t>
      </w:r>
      <w:r w:rsidR="003204EE" w:rsidRPr="000974A4">
        <w:rPr>
          <w:lang w:val="de-DE"/>
        </w:rPr>
        <w:t xml:space="preserve"> 78-83</w:t>
      </w:r>
      <w:r w:rsidR="00797959" w:rsidRPr="000974A4">
        <w:rPr>
          <w:lang w:val="de-DE"/>
        </w:rPr>
        <w:t>,</w:t>
      </w:r>
      <w:r w:rsidR="003204EE" w:rsidRPr="000974A4">
        <w:rPr>
          <w:lang w:val="de-DE"/>
        </w:rPr>
        <w:t xml:space="preserve"> und die angenommenen Texte für einen neuen Abschnitt 5.5.4 im Dokument ST/SG/AC.10/C.3/108/Add.1).</w:t>
      </w:r>
      <w:r w:rsidR="00647129" w:rsidRPr="000974A4">
        <w:rPr>
          <w:lang w:val="de-DE"/>
        </w:rPr>
        <w:t xml:space="preserve"> </w:t>
      </w:r>
    </w:p>
    <w:p w14:paraId="089CBA03" w14:textId="602A226E" w:rsidR="00647129" w:rsidRPr="000974A4" w:rsidRDefault="00647129" w:rsidP="00A01F93">
      <w:pPr>
        <w:pStyle w:val="H23G"/>
        <w:spacing w:before="120" w:line="240" w:lineRule="auto"/>
        <w:rPr>
          <w:lang w:val="de-DE"/>
        </w:rPr>
      </w:pPr>
      <w:r w:rsidRPr="000974A4">
        <w:rPr>
          <w:lang w:val="de-DE"/>
        </w:rPr>
        <w:tab/>
        <w:t>15.</w:t>
      </w:r>
      <w:r w:rsidRPr="000974A4">
        <w:rPr>
          <w:lang w:val="de-DE"/>
        </w:rPr>
        <w:tab/>
      </w:r>
      <w:r w:rsidR="00797959" w:rsidRPr="000974A4">
        <w:rPr>
          <w:lang w:val="de-DE"/>
        </w:rPr>
        <w:t>Absatz 9.3.x.8.4</w:t>
      </w:r>
    </w:p>
    <w:p w14:paraId="7F98B9FC" w14:textId="2DFDEC66" w:rsidR="00647129" w:rsidRPr="000974A4" w:rsidRDefault="00647129" w:rsidP="00A01F93">
      <w:pPr>
        <w:tabs>
          <w:tab w:val="left" w:pos="1134"/>
          <w:tab w:val="left" w:pos="3119"/>
        </w:tabs>
        <w:spacing w:after="120" w:line="240" w:lineRule="auto"/>
        <w:rPr>
          <w:lang w:val="de-DE"/>
        </w:rPr>
      </w:pPr>
      <w:r w:rsidRPr="000974A4">
        <w:rPr>
          <w:lang w:val="de-DE"/>
        </w:rPr>
        <w:tab/>
      </w:r>
      <w:r w:rsidR="00797959" w:rsidRPr="000974A4">
        <w:rPr>
          <w:i/>
          <w:iCs/>
          <w:lang w:val="de-DE"/>
        </w:rPr>
        <w:t>Dokument:</w:t>
      </w:r>
      <w:r w:rsidRPr="000974A4">
        <w:rPr>
          <w:i/>
          <w:iCs/>
          <w:lang w:val="de-DE"/>
        </w:rPr>
        <w:tab/>
      </w:r>
      <w:r w:rsidR="00797959" w:rsidRPr="000974A4">
        <w:rPr>
          <w:lang w:val="de-DE"/>
        </w:rPr>
        <w:t>ECE/TRANS/WP.15/AC.2/2019/9 (Luxemburg)</w:t>
      </w:r>
    </w:p>
    <w:p w14:paraId="212401E5" w14:textId="57137BB5" w:rsidR="00647129" w:rsidRPr="000974A4" w:rsidRDefault="00120B0B" w:rsidP="00A01F93">
      <w:pPr>
        <w:pStyle w:val="SingleTxtG"/>
        <w:spacing w:line="240" w:lineRule="auto"/>
        <w:rPr>
          <w:lang w:val="de-DE"/>
        </w:rPr>
      </w:pPr>
      <w:r w:rsidRPr="000974A4">
        <w:rPr>
          <w:lang w:val="de-DE"/>
        </w:rPr>
        <w:t>67</w:t>
      </w:r>
      <w:r w:rsidR="00647129" w:rsidRPr="000974A4">
        <w:rPr>
          <w:lang w:val="de-DE"/>
        </w:rPr>
        <w:t>.</w:t>
      </w:r>
      <w:r w:rsidR="00647129" w:rsidRPr="000974A4">
        <w:rPr>
          <w:lang w:val="de-DE"/>
        </w:rPr>
        <w:tab/>
      </w:r>
      <w:r w:rsidR="00797959" w:rsidRPr="000974A4">
        <w:rPr>
          <w:lang w:val="de-DE"/>
        </w:rPr>
        <w:t>Der Sicherheitsausschuss nahm die Änderungsvorschläge zu den Absätzen 9.3.1.8.4, 9.3.2.8.4 und 9.3.3.8.4 (einschließlich der Folgeänderung zu Absatz 1.6.7.2.2.2) sowie eine zusätzliche Änderung zu Unterabschnitt 8.1.7.2 an (siehe Anlage I).</w:t>
      </w:r>
      <w:r w:rsidR="00647129" w:rsidRPr="000974A4">
        <w:rPr>
          <w:lang w:val="de-DE"/>
        </w:rPr>
        <w:t xml:space="preserve"> </w:t>
      </w:r>
    </w:p>
    <w:p w14:paraId="7D695FB7" w14:textId="4CDEC594" w:rsidR="00647129" w:rsidRPr="000974A4" w:rsidRDefault="00120B0B" w:rsidP="00A01F93">
      <w:pPr>
        <w:pStyle w:val="SingleTxtG"/>
        <w:spacing w:line="240" w:lineRule="auto"/>
        <w:rPr>
          <w:lang w:val="de-DE"/>
        </w:rPr>
      </w:pPr>
      <w:r w:rsidRPr="000974A4">
        <w:rPr>
          <w:lang w:val="de-DE"/>
        </w:rPr>
        <w:t>68</w:t>
      </w:r>
      <w:r w:rsidR="00647129" w:rsidRPr="000974A4">
        <w:rPr>
          <w:lang w:val="de-DE"/>
        </w:rPr>
        <w:t>.</w:t>
      </w:r>
      <w:r w:rsidR="00647129" w:rsidRPr="000974A4">
        <w:rPr>
          <w:lang w:val="de-DE"/>
        </w:rPr>
        <w:tab/>
      </w:r>
      <w:r w:rsidR="00797959" w:rsidRPr="000974A4">
        <w:rPr>
          <w:lang w:val="de-DE"/>
        </w:rPr>
        <w:t>Der EBU-Vertreter wies darauf hin, dass die Kohärenz zwischen den Übergangsfristen für die Bestimmungen des Unterabschnitts 8.1.7.2 und denen für den Absatz 9.3.x.53.1 und die Überprüfung des multilateralen Abkommens M018 sichergestellt werden sollten.</w:t>
      </w:r>
      <w:r w:rsidR="00647129" w:rsidRPr="000974A4">
        <w:rPr>
          <w:lang w:val="de-DE"/>
        </w:rPr>
        <w:t xml:space="preserve"> </w:t>
      </w:r>
      <w:r w:rsidR="00797959" w:rsidRPr="000974A4">
        <w:rPr>
          <w:lang w:val="de-DE"/>
        </w:rPr>
        <w:t>Der Sicherheitsausschuss bat ihn, für die nächste Sitzung einen Vorschlag vorzulegen.</w:t>
      </w:r>
      <w:r w:rsidR="00647129" w:rsidRPr="000974A4">
        <w:rPr>
          <w:lang w:val="de-DE"/>
        </w:rPr>
        <w:t xml:space="preserve"> </w:t>
      </w:r>
    </w:p>
    <w:p w14:paraId="4E89F228" w14:textId="0326532C" w:rsidR="00647129" w:rsidRPr="000974A4" w:rsidRDefault="00647129" w:rsidP="00A01F93">
      <w:pPr>
        <w:pStyle w:val="H23G"/>
        <w:spacing w:before="120" w:line="240" w:lineRule="auto"/>
        <w:rPr>
          <w:lang w:val="de-DE"/>
        </w:rPr>
      </w:pPr>
      <w:r w:rsidRPr="000974A4">
        <w:rPr>
          <w:lang w:val="de-DE"/>
        </w:rPr>
        <w:tab/>
        <w:t>16.</w:t>
      </w:r>
      <w:r w:rsidRPr="000974A4">
        <w:rPr>
          <w:lang w:val="de-DE"/>
        </w:rPr>
        <w:tab/>
      </w:r>
      <w:r w:rsidR="00797959" w:rsidRPr="000974A4">
        <w:rPr>
          <w:lang w:val="de-DE"/>
        </w:rPr>
        <w:t>Beispiele für die Stauung und Trennung der Container</w:t>
      </w:r>
      <w:r w:rsidRPr="000974A4">
        <w:rPr>
          <w:lang w:val="de-DE"/>
        </w:rPr>
        <w:t xml:space="preserve"> </w:t>
      </w:r>
    </w:p>
    <w:p w14:paraId="1D1BB9FB" w14:textId="2F0B46B9" w:rsidR="00647129" w:rsidRPr="000974A4" w:rsidRDefault="00647129" w:rsidP="00A01F93">
      <w:pPr>
        <w:tabs>
          <w:tab w:val="left" w:pos="1134"/>
          <w:tab w:val="left" w:pos="3119"/>
        </w:tabs>
        <w:spacing w:after="120" w:line="240" w:lineRule="auto"/>
        <w:rPr>
          <w:lang w:val="de-DE"/>
        </w:rPr>
      </w:pPr>
      <w:r w:rsidRPr="000974A4">
        <w:rPr>
          <w:lang w:val="de-DE"/>
        </w:rPr>
        <w:tab/>
      </w:r>
      <w:r w:rsidR="00797959" w:rsidRPr="000974A4">
        <w:rPr>
          <w:i/>
          <w:iCs/>
          <w:lang w:val="de-DE"/>
        </w:rPr>
        <w:t>Informelles Dokument:</w:t>
      </w:r>
      <w:r w:rsidRPr="000974A4">
        <w:rPr>
          <w:lang w:val="de-DE"/>
        </w:rPr>
        <w:tab/>
        <w:t xml:space="preserve"> </w:t>
      </w:r>
      <w:r w:rsidR="00797959" w:rsidRPr="000974A4">
        <w:rPr>
          <w:lang w:val="de-DE"/>
        </w:rPr>
        <w:t>INF.3 (Deutschland)</w:t>
      </w:r>
    </w:p>
    <w:p w14:paraId="4BBA96AB" w14:textId="42BD4260" w:rsidR="00647129" w:rsidRPr="000974A4" w:rsidRDefault="00120B0B" w:rsidP="00A01F93">
      <w:pPr>
        <w:pStyle w:val="SingleTxtG"/>
        <w:spacing w:line="240" w:lineRule="auto"/>
        <w:rPr>
          <w:lang w:val="de-DE"/>
        </w:rPr>
      </w:pPr>
      <w:r w:rsidRPr="000974A4">
        <w:rPr>
          <w:lang w:val="de-DE"/>
        </w:rPr>
        <w:t>69</w:t>
      </w:r>
      <w:r w:rsidR="00647129" w:rsidRPr="000974A4">
        <w:rPr>
          <w:lang w:val="de-DE"/>
        </w:rPr>
        <w:t>.</w:t>
      </w:r>
      <w:r w:rsidR="00647129" w:rsidRPr="000974A4">
        <w:rPr>
          <w:lang w:val="de-DE"/>
        </w:rPr>
        <w:tab/>
      </w:r>
      <w:r w:rsidR="00143DFF" w:rsidRPr="000974A4">
        <w:rPr>
          <w:lang w:val="de-DE"/>
        </w:rPr>
        <w:t>Die Änderung der Legende in Absatz 7.1.4.4.4 der deutschen Fassung wurde angenommen.</w:t>
      </w:r>
    </w:p>
    <w:p w14:paraId="42672019" w14:textId="77777777" w:rsidR="00A01F93" w:rsidRDefault="00A01F93">
      <w:pPr>
        <w:suppressAutoHyphens w:val="0"/>
        <w:spacing w:line="240" w:lineRule="auto"/>
        <w:rPr>
          <w:lang w:val="de-DE"/>
        </w:rPr>
      </w:pPr>
      <w:r>
        <w:rPr>
          <w:lang w:val="de-DE"/>
        </w:rPr>
        <w:br w:type="page"/>
      </w:r>
    </w:p>
    <w:p w14:paraId="5032F8B5" w14:textId="33EDBC8C" w:rsidR="00647129" w:rsidRPr="000974A4" w:rsidRDefault="00120B0B" w:rsidP="004E750C">
      <w:pPr>
        <w:pStyle w:val="SingleTxtG"/>
        <w:spacing w:line="240" w:lineRule="auto"/>
        <w:rPr>
          <w:lang w:val="de-DE"/>
        </w:rPr>
      </w:pPr>
      <w:r w:rsidRPr="000974A4">
        <w:rPr>
          <w:lang w:val="de-DE"/>
        </w:rPr>
        <w:lastRenderedPageBreak/>
        <w:t>70</w:t>
      </w:r>
      <w:r w:rsidR="00647129" w:rsidRPr="000974A4">
        <w:rPr>
          <w:lang w:val="de-DE"/>
        </w:rPr>
        <w:t>.</w:t>
      </w:r>
      <w:r w:rsidR="00647129" w:rsidRPr="000974A4">
        <w:rPr>
          <w:lang w:val="de-DE"/>
        </w:rPr>
        <w:tab/>
      </w:r>
      <w:r w:rsidR="00143DFF" w:rsidRPr="000974A4">
        <w:rPr>
          <w:lang w:val="de-DE"/>
        </w:rPr>
        <w:t>Der Sicherheitsausschuss kam überein, dass die englische und französische Fassung der in den Absätzen 7 und 8 des Dokuments aufgeführten Absätze des ADN harmonisiert werden sollten.</w:t>
      </w:r>
      <w:r w:rsidR="00647129" w:rsidRPr="000974A4">
        <w:rPr>
          <w:lang w:val="de-DE"/>
        </w:rPr>
        <w:t xml:space="preserve"> </w:t>
      </w:r>
      <w:r w:rsidR="00F00CB2" w:rsidRPr="000974A4">
        <w:rPr>
          <w:lang w:val="de-DE"/>
        </w:rPr>
        <w:t xml:space="preserve">Das Sekretariat wurde ersucht, den entsprechenden Wortlaut zu prüfen und für die nächste Sitzung einen Vorschlag vorzulegen, der auch die Bemerkung des Vertreters Deutschlands berücksichtigt, gegebenenfalls „at </w:t>
      </w:r>
      <w:proofErr w:type="spellStart"/>
      <w:r w:rsidR="00F00CB2" w:rsidRPr="000974A4">
        <w:rPr>
          <w:lang w:val="de-DE"/>
        </w:rPr>
        <w:t>the</w:t>
      </w:r>
      <w:proofErr w:type="spellEnd"/>
      <w:r w:rsidR="00F00CB2" w:rsidRPr="000974A4">
        <w:rPr>
          <w:lang w:val="de-DE"/>
        </w:rPr>
        <w:t xml:space="preserve"> </w:t>
      </w:r>
      <w:proofErr w:type="spellStart"/>
      <w:r w:rsidR="00F00CB2" w:rsidRPr="000974A4">
        <w:rPr>
          <w:lang w:val="de-DE"/>
        </w:rPr>
        <w:t>minimum</w:t>
      </w:r>
      <w:proofErr w:type="spellEnd"/>
      <w:r w:rsidR="00F00CB2" w:rsidRPr="000974A4">
        <w:rPr>
          <w:lang w:val="de-DE"/>
        </w:rPr>
        <w:t xml:space="preserve">“ [mindestens] einzufügen, um die </w:t>
      </w:r>
      <w:r w:rsidR="0020024D" w:rsidRPr="000974A4">
        <w:rPr>
          <w:lang w:val="de-DE"/>
        </w:rPr>
        <w:t>Übereinstimmung</w:t>
      </w:r>
      <w:r w:rsidR="00F00CB2" w:rsidRPr="000974A4">
        <w:rPr>
          <w:lang w:val="de-DE"/>
        </w:rPr>
        <w:t xml:space="preserve"> alle</w:t>
      </w:r>
      <w:r w:rsidR="0020024D" w:rsidRPr="000974A4">
        <w:rPr>
          <w:lang w:val="de-DE"/>
        </w:rPr>
        <w:t>r</w:t>
      </w:r>
      <w:r w:rsidR="00F00CB2" w:rsidRPr="000974A4">
        <w:rPr>
          <w:lang w:val="de-DE"/>
        </w:rPr>
        <w:t xml:space="preserve"> Sprachfassungen zu gewährleisten.</w:t>
      </w:r>
      <w:r w:rsidR="00647129" w:rsidRPr="000974A4">
        <w:rPr>
          <w:lang w:val="de-DE"/>
        </w:rPr>
        <w:t xml:space="preserve">  </w:t>
      </w:r>
    </w:p>
    <w:p w14:paraId="4E7C28BF" w14:textId="4D758BED" w:rsidR="00647129" w:rsidRPr="000974A4" w:rsidRDefault="00647129" w:rsidP="00A01F93">
      <w:pPr>
        <w:pStyle w:val="H23G"/>
        <w:spacing w:before="120" w:line="240" w:lineRule="auto"/>
        <w:rPr>
          <w:lang w:val="de-DE"/>
        </w:rPr>
      </w:pPr>
      <w:r w:rsidRPr="000974A4">
        <w:rPr>
          <w:i/>
          <w:iCs/>
          <w:lang w:val="de-DE"/>
        </w:rPr>
        <w:tab/>
      </w:r>
      <w:r w:rsidRPr="000974A4">
        <w:rPr>
          <w:lang w:val="de-DE"/>
        </w:rPr>
        <w:t>17.</w:t>
      </w:r>
      <w:r w:rsidRPr="000974A4">
        <w:rPr>
          <w:lang w:val="de-DE"/>
        </w:rPr>
        <w:tab/>
      </w:r>
      <w:r w:rsidR="0020024D" w:rsidRPr="000974A4">
        <w:rPr>
          <w:lang w:val="de-DE"/>
        </w:rPr>
        <w:t xml:space="preserve">UN-Nr. 2057 </w:t>
      </w:r>
      <w:proofErr w:type="spellStart"/>
      <w:r w:rsidR="0020024D" w:rsidRPr="000974A4">
        <w:rPr>
          <w:lang w:val="de-DE"/>
        </w:rPr>
        <w:t>Tripropylen</w:t>
      </w:r>
      <w:proofErr w:type="spellEnd"/>
    </w:p>
    <w:p w14:paraId="0C33FDEF" w14:textId="05A4E4EC" w:rsidR="00647129" w:rsidRPr="000974A4" w:rsidRDefault="00647129" w:rsidP="004E750C">
      <w:pPr>
        <w:tabs>
          <w:tab w:val="left" w:pos="1134"/>
        </w:tabs>
        <w:spacing w:after="120" w:line="240" w:lineRule="auto"/>
        <w:rPr>
          <w:lang w:val="de-DE"/>
        </w:rPr>
      </w:pPr>
      <w:r w:rsidRPr="000974A4">
        <w:rPr>
          <w:lang w:val="de-DE"/>
        </w:rPr>
        <w:tab/>
      </w:r>
      <w:r w:rsidR="0020024D" w:rsidRPr="000974A4">
        <w:rPr>
          <w:i/>
          <w:iCs/>
          <w:lang w:val="de-DE"/>
        </w:rPr>
        <w:t>Informelles Dokument:</w:t>
      </w:r>
      <w:r w:rsidRPr="000974A4">
        <w:rPr>
          <w:lang w:val="de-DE"/>
        </w:rPr>
        <w:tab/>
        <w:t xml:space="preserve"> </w:t>
      </w:r>
      <w:r w:rsidR="0020024D" w:rsidRPr="000974A4">
        <w:rPr>
          <w:lang w:val="de-DE"/>
        </w:rPr>
        <w:t>INF.9 (Empfohlene ADN-Klassifikationsgesellschaften)</w:t>
      </w:r>
    </w:p>
    <w:p w14:paraId="41A1656F" w14:textId="39C8A249" w:rsidR="00647129" w:rsidRPr="000974A4" w:rsidRDefault="00647129" w:rsidP="004E750C">
      <w:pPr>
        <w:pStyle w:val="SingleTxtG"/>
        <w:spacing w:line="240" w:lineRule="auto"/>
        <w:rPr>
          <w:lang w:val="de-DE"/>
        </w:rPr>
      </w:pPr>
      <w:r w:rsidRPr="000974A4">
        <w:rPr>
          <w:lang w:val="de-DE"/>
        </w:rPr>
        <w:tab/>
      </w:r>
      <w:r w:rsidR="00120B0B" w:rsidRPr="000974A4">
        <w:rPr>
          <w:lang w:val="de-DE"/>
        </w:rPr>
        <w:t>71</w:t>
      </w:r>
      <w:r w:rsidRPr="000974A4">
        <w:rPr>
          <w:lang w:val="de-DE"/>
        </w:rPr>
        <w:t>.</w:t>
      </w:r>
      <w:r w:rsidRPr="000974A4">
        <w:rPr>
          <w:lang w:val="de-DE"/>
        </w:rPr>
        <w:tab/>
      </w:r>
      <w:r w:rsidR="00D53BA6" w:rsidRPr="000974A4">
        <w:rPr>
          <w:lang w:val="de-DE"/>
        </w:rPr>
        <w:t xml:space="preserve">Der Sicherheitsausschuss vertrat die Auffassung, dass der Vorschlag weiterentwickelt werden muss, und stellte fest, dass der </w:t>
      </w:r>
      <w:r w:rsidR="00D31633" w:rsidRPr="000974A4">
        <w:rPr>
          <w:lang w:val="de-DE"/>
        </w:rPr>
        <w:t>CEFIC-</w:t>
      </w:r>
      <w:r w:rsidR="00D53BA6" w:rsidRPr="000974A4">
        <w:rPr>
          <w:lang w:val="de-DE"/>
        </w:rPr>
        <w:t>Vertreter für die nächste Sitzung ein überarbeitetes Dokument vorlegen wird.</w:t>
      </w:r>
      <w:r w:rsidRPr="000974A4">
        <w:rPr>
          <w:lang w:val="de-DE"/>
        </w:rPr>
        <w:t xml:space="preserve"> </w:t>
      </w:r>
    </w:p>
    <w:p w14:paraId="4ABD5842" w14:textId="547F1C81" w:rsidR="00596B2D" w:rsidRPr="000974A4" w:rsidRDefault="00596B2D" w:rsidP="00A01F93">
      <w:pPr>
        <w:pStyle w:val="HChG"/>
        <w:spacing w:before="120" w:line="240" w:lineRule="auto"/>
        <w:rPr>
          <w:lang w:val="de-DE"/>
        </w:rPr>
      </w:pPr>
      <w:r w:rsidRPr="000974A4">
        <w:rPr>
          <w:lang w:val="de-DE"/>
        </w:rPr>
        <w:tab/>
      </w:r>
      <w:r w:rsidR="00D31633" w:rsidRPr="000974A4">
        <w:rPr>
          <w:lang w:val="de-DE"/>
        </w:rPr>
        <w:t>VII.</w:t>
      </w:r>
      <w:r w:rsidRPr="000974A4">
        <w:rPr>
          <w:lang w:val="de-DE"/>
        </w:rPr>
        <w:tab/>
      </w:r>
      <w:r w:rsidR="00D31633" w:rsidRPr="000974A4">
        <w:rPr>
          <w:lang w:val="de-DE"/>
        </w:rPr>
        <w:t>Berichte informeller Arbeitsgruppen (TOP 6)</w:t>
      </w:r>
    </w:p>
    <w:p w14:paraId="5CEFB6B7" w14:textId="484E34AA" w:rsidR="00596B2D" w:rsidRPr="000974A4" w:rsidRDefault="00596B2D" w:rsidP="004E750C">
      <w:pPr>
        <w:pStyle w:val="H1G"/>
        <w:spacing w:before="240" w:after="120" w:line="240" w:lineRule="auto"/>
        <w:rPr>
          <w:lang w:val="de-DE"/>
        </w:rPr>
      </w:pPr>
      <w:r w:rsidRPr="000974A4">
        <w:rPr>
          <w:lang w:val="de-DE"/>
        </w:rPr>
        <w:tab/>
      </w:r>
      <w:r w:rsidR="00D31633" w:rsidRPr="000974A4">
        <w:rPr>
          <w:lang w:val="de-DE"/>
        </w:rPr>
        <w:t>A.</w:t>
      </w:r>
      <w:r w:rsidRPr="000974A4">
        <w:rPr>
          <w:lang w:val="de-DE"/>
        </w:rPr>
        <w:tab/>
      </w:r>
      <w:r w:rsidR="00D31633" w:rsidRPr="000974A4">
        <w:rPr>
          <w:lang w:val="de-DE"/>
        </w:rPr>
        <w:t>Bericht der informellen Arbeitsgruppe „Membrantanks“</w:t>
      </w:r>
    </w:p>
    <w:p w14:paraId="7341630B" w14:textId="3205F3B7" w:rsidR="00596B2D" w:rsidRPr="000974A4" w:rsidRDefault="00596B2D" w:rsidP="00254E07">
      <w:pPr>
        <w:tabs>
          <w:tab w:val="left" w:pos="1134"/>
          <w:tab w:val="left" w:pos="3544"/>
        </w:tabs>
        <w:spacing w:after="120" w:line="240" w:lineRule="auto"/>
        <w:ind w:left="3544" w:right="991" w:hanging="2551"/>
        <w:rPr>
          <w:lang w:val="de-DE"/>
        </w:rPr>
      </w:pPr>
      <w:r w:rsidRPr="000974A4">
        <w:rPr>
          <w:lang w:val="de-DE"/>
        </w:rPr>
        <w:tab/>
      </w:r>
      <w:r w:rsidR="00D31633" w:rsidRPr="000974A4">
        <w:rPr>
          <w:i/>
          <w:iCs/>
          <w:lang w:val="de-DE"/>
        </w:rPr>
        <w:t>Dokument:</w:t>
      </w:r>
      <w:r w:rsidRPr="000974A4">
        <w:rPr>
          <w:i/>
          <w:iCs/>
          <w:lang w:val="de-DE"/>
        </w:rPr>
        <w:tab/>
      </w:r>
      <w:r w:rsidR="00D31633" w:rsidRPr="000974A4">
        <w:rPr>
          <w:lang w:val="de-DE"/>
        </w:rPr>
        <w:t>ECE/TRANS/WP.15/AC.2/2019/14 (Belgien, Frankreich, Niederlande)</w:t>
      </w:r>
    </w:p>
    <w:p w14:paraId="2E8191A9" w14:textId="6861D7E5" w:rsidR="00596B2D" w:rsidRPr="000974A4" w:rsidRDefault="0099718A" w:rsidP="004E750C">
      <w:pPr>
        <w:pStyle w:val="SingleTxtG"/>
        <w:spacing w:line="240" w:lineRule="auto"/>
        <w:rPr>
          <w:lang w:val="de-DE"/>
        </w:rPr>
      </w:pPr>
      <w:r w:rsidRPr="000974A4">
        <w:rPr>
          <w:lang w:val="de-DE"/>
        </w:rPr>
        <w:t>72</w:t>
      </w:r>
      <w:r w:rsidR="00596B2D" w:rsidRPr="000974A4">
        <w:rPr>
          <w:lang w:val="de-DE"/>
        </w:rPr>
        <w:t>.</w:t>
      </w:r>
      <w:r w:rsidR="00596B2D" w:rsidRPr="000974A4">
        <w:rPr>
          <w:lang w:val="de-DE"/>
        </w:rPr>
        <w:tab/>
      </w:r>
      <w:r w:rsidR="00D31633" w:rsidRPr="000974A4">
        <w:rPr>
          <w:lang w:val="de-DE"/>
        </w:rPr>
        <w:t>Der Sicherheitsausschuss nahm die Informationen in den Absätzen 4 bis 8 des Dokuments über die Entwicklung der Märkte für LNG- und Membrantanks zur Kenntnis und stellte fest, dass die informelle Arbeitsgruppe die ihr auf der letzten Sitzung zu diesem Thema übertragene Aufgabe erfüllt hatte.</w:t>
      </w:r>
      <w:r w:rsidR="00596B2D" w:rsidRPr="000974A4">
        <w:rPr>
          <w:lang w:val="de-DE"/>
        </w:rPr>
        <w:t xml:space="preserve"> </w:t>
      </w:r>
    </w:p>
    <w:p w14:paraId="3BBDD331" w14:textId="54487E0A" w:rsidR="00596B2D" w:rsidRPr="000974A4" w:rsidRDefault="0099718A" w:rsidP="004E750C">
      <w:pPr>
        <w:pStyle w:val="SingleTxtG"/>
        <w:spacing w:line="240" w:lineRule="auto"/>
        <w:rPr>
          <w:lang w:val="de-DE"/>
        </w:rPr>
      </w:pPr>
      <w:r w:rsidRPr="000974A4">
        <w:rPr>
          <w:lang w:val="de-DE"/>
        </w:rPr>
        <w:t>73</w:t>
      </w:r>
      <w:r w:rsidR="00596B2D" w:rsidRPr="000974A4">
        <w:rPr>
          <w:lang w:val="de-DE"/>
        </w:rPr>
        <w:t>.</w:t>
      </w:r>
      <w:r w:rsidR="00596B2D" w:rsidRPr="000974A4">
        <w:rPr>
          <w:lang w:val="de-DE"/>
        </w:rPr>
        <w:tab/>
      </w:r>
      <w:r w:rsidR="00701920" w:rsidRPr="000974A4">
        <w:rPr>
          <w:lang w:val="de-DE"/>
        </w:rPr>
        <w:t>Hinsichtlich der Liste der für die Beförderung in Membrantanks geeigneten Stoffe (Absätze 9 bis 12 des Dokuments) bat der Sicherheitsausschuss die informelle Arbeitsgruppe „Stoffe“, die Eignung der aufgeführten Stoffe für die Beförderung in Membrantanks zu bestätigen.</w:t>
      </w:r>
      <w:r w:rsidR="00596B2D" w:rsidRPr="000974A4">
        <w:rPr>
          <w:lang w:val="de-DE"/>
        </w:rPr>
        <w:t xml:space="preserve"> </w:t>
      </w:r>
      <w:r w:rsidR="00701920" w:rsidRPr="000974A4">
        <w:rPr>
          <w:lang w:val="de-DE"/>
        </w:rPr>
        <w:t>Der Vorsitzende der informellen Arbeitsgruppe „Stoffe“ wies darauf hin, dass diese Arbeiten zusätzlich die Entwicklung eines rationalisierten Ansatzes für die Zuordnung von Membrantankvorschriften zu bestimmten Stoffen erfordern würden, da nicht ausgeschlossen werden könne, dass in Zukunft weitere Stoffe berücksichtigt werden müssen.</w:t>
      </w:r>
      <w:r w:rsidR="00596B2D" w:rsidRPr="000974A4">
        <w:rPr>
          <w:lang w:val="de-DE"/>
        </w:rPr>
        <w:t xml:space="preserve"> </w:t>
      </w:r>
      <w:r w:rsidR="00701920" w:rsidRPr="000974A4">
        <w:rPr>
          <w:lang w:val="de-DE"/>
        </w:rPr>
        <w:t>Der Sicherheitsausschuss stimmte dieser Auffassung zu.</w:t>
      </w:r>
      <w:r w:rsidR="00596B2D" w:rsidRPr="000974A4">
        <w:rPr>
          <w:lang w:val="de-DE"/>
        </w:rPr>
        <w:t xml:space="preserve"> </w:t>
      </w:r>
    </w:p>
    <w:p w14:paraId="7C5BCD9F" w14:textId="055BBB92" w:rsidR="00596B2D" w:rsidRPr="000974A4" w:rsidRDefault="0099718A" w:rsidP="004E750C">
      <w:pPr>
        <w:pStyle w:val="SingleTxtG"/>
        <w:spacing w:line="240" w:lineRule="auto"/>
        <w:rPr>
          <w:lang w:val="de-DE"/>
        </w:rPr>
      </w:pPr>
      <w:r w:rsidRPr="000974A4">
        <w:rPr>
          <w:lang w:val="de-DE"/>
        </w:rPr>
        <w:t>74</w:t>
      </w:r>
      <w:r w:rsidR="00596B2D" w:rsidRPr="000974A4">
        <w:rPr>
          <w:lang w:val="de-DE"/>
        </w:rPr>
        <w:t>.</w:t>
      </w:r>
      <w:r w:rsidR="00596B2D" w:rsidRPr="000974A4">
        <w:rPr>
          <w:lang w:val="de-DE"/>
        </w:rPr>
        <w:tab/>
      </w:r>
      <w:r w:rsidR="00701920" w:rsidRPr="000974A4">
        <w:rPr>
          <w:lang w:val="de-DE"/>
        </w:rPr>
        <w:t>Der Sicherheitsausschuss befürwortete den in Absatz 13 des Dokuments beschriebenen Ansatz und ersuchte die informelle Arbeitsgruppe, Bestimmungen für die Beförderung in Membrantanks zu entwickeln.</w:t>
      </w:r>
      <w:r w:rsidR="00596B2D" w:rsidRPr="000974A4">
        <w:rPr>
          <w:lang w:val="de-DE"/>
        </w:rPr>
        <w:t xml:space="preserve">  </w:t>
      </w:r>
      <w:r w:rsidR="00701920" w:rsidRPr="000974A4">
        <w:rPr>
          <w:lang w:val="de-DE"/>
        </w:rPr>
        <w:t>Es wurde festgestellt, dass dies eine Änderung von anderen als den bereits in der Tabelle gemäß Absatz 14 genannten Absätzen erfordern könnte.</w:t>
      </w:r>
      <w:r w:rsidR="00596B2D" w:rsidRPr="000974A4">
        <w:rPr>
          <w:lang w:val="de-DE"/>
        </w:rPr>
        <w:t xml:space="preserve"> </w:t>
      </w:r>
    </w:p>
    <w:p w14:paraId="68EC5042" w14:textId="727CEC31" w:rsidR="00596B2D" w:rsidRPr="000974A4" w:rsidRDefault="00596B2D" w:rsidP="004E750C">
      <w:pPr>
        <w:pStyle w:val="H1G"/>
        <w:spacing w:before="240" w:after="120" w:line="240" w:lineRule="auto"/>
        <w:rPr>
          <w:lang w:val="de-DE"/>
        </w:rPr>
      </w:pPr>
      <w:r w:rsidRPr="000974A4">
        <w:rPr>
          <w:lang w:val="de-DE"/>
        </w:rPr>
        <w:tab/>
      </w:r>
      <w:r w:rsidR="00FC75A8" w:rsidRPr="000974A4">
        <w:rPr>
          <w:lang w:val="de-DE"/>
        </w:rPr>
        <w:t>B.</w:t>
      </w:r>
      <w:r w:rsidRPr="000974A4">
        <w:rPr>
          <w:lang w:val="de-DE"/>
        </w:rPr>
        <w:tab/>
      </w:r>
      <w:r w:rsidR="00FC75A8" w:rsidRPr="000974A4">
        <w:rPr>
          <w:lang w:val="de-DE"/>
        </w:rPr>
        <w:t>Fahrplan zum Mischen an Bord von Binnentankschiffen</w:t>
      </w:r>
    </w:p>
    <w:p w14:paraId="4CCFEBC9" w14:textId="3E0FE47E" w:rsidR="00596B2D" w:rsidRPr="000974A4" w:rsidRDefault="00596B2D" w:rsidP="004E750C">
      <w:pPr>
        <w:tabs>
          <w:tab w:val="left" w:pos="1134"/>
          <w:tab w:val="left" w:pos="3119"/>
        </w:tabs>
        <w:spacing w:after="120" w:line="240" w:lineRule="auto"/>
        <w:rPr>
          <w:lang w:val="de-DE"/>
        </w:rPr>
      </w:pPr>
      <w:r w:rsidRPr="000974A4">
        <w:rPr>
          <w:lang w:val="de-DE"/>
        </w:rPr>
        <w:tab/>
      </w:r>
      <w:r w:rsidR="00FC75A8" w:rsidRPr="000974A4">
        <w:rPr>
          <w:i/>
          <w:iCs/>
          <w:lang w:val="de-DE"/>
        </w:rPr>
        <w:t>Dokument:</w:t>
      </w:r>
      <w:r w:rsidRPr="000974A4">
        <w:rPr>
          <w:i/>
          <w:iCs/>
          <w:lang w:val="de-DE"/>
        </w:rPr>
        <w:tab/>
      </w:r>
      <w:r w:rsidR="00FC75A8" w:rsidRPr="000974A4">
        <w:rPr>
          <w:lang w:val="de-DE"/>
        </w:rPr>
        <w:t>ECE/TRANS/WP.15/AC.2/2019/16 (Niederlande)</w:t>
      </w:r>
    </w:p>
    <w:p w14:paraId="17D13028" w14:textId="60B1DAB6" w:rsidR="00B81828" w:rsidRPr="000974A4" w:rsidRDefault="0099718A" w:rsidP="004E750C">
      <w:pPr>
        <w:pStyle w:val="SingleTxtG"/>
        <w:spacing w:line="240" w:lineRule="auto"/>
        <w:rPr>
          <w:lang w:val="de-DE"/>
        </w:rPr>
      </w:pPr>
      <w:r w:rsidRPr="000974A4">
        <w:rPr>
          <w:lang w:val="de-DE"/>
        </w:rPr>
        <w:t>75</w:t>
      </w:r>
      <w:r w:rsidR="00596B2D" w:rsidRPr="000974A4">
        <w:rPr>
          <w:lang w:val="de-DE"/>
        </w:rPr>
        <w:t>.</w:t>
      </w:r>
      <w:r w:rsidR="00596B2D" w:rsidRPr="000974A4">
        <w:rPr>
          <w:lang w:val="de-DE"/>
        </w:rPr>
        <w:tab/>
      </w:r>
      <w:r w:rsidR="00FC75A8" w:rsidRPr="000974A4">
        <w:rPr>
          <w:lang w:val="de-DE"/>
        </w:rPr>
        <w:t xml:space="preserve">Im Sicherheitsausschuss herrschte Einigkeit darüber, dass für </w:t>
      </w:r>
      <w:r w:rsidR="00361083" w:rsidRPr="000974A4">
        <w:rPr>
          <w:lang w:val="de-DE"/>
        </w:rPr>
        <w:t>Misch</w:t>
      </w:r>
      <w:r w:rsidR="001C6182" w:rsidRPr="000974A4">
        <w:rPr>
          <w:lang w:val="de-DE"/>
        </w:rPr>
        <w:t>arbeit</w:t>
      </w:r>
      <w:r w:rsidR="00361083" w:rsidRPr="000974A4">
        <w:rPr>
          <w:lang w:val="de-DE"/>
        </w:rPr>
        <w:t>en</w:t>
      </w:r>
      <w:r w:rsidR="00FC75A8" w:rsidRPr="000974A4">
        <w:rPr>
          <w:lang w:val="de-DE"/>
        </w:rPr>
        <w:t xml:space="preserve"> </w:t>
      </w:r>
      <w:r w:rsidR="00361083" w:rsidRPr="000974A4">
        <w:rPr>
          <w:lang w:val="de-DE"/>
        </w:rPr>
        <w:t>a</w:t>
      </w:r>
      <w:r w:rsidR="00FC75A8" w:rsidRPr="000974A4">
        <w:rPr>
          <w:lang w:val="de-DE"/>
        </w:rPr>
        <w:t>n Bord/Load</w:t>
      </w:r>
      <w:r w:rsidR="00361083" w:rsidRPr="000974A4">
        <w:rPr>
          <w:lang w:val="de-DE"/>
        </w:rPr>
        <w:t>-</w:t>
      </w:r>
      <w:r w:rsidR="00FC75A8" w:rsidRPr="000974A4">
        <w:rPr>
          <w:lang w:val="de-DE"/>
        </w:rPr>
        <w:t>on</w:t>
      </w:r>
      <w:r w:rsidR="00361083" w:rsidRPr="000974A4">
        <w:rPr>
          <w:lang w:val="de-DE"/>
        </w:rPr>
        <w:t>-</w:t>
      </w:r>
      <w:r w:rsidR="00FC75A8" w:rsidRPr="000974A4">
        <w:rPr>
          <w:lang w:val="de-DE"/>
        </w:rPr>
        <w:t>Top</w:t>
      </w:r>
      <w:r w:rsidR="00361083" w:rsidRPr="000974A4">
        <w:rPr>
          <w:lang w:val="de-DE"/>
        </w:rPr>
        <w:t>-Arbeiten</w:t>
      </w:r>
      <w:r w:rsidR="00FC75A8" w:rsidRPr="000974A4">
        <w:rPr>
          <w:lang w:val="de-DE"/>
        </w:rPr>
        <w:t xml:space="preserve"> </w:t>
      </w:r>
      <w:r w:rsidR="001C6182" w:rsidRPr="000974A4">
        <w:rPr>
          <w:lang w:val="de-DE"/>
        </w:rPr>
        <w:t xml:space="preserve">ein abgestimmter Regelungsrahmen </w:t>
      </w:r>
      <w:r w:rsidR="00FC75A8" w:rsidRPr="000974A4">
        <w:rPr>
          <w:lang w:val="de-DE"/>
        </w:rPr>
        <w:t>wünschenswert ist.</w:t>
      </w:r>
      <w:r w:rsidR="00596B2D" w:rsidRPr="000974A4">
        <w:rPr>
          <w:lang w:val="de-DE"/>
        </w:rPr>
        <w:t xml:space="preserve"> </w:t>
      </w:r>
      <w:r w:rsidR="001C6182" w:rsidRPr="000974A4">
        <w:rPr>
          <w:lang w:val="de-DE"/>
        </w:rPr>
        <w:t>Gleichwohl wurde festgestellt, dass das ADN möglicherweise nicht der geeignete Rahmen zur Behandlung aller Arten von Mischarbeiten an Bord/Load-on-Top-Arbeiten ist.</w:t>
      </w:r>
      <w:r w:rsidR="00596B2D" w:rsidRPr="000974A4">
        <w:rPr>
          <w:lang w:val="de-DE"/>
        </w:rPr>
        <w:t xml:space="preserve"> </w:t>
      </w:r>
      <w:r w:rsidR="00FB7D5F" w:rsidRPr="000974A4">
        <w:rPr>
          <w:lang w:val="de-DE"/>
        </w:rPr>
        <w:t xml:space="preserve">Einige Delegationen vertraten beispielsweise die Auffassung, dass Bestimmungen für Mischarbeiten, bei denen verschiedene Stoffe gemischt werden, um ein zu beförderndes Endprodukt </w:t>
      </w:r>
      <w:r w:rsidR="00A0063A" w:rsidRPr="000974A4">
        <w:rPr>
          <w:lang w:val="de-DE"/>
        </w:rPr>
        <w:t>herzustellen</w:t>
      </w:r>
      <w:r w:rsidR="00FB7D5F" w:rsidRPr="000974A4">
        <w:rPr>
          <w:lang w:val="de-DE"/>
        </w:rPr>
        <w:t xml:space="preserve">, nicht </w:t>
      </w:r>
      <w:r w:rsidR="00A0063A" w:rsidRPr="000974A4">
        <w:rPr>
          <w:lang w:val="de-DE"/>
        </w:rPr>
        <w:t>vom</w:t>
      </w:r>
      <w:r w:rsidR="00FB7D5F" w:rsidRPr="000974A4">
        <w:rPr>
          <w:lang w:val="de-DE"/>
        </w:rPr>
        <w:t xml:space="preserve"> ADN, sondern durch Vorschriften für Industrieanlagen geregelt werden sollten.</w:t>
      </w:r>
      <w:r w:rsidR="00596B2D" w:rsidRPr="000974A4">
        <w:rPr>
          <w:lang w:val="de-DE"/>
        </w:rPr>
        <w:t xml:space="preserve"> </w:t>
      </w:r>
    </w:p>
    <w:p w14:paraId="5F9568DE" w14:textId="73141FF7" w:rsidR="00596B2D" w:rsidRPr="000974A4" w:rsidRDefault="00120B0B" w:rsidP="004E750C">
      <w:pPr>
        <w:pStyle w:val="SingleTxtG"/>
        <w:spacing w:line="240" w:lineRule="auto"/>
        <w:rPr>
          <w:lang w:val="de-DE"/>
        </w:rPr>
      </w:pPr>
      <w:r w:rsidRPr="000974A4">
        <w:rPr>
          <w:lang w:val="de-DE"/>
        </w:rPr>
        <w:t>76.</w:t>
      </w:r>
      <w:r w:rsidR="00B81828" w:rsidRPr="000974A4">
        <w:rPr>
          <w:lang w:val="de-DE"/>
        </w:rPr>
        <w:tab/>
      </w:r>
      <w:r w:rsidR="00A0063A" w:rsidRPr="000974A4">
        <w:rPr>
          <w:lang w:val="de-DE"/>
        </w:rPr>
        <w:t>Andererseits waren sie der Meinung, dass das ADN Load-on-Top gleiche</w:t>
      </w:r>
      <w:r w:rsidR="004117A7" w:rsidRPr="000974A4">
        <w:rPr>
          <w:lang w:val="de-DE"/>
        </w:rPr>
        <w:t>r</w:t>
      </w:r>
      <w:r w:rsidR="00A0063A" w:rsidRPr="000974A4">
        <w:rPr>
          <w:lang w:val="de-DE"/>
        </w:rPr>
        <w:t xml:space="preserve"> Ladung an verschiedenen Stellen behandeln könnte.</w:t>
      </w:r>
      <w:r w:rsidR="00596B2D" w:rsidRPr="000974A4">
        <w:rPr>
          <w:lang w:val="de-DE"/>
        </w:rPr>
        <w:t xml:space="preserve"> </w:t>
      </w:r>
      <w:r w:rsidR="00A0063A" w:rsidRPr="000974A4">
        <w:rPr>
          <w:lang w:val="de-DE"/>
        </w:rPr>
        <w:t xml:space="preserve">Andere waren der Ansicht, dass auch zusätzliche Fälle wie </w:t>
      </w:r>
      <w:r w:rsidR="00385FE8" w:rsidRPr="000974A4">
        <w:rPr>
          <w:lang w:val="de-DE"/>
        </w:rPr>
        <w:t>„</w:t>
      </w:r>
      <w:r w:rsidR="00E8772F" w:rsidRPr="000974A4">
        <w:rPr>
          <w:lang w:val="de-DE"/>
        </w:rPr>
        <w:t>Vollla</w:t>
      </w:r>
      <w:r w:rsidR="00385FE8" w:rsidRPr="000974A4">
        <w:rPr>
          <w:lang w:val="de-DE"/>
        </w:rPr>
        <w:t>dung“</w:t>
      </w:r>
      <w:r w:rsidR="00A0063A" w:rsidRPr="000974A4">
        <w:rPr>
          <w:lang w:val="de-DE"/>
        </w:rPr>
        <w:t xml:space="preserve"> und </w:t>
      </w:r>
      <w:r w:rsidR="00E8772F" w:rsidRPr="000974A4">
        <w:rPr>
          <w:lang w:val="de-DE"/>
        </w:rPr>
        <w:t>„</w:t>
      </w:r>
      <w:r w:rsidR="00A0063A" w:rsidRPr="000974A4">
        <w:rPr>
          <w:lang w:val="de-DE"/>
        </w:rPr>
        <w:t>Teil</w:t>
      </w:r>
      <w:r w:rsidR="00E8772F" w:rsidRPr="000974A4">
        <w:rPr>
          <w:lang w:val="de-DE"/>
        </w:rPr>
        <w:t>ladung“</w:t>
      </w:r>
      <w:r w:rsidR="00A0063A" w:rsidRPr="000974A4">
        <w:rPr>
          <w:lang w:val="de-DE"/>
        </w:rPr>
        <w:t xml:space="preserve"> und die Beförderung </w:t>
      </w:r>
      <w:r w:rsidR="00E8772F" w:rsidRPr="000974A4">
        <w:rPr>
          <w:lang w:val="de-DE"/>
        </w:rPr>
        <w:t>g</w:t>
      </w:r>
      <w:r w:rsidR="00A0063A" w:rsidRPr="000974A4">
        <w:rPr>
          <w:lang w:val="de-DE"/>
        </w:rPr>
        <w:t>ef</w:t>
      </w:r>
      <w:r w:rsidR="00E8772F" w:rsidRPr="000974A4">
        <w:rPr>
          <w:lang w:val="de-DE"/>
        </w:rPr>
        <w:t>ä</w:t>
      </w:r>
      <w:r w:rsidR="00A0063A" w:rsidRPr="000974A4">
        <w:rPr>
          <w:lang w:val="de-DE"/>
        </w:rPr>
        <w:t>hr</w:t>
      </w:r>
      <w:r w:rsidR="00E8772F" w:rsidRPr="000974A4">
        <w:rPr>
          <w:lang w:val="de-DE"/>
        </w:rPr>
        <w:t>liche</w:t>
      </w:r>
      <w:r w:rsidR="001B694A" w:rsidRPr="000974A4">
        <w:rPr>
          <w:lang w:val="de-DE"/>
        </w:rPr>
        <w:t>r</w:t>
      </w:r>
      <w:r w:rsidR="00E8772F" w:rsidRPr="000974A4">
        <w:rPr>
          <w:lang w:val="de-DE"/>
        </w:rPr>
        <w:t xml:space="preserve"> G</w:t>
      </w:r>
      <w:r w:rsidR="00A0063A" w:rsidRPr="000974A4">
        <w:rPr>
          <w:lang w:val="de-DE"/>
        </w:rPr>
        <w:t xml:space="preserve">üter mit ungefährlichen Gütern in getrennten Abteilungen desselben Schiffes sowie alle Fragen im Zusammenhang mit den </w:t>
      </w:r>
      <w:r w:rsidR="001B694A" w:rsidRPr="000974A4">
        <w:rPr>
          <w:lang w:val="de-DE"/>
        </w:rPr>
        <w:t>im</w:t>
      </w:r>
      <w:r w:rsidR="00A0063A" w:rsidRPr="000974A4">
        <w:rPr>
          <w:lang w:val="de-DE"/>
        </w:rPr>
        <w:t xml:space="preserve"> Beförderungspapier für </w:t>
      </w:r>
      <w:r w:rsidR="001B694A" w:rsidRPr="000974A4">
        <w:rPr>
          <w:lang w:val="de-DE"/>
        </w:rPr>
        <w:t>den</w:t>
      </w:r>
      <w:r w:rsidR="00A0063A" w:rsidRPr="000974A4">
        <w:rPr>
          <w:lang w:val="de-DE"/>
        </w:rPr>
        <w:t xml:space="preserve"> jeweilige</w:t>
      </w:r>
      <w:r w:rsidR="001B694A" w:rsidRPr="000974A4">
        <w:rPr>
          <w:lang w:val="de-DE"/>
        </w:rPr>
        <w:t>n</w:t>
      </w:r>
      <w:r w:rsidR="00A0063A" w:rsidRPr="000974A4">
        <w:rPr>
          <w:lang w:val="de-DE"/>
        </w:rPr>
        <w:t xml:space="preserve"> </w:t>
      </w:r>
      <w:r w:rsidR="001B694A" w:rsidRPr="000974A4">
        <w:rPr>
          <w:lang w:val="de-DE"/>
        </w:rPr>
        <w:t>Fall</w:t>
      </w:r>
      <w:r w:rsidR="00A0063A" w:rsidRPr="000974A4">
        <w:rPr>
          <w:lang w:val="de-DE"/>
        </w:rPr>
        <w:t xml:space="preserve"> </w:t>
      </w:r>
      <w:r w:rsidR="001B694A" w:rsidRPr="000974A4">
        <w:rPr>
          <w:lang w:val="de-DE"/>
        </w:rPr>
        <w:t>vorzunehmenden Eintragungen</w:t>
      </w:r>
      <w:r w:rsidR="00A0063A" w:rsidRPr="000974A4">
        <w:rPr>
          <w:lang w:val="de-DE"/>
        </w:rPr>
        <w:t xml:space="preserve"> (z.</w:t>
      </w:r>
      <w:r w:rsidR="001B694A" w:rsidRPr="000974A4">
        <w:rPr>
          <w:lang w:val="de-DE"/>
        </w:rPr>
        <w:t> </w:t>
      </w:r>
      <w:r w:rsidR="00A0063A" w:rsidRPr="000974A4">
        <w:rPr>
          <w:lang w:val="de-DE"/>
        </w:rPr>
        <w:t xml:space="preserve">B. </w:t>
      </w:r>
      <w:r w:rsidR="001B694A" w:rsidRPr="000974A4">
        <w:rPr>
          <w:lang w:val="de-DE"/>
        </w:rPr>
        <w:t>bei</w:t>
      </w:r>
      <w:r w:rsidR="00A0063A" w:rsidRPr="000974A4">
        <w:rPr>
          <w:lang w:val="de-DE"/>
        </w:rPr>
        <w:t xml:space="preserve"> einer Teilladung oder Entladung an verschiedenen </w:t>
      </w:r>
      <w:r w:rsidR="003572F3" w:rsidRPr="000974A4">
        <w:rPr>
          <w:lang w:val="de-DE"/>
        </w:rPr>
        <w:t>Stellen</w:t>
      </w:r>
      <w:r w:rsidR="00A0063A" w:rsidRPr="000974A4">
        <w:rPr>
          <w:lang w:val="de-DE"/>
        </w:rPr>
        <w:t>), berücksichtigt werden könnten.</w:t>
      </w:r>
    </w:p>
    <w:p w14:paraId="0E4B114B" w14:textId="77777777" w:rsidR="00A01F93" w:rsidRDefault="00A01F93">
      <w:pPr>
        <w:suppressAutoHyphens w:val="0"/>
        <w:spacing w:line="240" w:lineRule="auto"/>
        <w:rPr>
          <w:lang w:val="de-DE"/>
        </w:rPr>
      </w:pPr>
      <w:r>
        <w:rPr>
          <w:lang w:val="de-DE"/>
        </w:rPr>
        <w:br w:type="page"/>
      </w:r>
    </w:p>
    <w:p w14:paraId="01E4E73E" w14:textId="094745BD" w:rsidR="00596B2D" w:rsidRPr="000974A4" w:rsidRDefault="00120B0B" w:rsidP="000F70DA">
      <w:pPr>
        <w:pStyle w:val="SingleTxtG"/>
        <w:rPr>
          <w:lang w:val="de-DE"/>
        </w:rPr>
      </w:pPr>
      <w:r w:rsidRPr="000974A4">
        <w:rPr>
          <w:lang w:val="de-DE"/>
        </w:rPr>
        <w:lastRenderedPageBreak/>
        <w:t>77</w:t>
      </w:r>
      <w:r w:rsidR="00596B2D" w:rsidRPr="000974A4">
        <w:rPr>
          <w:lang w:val="de-DE"/>
        </w:rPr>
        <w:t>.</w:t>
      </w:r>
      <w:r w:rsidR="00596B2D" w:rsidRPr="000974A4">
        <w:rPr>
          <w:lang w:val="de-DE"/>
        </w:rPr>
        <w:tab/>
      </w:r>
      <w:r w:rsidR="00AD0C2D" w:rsidRPr="000974A4">
        <w:rPr>
          <w:lang w:val="de-DE"/>
        </w:rPr>
        <w:t>Nach einigen Diskussionen kam der Sicherheitsausschuss überein, den Umfang der diesbezüglichen Arbeiten auf Tätigkeiten zu beschränken, die bereits unter die ADN-Bestimmungen fallen.</w:t>
      </w:r>
      <w:r w:rsidR="00596B2D" w:rsidRPr="000974A4">
        <w:rPr>
          <w:lang w:val="de-DE"/>
        </w:rPr>
        <w:t xml:space="preserve"> </w:t>
      </w:r>
      <w:r w:rsidR="00AD0C2D" w:rsidRPr="000974A4">
        <w:rPr>
          <w:lang w:val="de-DE"/>
        </w:rPr>
        <w:t>Da das Laden zu den vom ADN behandelten Tätigkeiten gehört, vereinbarte der Sicherheitsausschuss die Einsetzung einer informellen Arbeitsgruppe, die sich speziell mit dem Thema Load-on-Top im Rahmen des folgenden schrittweisen Ansatzes befassen wird:</w:t>
      </w:r>
    </w:p>
    <w:p w14:paraId="07CAED07" w14:textId="1DA34A12" w:rsidR="000F70DA" w:rsidRPr="000974A4" w:rsidRDefault="000F70DA" w:rsidP="000F70DA">
      <w:pPr>
        <w:pStyle w:val="Bullet1G"/>
        <w:numPr>
          <w:ilvl w:val="0"/>
          <w:numId w:val="8"/>
        </w:numPr>
        <w:rPr>
          <w:lang w:val="de-DE"/>
        </w:rPr>
      </w:pPr>
      <w:r w:rsidRPr="000974A4">
        <w:rPr>
          <w:lang w:val="de-DE"/>
        </w:rPr>
        <w:t>Schritt 1: Inventarisierung der zu behandelnden Fragen.</w:t>
      </w:r>
    </w:p>
    <w:p w14:paraId="1ADA55AC" w14:textId="1495D66F" w:rsidR="000F70DA" w:rsidRPr="000974A4" w:rsidRDefault="000F70DA" w:rsidP="000F70DA">
      <w:pPr>
        <w:pStyle w:val="Bullet1G"/>
        <w:numPr>
          <w:ilvl w:val="0"/>
          <w:numId w:val="8"/>
        </w:numPr>
        <w:rPr>
          <w:lang w:val="de-DE"/>
        </w:rPr>
      </w:pPr>
      <w:r w:rsidRPr="000974A4">
        <w:rPr>
          <w:lang w:val="de-DE"/>
        </w:rPr>
        <w:t xml:space="preserve">Schritt 2: Identifizierung konkreter Fallstudien, die mehr Informationen über die Art der betroffenen Stoffe, die zu bewältigenden Herausforderungen usw. liefern, als Grundlage für die Entscheidung, ob und wie die derzeitigen Bestimmungen geändert werden müssen. </w:t>
      </w:r>
    </w:p>
    <w:p w14:paraId="29B99D13" w14:textId="44CBB8D1" w:rsidR="00596B2D" w:rsidRPr="000974A4" w:rsidRDefault="00120B0B" w:rsidP="000F70DA">
      <w:pPr>
        <w:pStyle w:val="SingleTxtG"/>
        <w:rPr>
          <w:lang w:val="de-DE"/>
        </w:rPr>
      </w:pPr>
      <w:r w:rsidRPr="000974A4">
        <w:rPr>
          <w:lang w:val="de-DE"/>
        </w:rPr>
        <w:t>78</w:t>
      </w:r>
      <w:r w:rsidR="00596B2D" w:rsidRPr="000974A4">
        <w:rPr>
          <w:lang w:val="de-DE"/>
        </w:rPr>
        <w:t>.</w:t>
      </w:r>
      <w:r w:rsidR="00596B2D" w:rsidRPr="000974A4">
        <w:rPr>
          <w:lang w:val="de-DE"/>
        </w:rPr>
        <w:tab/>
      </w:r>
      <w:r w:rsidR="001C6ACD" w:rsidRPr="000974A4">
        <w:rPr>
          <w:lang w:val="de-DE"/>
        </w:rPr>
        <w:t>Nach Abschluss der Arbeiten an den Schritten 1 und 2 wird der Sicherheitsausschuss die Ergebnisse bewerten und prüfen, wie vor</w:t>
      </w:r>
      <w:r w:rsidR="000F70DA" w:rsidRPr="000974A4">
        <w:rPr>
          <w:lang w:val="de-DE"/>
        </w:rPr>
        <w:t>zu</w:t>
      </w:r>
      <w:r w:rsidR="001C6ACD" w:rsidRPr="000974A4">
        <w:rPr>
          <w:lang w:val="de-DE"/>
        </w:rPr>
        <w:t xml:space="preserve">gehen </w:t>
      </w:r>
      <w:r w:rsidR="000F70DA" w:rsidRPr="000974A4">
        <w:rPr>
          <w:lang w:val="de-DE"/>
        </w:rPr>
        <w:t>ist</w:t>
      </w:r>
      <w:r w:rsidR="001C6ACD" w:rsidRPr="000974A4">
        <w:rPr>
          <w:lang w:val="de-DE"/>
        </w:rPr>
        <w:t>.</w:t>
      </w:r>
      <w:r w:rsidR="00596B2D" w:rsidRPr="000974A4">
        <w:rPr>
          <w:lang w:val="de-DE"/>
        </w:rPr>
        <w:t xml:space="preserve"> </w:t>
      </w:r>
    </w:p>
    <w:p w14:paraId="50CBA7BC" w14:textId="43C67BA2" w:rsidR="006C5078" w:rsidRPr="000974A4" w:rsidRDefault="00120B0B" w:rsidP="00FE693E">
      <w:pPr>
        <w:pStyle w:val="SingleTxtG"/>
        <w:rPr>
          <w:lang w:val="de-DE"/>
        </w:rPr>
      </w:pPr>
      <w:r w:rsidRPr="000974A4">
        <w:rPr>
          <w:lang w:val="de-DE"/>
        </w:rPr>
        <w:t>79</w:t>
      </w:r>
      <w:r w:rsidR="00596B2D" w:rsidRPr="000974A4">
        <w:rPr>
          <w:lang w:val="de-DE"/>
        </w:rPr>
        <w:t>.</w:t>
      </w:r>
      <w:r w:rsidR="00596B2D" w:rsidRPr="000974A4">
        <w:rPr>
          <w:lang w:val="de-DE"/>
        </w:rPr>
        <w:tab/>
      </w:r>
      <w:r w:rsidR="00FE7FD9" w:rsidRPr="000974A4">
        <w:rPr>
          <w:lang w:val="de-DE"/>
        </w:rPr>
        <w:t xml:space="preserve">Der Vertreter der Niederlande </w:t>
      </w:r>
      <w:r w:rsidR="00DD3697" w:rsidRPr="000974A4">
        <w:rPr>
          <w:lang w:val="de-DE"/>
        </w:rPr>
        <w:t>bot an</w:t>
      </w:r>
      <w:r w:rsidR="00FE7FD9" w:rsidRPr="000974A4">
        <w:rPr>
          <w:lang w:val="de-DE"/>
        </w:rPr>
        <w:t>, die Arbeit der informellen Arbeitsgruppe mit Unterstützung von Industrievertretern zu leiten.</w:t>
      </w:r>
    </w:p>
    <w:p w14:paraId="2FEEBC3A" w14:textId="0595CF0F" w:rsidR="00EF6F9D" w:rsidRPr="000974A4" w:rsidRDefault="00EF6F9D" w:rsidP="00FE693E">
      <w:pPr>
        <w:pStyle w:val="HChG"/>
        <w:rPr>
          <w:lang w:val="de-DE"/>
        </w:rPr>
      </w:pPr>
      <w:r w:rsidRPr="000974A4">
        <w:rPr>
          <w:lang w:val="de-DE"/>
        </w:rPr>
        <w:tab/>
      </w:r>
      <w:r w:rsidR="00FE693E" w:rsidRPr="000974A4">
        <w:rPr>
          <w:lang w:val="de-DE"/>
        </w:rPr>
        <w:t>VIII.</w:t>
      </w:r>
      <w:r w:rsidRPr="000974A4">
        <w:rPr>
          <w:lang w:val="de-DE"/>
        </w:rPr>
        <w:tab/>
      </w:r>
      <w:r w:rsidR="001B694A" w:rsidRPr="000974A4">
        <w:rPr>
          <w:lang w:val="de-DE"/>
        </w:rPr>
        <w:t>Arbeitsprogramm und Sitzungsplan (TOP 7)</w:t>
      </w:r>
    </w:p>
    <w:p w14:paraId="74B7CA3E" w14:textId="60A71D2E" w:rsidR="00EF6F9D" w:rsidRPr="000974A4" w:rsidRDefault="00EF6F9D" w:rsidP="00FE693E">
      <w:pPr>
        <w:pStyle w:val="H1G"/>
        <w:rPr>
          <w:lang w:val="de-DE"/>
        </w:rPr>
      </w:pPr>
      <w:r w:rsidRPr="000974A4">
        <w:rPr>
          <w:lang w:val="de-DE"/>
        </w:rPr>
        <w:tab/>
      </w:r>
      <w:r w:rsidR="001B694A" w:rsidRPr="000974A4">
        <w:rPr>
          <w:lang w:val="de-DE"/>
        </w:rPr>
        <w:t>A.</w:t>
      </w:r>
      <w:r w:rsidRPr="000974A4">
        <w:rPr>
          <w:lang w:val="de-DE"/>
        </w:rPr>
        <w:tab/>
      </w:r>
      <w:r w:rsidR="001B694A" w:rsidRPr="000974A4">
        <w:rPr>
          <w:lang w:val="de-DE"/>
        </w:rPr>
        <w:t>Sitzungsplan</w:t>
      </w:r>
    </w:p>
    <w:p w14:paraId="49D6B02C" w14:textId="5FD6CEE8" w:rsidR="00EF6F9D" w:rsidRPr="000974A4" w:rsidRDefault="00120B0B" w:rsidP="00FE693E">
      <w:pPr>
        <w:pStyle w:val="SingleTxtG"/>
        <w:rPr>
          <w:lang w:val="de-DE"/>
        </w:rPr>
      </w:pPr>
      <w:r w:rsidRPr="000974A4">
        <w:rPr>
          <w:lang w:val="de-DE"/>
        </w:rPr>
        <w:t>80</w:t>
      </w:r>
      <w:r w:rsidR="00EF6F9D" w:rsidRPr="000974A4">
        <w:rPr>
          <w:lang w:val="de-DE"/>
        </w:rPr>
        <w:t>.</w:t>
      </w:r>
      <w:r w:rsidR="00EF6F9D" w:rsidRPr="000974A4">
        <w:rPr>
          <w:lang w:val="de-DE"/>
        </w:rPr>
        <w:tab/>
      </w:r>
      <w:bookmarkStart w:id="12" w:name="_Hlk535782012"/>
      <w:r w:rsidR="001B694A" w:rsidRPr="000974A4">
        <w:rPr>
          <w:lang w:val="de-DE"/>
        </w:rPr>
        <w:t>Der Sicherheitsausschuss stellte fest, dass seine fünfunddreißigste Sitzung vom 26.</w:t>
      </w:r>
      <w:r w:rsidR="00955FF0" w:rsidRPr="000974A4">
        <w:rPr>
          <w:lang w:val="de-DE"/>
        </w:rPr>
        <w:t> </w:t>
      </w:r>
      <w:r w:rsidR="001B694A" w:rsidRPr="000974A4">
        <w:rPr>
          <w:lang w:val="de-DE"/>
        </w:rPr>
        <w:t>bis 30. August 2019 in Genf stattfindet und die dreiundzwanzigste Sitzung des ADN-Verwaltungsausschusses für den 30. August 2019 (von 12.00 bis 13.00 Uhr) anberaumt ist.</w:t>
      </w:r>
      <w:r w:rsidR="00EF6F9D" w:rsidRPr="000974A4">
        <w:rPr>
          <w:lang w:val="de-DE"/>
        </w:rPr>
        <w:t xml:space="preserve"> </w:t>
      </w:r>
      <w:r w:rsidR="001B694A" w:rsidRPr="000974A4">
        <w:rPr>
          <w:lang w:val="de-DE"/>
        </w:rPr>
        <w:t>Letzter Termin für die Einreichung von Dokumenten für beide Sitzungen ist der 31.</w:t>
      </w:r>
      <w:r w:rsidR="00F83B75" w:rsidRPr="000974A4">
        <w:rPr>
          <w:lang w:val="de-DE"/>
        </w:rPr>
        <w:t> </w:t>
      </w:r>
      <w:r w:rsidR="001B694A" w:rsidRPr="000974A4">
        <w:rPr>
          <w:lang w:val="de-DE"/>
        </w:rPr>
        <w:t>Mai</w:t>
      </w:r>
      <w:r w:rsidR="00F83B75" w:rsidRPr="000974A4">
        <w:rPr>
          <w:lang w:val="de-DE"/>
        </w:rPr>
        <w:t> </w:t>
      </w:r>
      <w:r w:rsidR="001B694A" w:rsidRPr="000974A4">
        <w:rPr>
          <w:lang w:val="de-DE"/>
        </w:rPr>
        <w:t>2019.</w:t>
      </w:r>
    </w:p>
    <w:bookmarkEnd w:id="12"/>
    <w:p w14:paraId="4C31675E" w14:textId="6390FC51" w:rsidR="00EF6F9D" w:rsidRPr="000974A4" w:rsidRDefault="00EF6F9D" w:rsidP="00FE693E">
      <w:pPr>
        <w:pStyle w:val="H1G"/>
        <w:rPr>
          <w:lang w:val="de-DE"/>
        </w:rPr>
      </w:pPr>
      <w:r w:rsidRPr="000974A4">
        <w:rPr>
          <w:lang w:val="de-DE"/>
        </w:rPr>
        <w:tab/>
      </w:r>
      <w:r w:rsidR="008E23A3" w:rsidRPr="000974A4">
        <w:rPr>
          <w:lang w:val="de-DE"/>
        </w:rPr>
        <w:t>B.</w:t>
      </w:r>
      <w:r w:rsidRPr="000974A4">
        <w:rPr>
          <w:lang w:val="de-DE"/>
        </w:rPr>
        <w:tab/>
      </w:r>
      <w:r w:rsidR="008E23A3" w:rsidRPr="000974A4">
        <w:rPr>
          <w:lang w:val="de-DE"/>
        </w:rPr>
        <w:t>Informelle Arbeitsgruppe „Normen“</w:t>
      </w:r>
    </w:p>
    <w:p w14:paraId="1E5763C2" w14:textId="6B8AF2CB" w:rsidR="00EF6F9D" w:rsidRPr="000974A4" w:rsidRDefault="008E23A3" w:rsidP="008E23A3">
      <w:pPr>
        <w:pStyle w:val="SingleTxtG"/>
        <w:tabs>
          <w:tab w:val="left" w:pos="2552"/>
        </w:tabs>
        <w:rPr>
          <w:lang w:val="de-DE"/>
        </w:rPr>
      </w:pPr>
      <w:r w:rsidRPr="000974A4">
        <w:rPr>
          <w:i/>
          <w:iCs/>
          <w:lang w:val="de-DE"/>
        </w:rPr>
        <w:t>Dokument:</w:t>
      </w:r>
      <w:r w:rsidR="00EF6F9D" w:rsidRPr="000974A4">
        <w:rPr>
          <w:i/>
          <w:iCs/>
          <w:lang w:val="de-DE"/>
        </w:rPr>
        <w:tab/>
      </w:r>
      <w:r w:rsidRPr="000974A4">
        <w:rPr>
          <w:lang w:val="de-DE"/>
        </w:rPr>
        <w:t>ECE/TRANS/WP.15/AC.2/2019/5 (Deutschland, Luxemburg)</w:t>
      </w:r>
    </w:p>
    <w:p w14:paraId="199ABE74" w14:textId="3DB209C7" w:rsidR="00EF6F9D" w:rsidRPr="000974A4" w:rsidRDefault="00120B0B" w:rsidP="002A4005">
      <w:pPr>
        <w:pStyle w:val="SingleTxtG"/>
        <w:rPr>
          <w:lang w:val="de-DE"/>
        </w:rPr>
      </w:pPr>
      <w:r w:rsidRPr="000974A4">
        <w:rPr>
          <w:lang w:val="de-DE"/>
        </w:rPr>
        <w:t>81</w:t>
      </w:r>
      <w:r w:rsidR="00EF6F9D" w:rsidRPr="000974A4">
        <w:rPr>
          <w:lang w:val="de-DE"/>
        </w:rPr>
        <w:t>.</w:t>
      </w:r>
      <w:r w:rsidR="00EF6F9D" w:rsidRPr="000974A4">
        <w:rPr>
          <w:lang w:val="de-DE"/>
        </w:rPr>
        <w:tab/>
      </w:r>
      <w:r w:rsidR="002A4005" w:rsidRPr="000974A4">
        <w:rPr>
          <w:lang w:val="de-DE"/>
        </w:rPr>
        <w:t>Der Sicherheitsausschuss stimmte der Einsetzung einer informellen Arbeitsgruppe „Normen“ zu, die gemäß dem Mandat in Absatz 6 des Dokuments arbeiten wird.</w:t>
      </w:r>
    </w:p>
    <w:p w14:paraId="60892BB9" w14:textId="0FCF3DFD" w:rsidR="00EF6F9D" w:rsidRPr="000974A4" w:rsidRDefault="00120B0B" w:rsidP="002A4005">
      <w:pPr>
        <w:pStyle w:val="SingleTxtG"/>
        <w:rPr>
          <w:lang w:val="de-DE"/>
        </w:rPr>
      </w:pPr>
      <w:r w:rsidRPr="000974A4">
        <w:rPr>
          <w:lang w:val="de-DE"/>
        </w:rPr>
        <w:t>82</w:t>
      </w:r>
      <w:r w:rsidR="00EF6F9D" w:rsidRPr="000974A4">
        <w:rPr>
          <w:lang w:val="de-DE"/>
        </w:rPr>
        <w:t>.</w:t>
      </w:r>
      <w:r w:rsidR="00EF6F9D" w:rsidRPr="000974A4">
        <w:rPr>
          <w:lang w:val="de-DE"/>
        </w:rPr>
        <w:tab/>
      </w:r>
      <w:r w:rsidR="002A4005" w:rsidRPr="000974A4">
        <w:rPr>
          <w:lang w:val="de-DE"/>
        </w:rPr>
        <w:t>Der Vertreter der Russischen Föderation äußerte diesbezüglich Vorbehalte.</w:t>
      </w:r>
      <w:r w:rsidR="00EF6F9D" w:rsidRPr="000974A4">
        <w:rPr>
          <w:lang w:val="de-DE"/>
        </w:rPr>
        <w:t xml:space="preserve"> </w:t>
      </w:r>
      <w:r w:rsidR="002A4005" w:rsidRPr="000974A4">
        <w:rPr>
          <w:lang w:val="de-DE"/>
        </w:rPr>
        <w:t>Er war der Ansicht, dass die Aufnahme von Verweisen auf regionale Normen (d. h. auf die in der Gesetzgebung der Europäischen Union genannten Normen) in den Text internationaler Instrumente wie das ADN nicht unterstützt werden sollte, da die Einhaltung solcher regionalen Normen für Vertragsparteien, die keine Mitgliedstaaten der Europäischen Union sind, möglicherweise nicht möglich ist.</w:t>
      </w:r>
      <w:r w:rsidR="00EF6F9D" w:rsidRPr="000974A4">
        <w:rPr>
          <w:lang w:val="de-DE"/>
        </w:rPr>
        <w:t xml:space="preserve"> </w:t>
      </w:r>
    </w:p>
    <w:p w14:paraId="095F5245" w14:textId="31990064" w:rsidR="00EF6F9D" w:rsidRPr="000974A4" w:rsidRDefault="00EF6F9D" w:rsidP="002A4005">
      <w:pPr>
        <w:pStyle w:val="HChG"/>
        <w:rPr>
          <w:lang w:val="de-DE"/>
        </w:rPr>
      </w:pPr>
      <w:bookmarkStart w:id="13" w:name="_Hlk535914948"/>
      <w:r w:rsidRPr="000974A4">
        <w:rPr>
          <w:lang w:val="de-DE"/>
        </w:rPr>
        <w:tab/>
      </w:r>
      <w:r w:rsidR="002A4005" w:rsidRPr="000974A4">
        <w:rPr>
          <w:lang w:val="de-DE"/>
        </w:rPr>
        <w:t>IX.</w:t>
      </w:r>
      <w:r w:rsidRPr="000974A4">
        <w:rPr>
          <w:lang w:val="de-DE"/>
        </w:rPr>
        <w:tab/>
      </w:r>
      <w:r w:rsidR="002A4005" w:rsidRPr="000974A4">
        <w:rPr>
          <w:lang w:val="de-DE"/>
        </w:rPr>
        <w:t>Verschiedenes (TOP 8)</w:t>
      </w:r>
    </w:p>
    <w:p w14:paraId="4E67E1CB" w14:textId="0DF202C7" w:rsidR="00120B0B" w:rsidRPr="000974A4" w:rsidRDefault="00120B0B" w:rsidP="002A4005">
      <w:pPr>
        <w:pStyle w:val="H1G"/>
        <w:rPr>
          <w:lang w:val="de-DE"/>
        </w:rPr>
      </w:pPr>
      <w:r w:rsidRPr="000974A4">
        <w:rPr>
          <w:lang w:val="de-DE"/>
        </w:rPr>
        <w:tab/>
        <w:t>1.</w:t>
      </w:r>
      <w:r w:rsidRPr="000974A4">
        <w:rPr>
          <w:lang w:val="de-DE"/>
        </w:rPr>
        <w:tab/>
      </w:r>
      <w:r w:rsidR="002A4005" w:rsidRPr="000974A4">
        <w:rPr>
          <w:lang w:val="de-DE"/>
        </w:rPr>
        <w:t>Europäische Binnenschifffahrtsplattform</w:t>
      </w:r>
    </w:p>
    <w:p w14:paraId="213C4373" w14:textId="48A712C8" w:rsidR="009954B0" w:rsidRPr="000974A4" w:rsidRDefault="009954B0" w:rsidP="00FE693E">
      <w:pPr>
        <w:pStyle w:val="SingleTxtG"/>
        <w:rPr>
          <w:lang w:val="de-DE"/>
        </w:rPr>
      </w:pPr>
      <w:r w:rsidRPr="000974A4">
        <w:rPr>
          <w:lang w:val="de-DE"/>
        </w:rPr>
        <w:tab/>
      </w:r>
      <w:r w:rsidR="00120B0B" w:rsidRPr="000974A4">
        <w:rPr>
          <w:lang w:val="de-DE"/>
        </w:rPr>
        <w:t>83</w:t>
      </w:r>
      <w:r w:rsidRPr="000974A4">
        <w:rPr>
          <w:lang w:val="de-DE"/>
        </w:rPr>
        <w:t>.</w:t>
      </w:r>
      <w:r w:rsidRPr="000974A4">
        <w:rPr>
          <w:lang w:val="de-DE"/>
        </w:rPr>
        <w:tab/>
      </w:r>
      <w:r w:rsidR="002A4005" w:rsidRPr="000974A4">
        <w:rPr>
          <w:lang w:val="de-DE"/>
        </w:rPr>
        <w:t>Der Sicherheitsausschuss wurde darüber informiert, dass EBU und ESO mit Wirkung vom 1. Januar 2019 die „Europäische Binnenschifffahrtsplattform“ eingerichtet haben, und stellte fest, dass dessen Ausschuss für Umwelt und Sicherheit ADN-bezogene Fragen berücksichtigen wird.</w:t>
      </w:r>
      <w:r w:rsidRPr="000974A4">
        <w:rPr>
          <w:lang w:val="de-DE"/>
        </w:rPr>
        <w:t xml:space="preserve"> </w:t>
      </w:r>
      <w:r w:rsidR="002A4005" w:rsidRPr="000974A4">
        <w:rPr>
          <w:lang w:val="de-DE"/>
        </w:rPr>
        <w:t>Die Plattform soll eine neue Kompetenzdimension zum Nutzen der gesamten Binnenschifffahrtsgemeinschaft und aller daran beteiligten Institutionen schaffen.</w:t>
      </w:r>
    </w:p>
    <w:bookmarkEnd w:id="13"/>
    <w:p w14:paraId="28E3D06C" w14:textId="247E6640" w:rsidR="00EF6F9D" w:rsidRPr="000974A4" w:rsidRDefault="00EF6F9D" w:rsidP="00FE693E">
      <w:pPr>
        <w:pStyle w:val="H1G"/>
        <w:rPr>
          <w:lang w:val="de-DE"/>
        </w:rPr>
      </w:pPr>
      <w:r w:rsidRPr="000974A4">
        <w:rPr>
          <w:lang w:val="de-DE"/>
        </w:rPr>
        <w:lastRenderedPageBreak/>
        <w:tab/>
      </w:r>
      <w:r w:rsidR="00120B0B" w:rsidRPr="000974A4">
        <w:rPr>
          <w:lang w:val="de-DE"/>
        </w:rPr>
        <w:t>2</w:t>
      </w:r>
      <w:r w:rsidRPr="000974A4">
        <w:rPr>
          <w:lang w:val="de-DE"/>
        </w:rPr>
        <w:t>.</w:t>
      </w:r>
      <w:r w:rsidRPr="000974A4">
        <w:rPr>
          <w:lang w:val="de-DE"/>
        </w:rPr>
        <w:tab/>
      </w:r>
      <w:r w:rsidR="00CD6D77" w:rsidRPr="000974A4">
        <w:rPr>
          <w:lang w:val="de-DE"/>
        </w:rPr>
        <w:t xml:space="preserve">Danksagung an Herrn </w:t>
      </w:r>
      <w:proofErr w:type="spellStart"/>
      <w:r w:rsidR="00CD6D77" w:rsidRPr="000974A4">
        <w:rPr>
          <w:lang w:val="de-DE"/>
        </w:rPr>
        <w:t>Roggeman</w:t>
      </w:r>
      <w:proofErr w:type="spellEnd"/>
      <w:r w:rsidR="00CD6D77" w:rsidRPr="000974A4">
        <w:rPr>
          <w:lang w:val="de-DE"/>
        </w:rPr>
        <w:t xml:space="preserve"> (Belgien)</w:t>
      </w:r>
    </w:p>
    <w:p w14:paraId="46BF9148" w14:textId="07636AA4" w:rsidR="00EF6F9D" w:rsidRPr="000974A4" w:rsidRDefault="00120B0B" w:rsidP="00FE693E">
      <w:pPr>
        <w:pStyle w:val="SingleTxtG"/>
        <w:rPr>
          <w:lang w:val="de-DE"/>
        </w:rPr>
      </w:pPr>
      <w:r w:rsidRPr="000974A4">
        <w:rPr>
          <w:lang w:val="de-DE"/>
        </w:rPr>
        <w:t>84</w:t>
      </w:r>
      <w:r w:rsidR="00EF6F9D" w:rsidRPr="000974A4">
        <w:rPr>
          <w:lang w:val="de-DE"/>
        </w:rPr>
        <w:t>.</w:t>
      </w:r>
      <w:r w:rsidR="00EF6F9D" w:rsidRPr="000974A4">
        <w:rPr>
          <w:lang w:val="de-DE"/>
        </w:rPr>
        <w:tab/>
      </w:r>
      <w:r w:rsidR="00CD6D77" w:rsidRPr="000974A4">
        <w:rPr>
          <w:lang w:val="de-DE"/>
        </w:rPr>
        <w:t xml:space="preserve">Der Sicherheitsausschuss wurde darüber informiert, dass Herr </w:t>
      </w:r>
      <w:proofErr w:type="spellStart"/>
      <w:r w:rsidR="00CD6D77" w:rsidRPr="000974A4">
        <w:rPr>
          <w:lang w:val="de-DE"/>
        </w:rPr>
        <w:t>Roggeman</w:t>
      </w:r>
      <w:proofErr w:type="spellEnd"/>
      <w:r w:rsidR="00CD6D77" w:rsidRPr="000974A4">
        <w:rPr>
          <w:lang w:val="de-DE"/>
        </w:rPr>
        <w:t xml:space="preserve"> bald neue Aufgaben übernehmen und nicht mehr an den Sitzungen des Sicherheitsausschusses als Mitglied der belgischen Delegation teilnehmen wird.</w:t>
      </w:r>
      <w:r w:rsidR="00EF6F9D" w:rsidRPr="000974A4">
        <w:rPr>
          <w:lang w:val="de-DE"/>
        </w:rPr>
        <w:t xml:space="preserve"> </w:t>
      </w:r>
      <w:r w:rsidR="00CD6D77" w:rsidRPr="000974A4">
        <w:rPr>
          <w:lang w:val="de-DE"/>
        </w:rPr>
        <w:t xml:space="preserve">Der Ausschuss dankte ihm für </w:t>
      </w:r>
      <w:r w:rsidR="00955FF0" w:rsidRPr="000974A4">
        <w:rPr>
          <w:lang w:val="de-DE"/>
        </w:rPr>
        <w:t>dessen</w:t>
      </w:r>
      <w:r w:rsidR="00CD6D77" w:rsidRPr="000974A4">
        <w:rPr>
          <w:lang w:val="de-DE"/>
        </w:rPr>
        <w:t xml:space="preserve"> Beitrag zu seiner Arbeit und wünschte ihm viel Erfolg bei seinen zukünftigen Aufgaben.</w:t>
      </w:r>
    </w:p>
    <w:p w14:paraId="3E354D06" w14:textId="5ACBC6C8" w:rsidR="00EF6F9D" w:rsidRPr="000974A4" w:rsidRDefault="00EF6F9D" w:rsidP="00FE693E">
      <w:pPr>
        <w:pStyle w:val="H1G"/>
        <w:rPr>
          <w:lang w:val="de-DE"/>
        </w:rPr>
      </w:pPr>
      <w:r w:rsidRPr="000974A4">
        <w:rPr>
          <w:lang w:val="de-DE"/>
        </w:rPr>
        <w:tab/>
      </w:r>
      <w:r w:rsidR="00120B0B" w:rsidRPr="000974A4">
        <w:rPr>
          <w:lang w:val="de-DE"/>
        </w:rPr>
        <w:t>3</w:t>
      </w:r>
      <w:r w:rsidRPr="000974A4">
        <w:rPr>
          <w:lang w:val="de-DE"/>
        </w:rPr>
        <w:t>.</w:t>
      </w:r>
      <w:r w:rsidRPr="000974A4">
        <w:rPr>
          <w:lang w:val="de-DE"/>
        </w:rPr>
        <w:tab/>
      </w:r>
      <w:r w:rsidR="004E6B0E" w:rsidRPr="000974A4">
        <w:rPr>
          <w:lang w:val="de-DE"/>
        </w:rPr>
        <w:t>Multilaterales Abkommen M024</w:t>
      </w:r>
    </w:p>
    <w:p w14:paraId="1DD8BF2A" w14:textId="0DD61FD1" w:rsidR="00EF6F9D" w:rsidRPr="000974A4" w:rsidRDefault="00120B0B" w:rsidP="00FE693E">
      <w:pPr>
        <w:pStyle w:val="SingleTxtG"/>
        <w:rPr>
          <w:lang w:val="de-DE"/>
        </w:rPr>
      </w:pPr>
      <w:r w:rsidRPr="000974A4">
        <w:rPr>
          <w:lang w:val="de-DE"/>
        </w:rPr>
        <w:t>85</w:t>
      </w:r>
      <w:r w:rsidR="00EF6F9D" w:rsidRPr="000974A4">
        <w:rPr>
          <w:lang w:val="de-DE"/>
        </w:rPr>
        <w:t>.</w:t>
      </w:r>
      <w:r w:rsidR="00EF6F9D" w:rsidRPr="000974A4">
        <w:rPr>
          <w:lang w:val="de-DE"/>
        </w:rPr>
        <w:tab/>
      </w:r>
      <w:r w:rsidR="004E6B0E" w:rsidRPr="000974A4">
        <w:rPr>
          <w:lang w:val="de-DE"/>
        </w:rPr>
        <w:t>Der CEFIC-Vertreter ersuchte die Vertragsparteien, die Unterzeichnung des von Deutschland ausgearbeiteten multilateralen Abkommens M024 zu prüfen.</w:t>
      </w:r>
      <w:r w:rsidR="00EF6F9D" w:rsidRPr="000974A4">
        <w:rPr>
          <w:lang w:val="de-DE"/>
        </w:rPr>
        <w:t xml:space="preserve"> </w:t>
      </w:r>
      <w:r w:rsidR="00FE693E" w:rsidRPr="000974A4">
        <w:rPr>
          <w:lang w:val="de-DE"/>
        </w:rPr>
        <w:t>Damit</w:t>
      </w:r>
      <w:r w:rsidR="004E6B0E" w:rsidRPr="000974A4">
        <w:rPr>
          <w:lang w:val="de-DE"/>
        </w:rPr>
        <w:t xml:space="preserve"> würde erlaubt, die in der Schiffsstoffliste nach Absatz 1.16.1.2.5 aufgeführten UN-Nr. 1179, 1216 und 3256 vor dem Inkrafttreten der vom Sicherheitsausschuss auf seiner dreiunddreißigsten Sitzung angenommenen Änderungen des Explosionsschutzkonzepts am 1. Januar 2021 </w:t>
      </w:r>
      <w:r w:rsidR="00064FB2" w:rsidRPr="000974A4">
        <w:rPr>
          <w:lang w:val="de-DE"/>
        </w:rPr>
        <w:t xml:space="preserve">zu </w:t>
      </w:r>
      <w:r w:rsidR="004E6B0E" w:rsidRPr="000974A4">
        <w:rPr>
          <w:lang w:val="de-DE"/>
        </w:rPr>
        <w:t>beförder</w:t>
      </w:r>
      <w:r w:rsidR="00064FB2" w:rsidRPr="000974A4">
        <w:rPr>
          <w:lang w:val="de-DE"/>
        </w:rPr>
        <w:t xml:space="preserve">n </w:t>
      </w:r>
      <w:r w:rsidR="004E6B0E" w:rsidRPr="000974A4">
        <w:rPr>
          <w:lang w:val="de-DE"/>
        </w:rPr>
        <w:t>(siehe ECE/TRANS/WP.15/AC.2/68, Absatz 65).</w:t>
      </w:r>
    </w:p>
    <w:p w14:paraId="1F2A7BE3" w14:textId="5E2FE768" w:rsidR="00EF6F9D" w:rsidRPr="000974A4" w:rsidRDefault="00EF6F9D" w:rsidP="00FE693E">
      <w:pPr>
        <w:pStyle w:val="HChG"/>
        <w:rPr>
          <w:lang w:val="de-DE"/>
        </w:rPr>
      </w:pPr>
      <w:r w:rsidRPr="000974A4">
        <w:rPr>
          <w:lang w:val="de-DE"/>
        </w:rPr>
        <w:tab/>
        <w:t>X.</w:t>
      </w:r>
      <w:r w:rsidRPr="000974A4">
        <w:rPr>
          <w:lang w:val="de-DE"/>
        </w:rPr>
        <w:tab/>
      </w:r>
      <w:r w:rsidR="000042C7" w:rsidRPr="000974A4">
        <w:rPr>
          <w:lang w:val="de-DE"/>
        </w:rPr>
        <w:t>Genehmigung des Sitzungsprotokolls (TOP 9)</w:t>
      </w:r>
    </w:p>
    <w:p w14:paraId="3BDF6DD6" w14:textId="1AEB8306" w:rsidR="00EF6F9D" w:rsidRPr="000974A4" w:rsidRDefault="00120B0B" w:rsidP="00FE693E">
      <w:pPr>
        <w:pStyle w:val="SingleTxtG"/>
        <w:rPr>
          <w:lang w:val="de-DE"/>
        </w:rPr>
      </w:pPr>
      <w:r w:rsidRPr="000974A4">
        <w:rPr>
          <w:lang w:val="de-DE"/>
        </w:rPr>
        <w:t>86</w:t>
      </w:r>
      <w:r w:rsidR="00EF6F9D" w:rsidRPr="000974A4">
        <w:rPr>
          <w:lang w:val="de-DE"/>
        </w:rPr>
        <w:t>.</w:t>
      </w:r>
      <w:r w:rsidR="00EF6F9D" w:rsidRPr="000974A4">
        <w:rPr>
          <w:lang w:val="de-DE"/>
        </w:rPr>
        <w:tab/>
      </w:r>
      <w:r w:rsidR="000042C7" w:rsidRPr="000974A4">
        <w:rPr>
          <w:lang w:val="de-DE"/>
        </w:rPr>
        <w:t>Der Sicherheitsausschuss genehmigte das Protokoll über seine vierunddreißigste Sitzung auf der Grundlage eines Sekretariatsentwurfs.</w:t>
      </w:r>
    </w:p>
    <w:p w14:paraId="05857154" w14:textId="77777777" w:rsidR="00EF6F9D" w:rsidRPr="000974A4" w:rsidRDefault="00EF6F9D">
      <w:pPr>
        <w:suppressAutoHyphens w:val="0"/>
        <w:spacing w:line="240" w:lineRule="auto"/>
        <w:rPr>
          <w:lang w:val="de-DE"/>
        </w:rPr>
      </w:pPr>
      <w:r w:rsidRPr="000974A4">
        <w:rPr>
          <w:lang w:val="de-DE"/>
        </w:rPr>
        <w:br w:type="page"/>
      </w:r>
    </w:p>
    <w:p w14:paraId="148B0615" w14:textId="77777777" w:rsidR="00B65F3A" w:rsidRPr="000974A4" w:rsidRDefault="00B65F3A" w:rsidP="00B65F3A">
      <w:pPr>
        <w:keepNext/>
        <w:keepLines/>
        <w:spacing w:before="240" w:after="120" w:line="270" w:lineRule="exact"/>
        <w:ind w:left="1134" w:right="1134" w:hanging="1134"/>
        <w:rPr>
          <w:b/>
          <w:sz w:val="28"/>
          <w:lang w:val="de-DE"/>
        </w:rPr>
      </w:pPr>
    </w:p>
    <w:p w14:paraId="589AD3C5" w14:textId="70F8D186" w:rsidR="00B65F3A" w:rsidRPr="000974A4" w:rsidRDefault="00B65F3A" w:rsidP="00B65F3A">
      <w:pPr>
        <w:keepNext/>
        <w:keepLines/>
        <w:spacing w:before="240" w:after="120" w:line="270" w:lineRule="exact"/>
        <w:ind w:left="1134" w:right="1134" w:hanging="1134"/>
        <w:rPr>
          <w:b/>
          <w:sz w:val="28"/>
          <w:lang w:val="de-DE"/>
        </w:rPr>
      </w:pPr>
      <w:r w:rsidRPr="000974A4">
        <w:rPr>
          <w:b/>
          <w:sz w:val="28"/>
          <w:lang w:val="de-DE"/>
        </w:rPr>
        <w:t>Anlage I</w:t>
      </w:r>
    </w:p>
    <w:p w14:paraId="46BB0E59" w14:textId="77777777" w:rsidR="00B65F3A" w:rsidRPr="000974A4" w:rsidRDefault="00B65F3A" w:rsidP="00B65F3A">
      <w:pPr>
        <w:jc w:val="right"/>
        <w:rPr>
          <w:lang w:val="de-DE"/>
        </w:rPr>
      </w:pPr>
      <w:r w:rsidRPr="000974A4">
        <w:rPr>
          <w:lang w:val="de-DE"/>
        </w:rPr>
        <w:t>[Original: Englisch und Französisch]</w:t>
      </w:r>
    </w:p>
    <w:p w14:paraId="6B2734F0" w14:textId="2E6DEEBC" w:rsidR="00B65F3A" w:rsidRPr="000974A4" w:rsidRDefault="00B65F3A" w:rsidP="004E750C">
      <w:pPr>
        <w:keepNext/>
        <w:keepLines/>
        <w:tabs>
          <w:tab w:val="right" w:pos="851"/>
        </w:tabs>
        <w:spacing w:before="240" w:after="240" w:line="270" w:lineRule="exact"/>
        <w:ind w:left="1134" w:right="1134" w:hanging="1134"/>
        <w:rPr>
          <w:b/>
          <w:sz w:val="28"/>
          <w:lang w:val="de-DE"/>
        </w:rPr>
      </w:pPr>
      <w:r w:rsidRPr="000974A4">
        <w:rPr>
          <w:b/>
          <w:sz w:val="28"/>
          <w:lang w:val="de-DE"/>
        </w:rPr>
        <w:tab/>
      </w:r>
      <w:r w:rsidRPr="000974A4">
        <w:rPr>
          <w:b/>
          <w:sz w:val="28"/>
          <w:lang w:val="de-DE"/>
        </w:rPr>
        <w:tab/>
        <w:t>Änderungsvorschläge zu der dem ADN beigefügten Verordnung, die am 1. Januar 2021 in Kraft treten sollen</w:t>
      </w:r>
    </w:p>
    <w:p w14:paraId="5A26D120" w14:textId="77777777" w:rsidR="00B65F3A" w:rsidRPr="000974A4" w:rsidRDefault="00B65F3A" w:rsidP="004E750C">
      <w:pPr>
        <w:pStyle w:val="H1G"/>
        <w:spacing w:before="240"/>
        <w:rPr>
          <w:lang w:val="de-DE"/>
        </w:rPr>
      </w:pPr>
      <w:r w:rsidRPr="000974A4">
        <w:rPr>
          <w:lang w:val="de-DE"/>
        </w:rPr>
        <w:tab/>
      </w:r>
      <w:r w:rsidRPr="000974A4">
        <w:rPr>
          <w:lang w:val="de-DE"/>
        </w:rPr>
        <w:tab/>
        <w:t>Kapitel 1.1</w:t>
      </w:r>
    </w:p>
    <w:p w14:paraId="1E318EDF" w14:textId="77777777" w:rsidR="00B65F3A" w:rsidRPr="000974A4" w:rsidRDefault="00B65F3A" w:rsidP="00B65F3A">
      <w:pPr>
        <w:pStyle w:val="SingleTxtG"/>
        <w:rPr>
          <w:lang w:val="de-DE"/>
        </w:rPr>
      </w:pPr>
      <w:r w:rsidRPr="000974A4">
        <w:rPr>
          <w:lang w:val="de-DE"/>
        </w:rPr>
        <w:t>1.1.3.6.1</w:t>
      </w:r>
      <w:r w:rsidRPr="000974A4">
        <w:rPr>
          <w:lang w:val="de-DE"/>
        </w:rPr>
        <w:tab/>
        <w:t>Erhält folgenden Wortlaut:</w:t>
      </w:r>
    </w:p>
    <w:p w14:paraId="6E42B71C" w14:textId="77777777" w:rsidR="00B65F3A" w:rsidRPr="000974A4" w:rsidRDefault="00B65F3A" w:rsidP="00B65F3A">
      <w:pPr>
        <w:spacing w:after="120"/>
        <w:ind w:left="1134" w:right="1134"/>
        <w:jc w:val="both"/>
        <w:rPr>
          <w:lang w:val="de-DE"/>
        </w:rPr>
      </w:pPr>
      <w:r w:rsidRPr="000974A4">
        <w:rPr>
          <w:rFonts w:ascii="Arial" w:hAnsi="Arial" w:cs="Arial"/>
          <w:bCs/>
          <w:lang w:val="de-DE"/>
        </w:rPr>
        <w:t>„</w:t>
      </w:r>
      <w:r w:rsidRPr="000974A4">
        <w:rPr>
          <w:lang w:val="de-DE"/>
        </w:rPr>
        <w:t>1.1.3.6.1</w:t>
      </w:r>
      <w:r w:rsidRPr="000974A4">
        <w:rPr>
          <w:lang w:val="de-DE"/>
        </w:rPr>
        <w:tab/>
        <w:t>Bei der Beförderung von gefährlichen Gütern in Versandstücken gelten die Vorschriften des ADN mit Ausnahme von Absatz 1.1.3.6.2 nicht, wenn die Bruttomasse aller beförderten gefährlichen Güter insgesamt 3 000 kg nicht überschreitet und für die einzelnen Klassen die in der nachfolgenden Tabelle angegebene Menge nicht überschreitet</w:t>
      </w:r>
      <w:r w:rsidRPr="000974A4">
        <w:rPr>
          <w:iCs/>
          <w:lang w:val="de-DE"/>
        </w:rPr>
        <w:t>.</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495"/>
        <w:gridCol w:w="96"/>
        <w:gridCol w:w="4437"/>
        <w:gridCol w:w="820"/>
        <w:gridCol w:w="821"/>
        <w:gridCol w:w="701"/>
      </w:tblGrid>
      <w:tr w:rsidR="00B65F3A" w:rsidRPr="000974A4" w14:paraId="40E64EA8" w14:textId="77777777" w:rsidTr="00B65F3A">
        <w:trPr>
          <w:trHeight w:hRule="exact" w:val="688"/>
          <w:tblHeader/>
        </w:trPr>
        <w:tc>
          <w:tcPr>
            <w:tcW w:w="495" w:type="dxa"/>
            <w:tcBorders>
              <w:top w:val="single" w:sz="4" w:space="0" w:color="auto"/>
              <w:bottom w:val="single" w:sz="12" w:space="0" w:color="auto"/>
            </w:tcBorders>
            <w:shd w:val="clear" w:color="auto" w:fill="auto"/>
            <w:vAlign w:val="bottom"/>
          </w:tcPr>
          <w:p w14:paraId="10778C8F" w14:textId="77777777" w:rsidR="00B65F3A" w:rsidRPr="000974A4" w:rsidRDefault="00B65F3A" w:rsidP="00B65F3A">
            <w:pPr>
              <w:keepNext/>
              <w:keepLines/>
              <w:suppressAutoHyphens w:val="0"/>
              <w:kinsoku w:val="0"/>
              <w:overflowPunct w:val="0"/>
              <w:autoSpaceDE w:val="0"/>
              <w:autoSpaceDN w:val="0"/>
              <w:adjustRightInd w:val="0"/>
              <w:spacing w:before="80" w:after="80" w:line="200" w:lineRule="exact"/>
              <w:rPr>
                <w:rFonts w:eastAsia="Calibri"/>
                <w:i/>
                <w:sz w:val="16"/>
                <w:szCs w:val="18"/>
                <w:lang w:val="de-DE"/>
              </w:rPr>
            </w:pPr>
            <w:r w:rsidRPr="000974A4">
              <w:rPr>
                <w:rFonts w:eastAsia="Calibri"/>
                <w:bCs/>
                <w:i/>
                <w:sz w:val="16"/>
                <w:szCs w:val="18"/>
                <w:lang w:val="de-DE"/>
              </w:rPr>
              <w:t>Klasse</w:t>
            </w:r>
          </w:p>
        </w:tc>
        <w:tc>
          <w:tcPr>
            <w:tcW w:w="96" w:type="dxa"/>
            <w:tcBorders>
              <w:top w:val="single" w:sz="4" w:space="0" w:color="auto"/>
              <w:bottom w:val="single" w:sz="12" w:space="0" w:color="auto"/>
            </w:tcBorders>
            <w:shd w:val="clear" w:color="auto" w:fill="auto"/>
            <w:vAlign w:val="bottom"/>
          </w:tcPr>
          <w:p w14:paraId="55580644" w14:textId="77777777" w:rsidR="00B65F3A" w:rsidRPr="000974A4" w:rsidRDefault="00B65F3A" w:rsidP="00B65F3A">
            <w:pPr>
              <w:keepNext/>
              <w:keepLines/>
              <w:suppressAutoHyphens w:val="0"/>
              <w:autoSpaceDE w:val="0"/>
              <w:autoSpaceDN w:val="0"/>
              <w:adjustRightInd w:val="0"/>
              <w:spacing w:before="80" w:after="80" w:line="200" w:lineRule="exact"/>
              <w:ind w:right="113"/>
              <w:rPr>
                <w:rFonts w:eastAsia="Calibri"/>
                <w:i/>
                <w:sz w:val="16"/>
                <w:szCs w:val="18"/>
                <w:lang w:val="de-DE"/>
              </w:rPr>
            </w:pPr>
          </w:p>
        </w:tc>
        <w:tc>
          <w:tcPr>
            <w:tcW w:w="4437" w:type="dxa"/>
            <w:tcBorders>
              <w:top w:val="single" w:sz="4" w:space="0" w:color="auto"/>
              <w:bottom w:val="single" w:sz="12" w:space="0" w:color="auto"/>
            </w:tcBorders>
            <w:shd w:val="clear" w:color="auto" w:fill="auto"/>
            <w:vAlign w:val="bottom"/>
          </w:tcPr>
          <w:p w14:paraId="2CF54103" w14:textId="77777777" w:rsidR="00B65F3A" w:rsidRPr="000974A4" w:rsidRDefault="00B65F3A" w:rsidP="00B65F3A">
            <w:pPr>
              <w:keepNext/>
              <w:keepLines/>
              <w:suppressAutoHyphens w:val="0"/>
              <w:kinsoku w:val="0"/>
              <w:overflowPunct w:val="0"/>
              <w:autoSpaceDE w:val="0"/>
              <w:autoSpaceDN w:val="0"/>
              <w:adjustRightInd w:val="0"/>
              <w:spacing w:before="80" w:after="80" w:line="200" w:lineRule="exact"/>
              <w:ind w:right="113"/>
              <w:rPr>
                <w:rFonts w:eastAsia="Calibri"/>
                <w:i/>
                <w:sz w:val="16"/>
                <w:szCs w:val="18"/>
                <w:lang w:val="de-DE"/>
              </w:rPr>
            </w:pPr>
            <w:r w:rsidRPr="000974A4">
              <w:rPr>
                <w:rFonts w:eastAsia="Calibri"/>
                <w:bCs/>
                <w:i/>
                <w:sz w:val="16"/>
                <w:szCs w:val="18"/>
                <w:lang w:val="de-DE"/>
              </w:rPr>
              <w:t xml:space="preserve">Stoffe oder Gegenstände in Versandstücken </w:t>
            </w:r>
          </w:p>
        </w:tc>
        <w:tc>
          <w:tcPr>
            <w:tcW w:w="2342" w:type="dxa"/>
            <w:gridSpan w:val="3"/>
            <w:tcBorders>
              <w:top w:val="single" w:sz="4" w:space="0" w:color="auto"/>
              <w:bottom w:val="single" w:sz="12" w:space="0" w:color="auto"/>
            </w:tcBorders>
            <w:shd w:val="clear" w:color="auto" w:fill="auto"/>
            <w:vAlign w:val="bottom"/>
          </w:tcPr>
          <w:p w14:paraId="57CBCF8E" w14:textId="77777777" w:rsidR="00B65F3A" w:rsidRPr="000974A4" w:rsidRDefault="00B65F3A" w:rsidP="00B65F3A">
            <w:pPr>
              <w:keepNext/>
              <w:keepLines/>
              <w:suppressAutoHyphens w:val="0"/>
              <w:kinsoku w:val="0"/>
              <w:overflowPunct w:val="0"/>
              <w:autoSpaceDE w:val="0"/>
              <w:autoSpaceDN w:val="0"/>
              <w:adjustRightInd w:val="0"/>
              <w:spacing w:before="80" w:after="80" w:line="200" w:lineRule="exact"/>
              <w:ind w:right="113"/>
              <w:rPr>
                <w:rFonts w:eastAsia="Calibri"/>
                <w:i/>
                <w:sz w:val="16"/>
                <w:szCs w:val="18"/>
                <w:lang w:val="de-DE"/>
              </w:rPr>
            </w:pPr>
            <w:r w:rsidRPr="000974A4">
              <w:rPr>
                <w:rFonts w:eastAsia="Calibri"/>
                <w:bCs/>
                <w:i/>
                <w:sz w:val="16"/>
                <w:szCs w:val="18"/>
                <w:lang w:val="de-DE"/>
              </w:rPr>
              <w:t>Freigestellte Mengen in kg:</w:t>
            </w:r>
          </w:p>
        </w:tc>
      </w:tr>
      <w:tr w:rsidR="00B65F3A" w:rsidRPr="000974A4" w14:paraId="5A4D0AFF" w14:textId="77777777" w:rsidTr="00B65F3A">
        <w:trPr>
          <w:trHeight w:hRule="exact" w:val="404"/>
        </w:trPr>
        <w:tc>
          <w:tcPr>
            <w:tcW w:w="591" w:type="dxa"/>
            <w:gridSpan w:val="2"/>
            <w:tcBorders>
              <w:top w:val="single" w:sz="12" w:space="0" w:color="auto"/>
              <w:bottom w:val="single" w:sz="4" w:space="0" w:color="auto"/>
            </w:tcBorders>
            <w:shd w:val="clear" w:color="auto" w:fill="auto"/>
          </w:tcPr>
          <w:p w14:paraId="5E64553A" w14:textId="77777777" w:rsidR="00B65F3A" w:rsidRPr="000974A4" w:rsidRDefault="00B65F3A" w:rsidP="00B65F3A">
            <w:pPr>
              <w:suppressAutoHyphens w:val="0"/>
              <w:kinsoku w:val="0"/>
              <w:overflowPunct w:val="0"/>
              <w:autoSpaceDE w:val="0"/>
              <w:autoSpaceDN w:val="0"/>
              <w:adjustRightInd w:val="0"/>
              <w:spacing w:before="40" w:after="120" w:line="220" w:lineRule="exact"/>
              <w:ind w:right="113"/>
              <w:rPr>
                <w:rFonts w:eastAsia="Calibri"/>
                <w:b/>
                <w:i/>
                <w:szCs w:val="18"/>
                <w:lang w:val="de-DE"/>
              </w:rPr>
            </w:pPr>
            <w:r w:rsidRPr="000974A4">
              <w:rPr>
                <w:rFonts w:eastAsia="Calibri"/>
                <w:b/>
                <w:i/>
                <w:szCs w:val="18"/>
                <w:lang w:val="de-DE"/>
              </w:rPr>
              <w:t>alle</w:t>
            </w:r>
          </w:p>
        </w:tc>
        <w:tc>
          <w:tcPr>
            <w:tcW w:w="4437" w:type="dxa"/>
            <w:tcBorders>
              <w:top w:val="single" w:sz="12" w:space="0" w:color="auto"/>
              <w:bottom w:val="single" w:sz="4" w:space="0" w:color="auto"/>
            </w:tcBorders>
            <w:shd w:val="clear" w:color="auto" w:fill="auto"/>
          </w:tcPr>
          <w:p w14:paraId="4A2675E0" w14:textId="77777777" w:rsidR="00B65F3A" w:rsidRPr="000974A4" w:rsidRDefault="00B65F3A" w:rsidP="00B65F3A">
            <w:pPr>
              <w:suppressAutoHyphens w:val="0"/>
              <w:kinsoku w:val="0"/>
              <w:overflowPunct w:val="0"/>
              <w:autoSpaceDE w:val="0"/>
              <w:autoSpaceDN w:val="0"/>
              <w:adjustRightInd w:val="0"/>
              <w:spacing w:before="40" w:after="120" w:line="220" w:lineRule="exact"/>
              <w:ind w:right="113"/>
              <w:rPr>
                <w:rFonts w:eastAsia="Calibri"/>
                <w:b/>
                <w:i/>
                <w:szCs w:val="18"/>
                <w:lang w:val="de-DE"/>
              </w:rPr>
            </w:pPr>
            <w:r w:rsidRPr="000974A4">
              <w:rPr>
                <w:rFonts w:eastAsia="Calibri"/>
                <w:b/>
                <w:i/>
                <w:szCs w:val="18"/>
                <w:lang w:val="de-DE"/>
              </w:rPr>
              <w:t>Beförderung in Tanks, alle Klassen</w:t>
            </w:r>
          </w:p>
        </w:tc>
        <w:tc>
          <w:tcPr>
            <w:tcW w:w="820" w:type="dxa"/>
            <w:tcBorders>
              <w:top w:val="single" w:sz="12" w:space="0" w:color="auto"/>
              <w:bottom w:val="single" w:sz="4" w:space="0" w:color="auto"/>
            </w:tcBorders>
            <w:shd w:val="clear" w:color="auto" w:fill="auto"/>
          </w:tcPr>
          <w:p w14:paraId="4084EA1E" w14:textId="77777777" w:rsidR="00B65F3A" w:rsidRPr="000974A4" w:rsidRDefault="00B65F3A" w:rsidP="00B65F3A">
            <w:pPr>
              <w:suppressAutoHyphens w:val="0"/>
              <w:kinsoku w:val="0"/>
              <w:overflowPunct w:val="0"/>
              <w:autoSpaceDE w:val="0"/>
              <w:autoSpaceDN w:val="0"/>
              <w:adjustRightInd w:val="0"/>
              <w:spacing w:before="40" w:after="120" w:line="220" w:lineRule="exact"/>
              <w:ind w:right="113"/>
              <w:rPr>
                <w:rFonts w:eastAsia="Calibri"/>
                <w:szCs w:val="18"/>
                <w:lang w:val="de-DE"/>
              </w:rPr>
            </w:pPr>
          </w:p>
        </w:tc>
        <w:tc>
          <w:tcPr>
            <w:tcW w:w="821" w:type="dxa"/>
            <w:tcBorders>
              <w:top w:val="single" w:sz="12" w:space="0" w:color="auto"/>
              <w:bottom w:val="single" w:sz="4" w:space="0" w:color="auto"/>
            </w:tcBorders>
            <w:shd w:val="clear" w:color="auto" w:fill="auto"/>
          </w:tcPr>
          <w:p w14:paraId="46164F46" w14:textId="77777777" w:rsidR="00B65F3A" w:rsidRPr="000974A4" w:rsidRDefault="00B65F3A" w:rsidP="00B65F3A">
            <w:pPr>
              <w:suppressAutoHyphens w:val="0"/>
              <w:kinsoku w:val="0"/>
              <w:overflowPunct w:val="0"/>
              <w:autoSpaceDE w:val="0"/>
              <w:autoSpaceDN w:val="0"/>
              <w:adjustRightInd w:val="0"/>
              <w:spacing w:before="40" w:after="120" w:line="220" w:lineRule="exact"/>
              <w:ind w:right="113"/>
              <w:rPr>
                <w:rFonts w:eastAsia="Calibri"/>
                <w:szCs w:val="18"/>
                <w:lang w:val="de-DE"/>
              </w:rPr>
            </w:pPr>
          </w:p>
        </w:tc>
        <w:tc>
          <w:tcPr>
            <w:tcW w:w="701" w:type="dxa"/>
            <w:tcBorders>
              <w:top w:val="single" w:sz="12" w:space="0" w:color="auto"/>
              <w:bottom w:val="single" w:sz="4" w:space="0" w:color="auto"/>
            </w:tcBorders>
            <w:shd w:val="clear" w:color="auto" w:fill="auto"/>
          </w:tcPr>
          <w:p w14:paraId="60EC0A1E" w14:textId="77777777" w:rsidR="00B65F3A" w:rsidRPr="000974A4" w:rsidRDefault="00B65F3A" w:rsidP="00B65F3A">
            <w:pPr>
              <w:suppressAutoHyphens w:val="0"/>
              <w:kinsoku w:val="0"/>
              <w:overflowPunct w:val="0"/>
              <w:autoSpaceDE w:val="0"/>
              <w:autoSpaceDN w:val="0"/>
              <w:adjustRightInd w:val="0"/>
              <w:spacing w:before="40" w:after="120" w:line="220" w:lineRule="exact"/>
              <w:ind w:right="113"/>
              <w:rPr>
                <w:rFonts w:eastAsia="Calibri"/>
                <w:b/>
                <w:szCs w:val="18"/>
                <w:lang w:val="de-DE"/>
              </w:rPr>
            </w:pPr>
            <w:r w:rsidRPr="000974A4">
              <w:rPr>
                <w:rFonts w:eastAsia="Calibri"/>
                <w:b/>
                <w:szCs w:val="18"/>
                <w:lang w:val="de-DE"/>
              </w:rPr>
              <w:t>0</w:t>
            </w:r>
          </w:p>
        </w:tc>
      </w:tr>
      <w:tr w:rsidR="00B65F3A" w:rsidRPr="000974A4" w14:paraId="3DD8F638" w14:textId="77777777" w:rsidTr="00B65F3A">
        <w:trPr>
          <w:trHeight w:val="57"/>
        </w:trPr>
        <w:tc>
          <w:tcPr>
            <w:tcW w:w="591" w:type="dxa"/>
            <w:gridSpan w:val="2"/>
            <w:tcBorders>
              <w:top w:val="single" w:sz="4" w:space="0" w:color="auto"/>
              <w:bottom w:val="single" w:sz="4" w:space="0" w:color="auto"/>
            </w:tcBorders>
            <w:shd w:val="clear" w:color="auto" w:fill="auto"/>
          </w:tcPr>
          <w:p w14:paraId="58ABBA44" w14:textId="77777777" w:rsidR="00B65F3A" w:rsidRPr="000974A4" w:rsidRDefault="00B65F3A" w:rsidP="00B65F3A">
            <w:pPr>
              <w:suppressAutoHyphens w:val="0"/>
              <w:kinsoku w:val="0"/>
              <w:overflowPunct w:val="0"/>
              <w:autoSpaceDE w:val="0"/>
              <w:autoSpaceDN w:val="0"/>
              <w:adjustRightInd w:val="0"/>
              <w:spacing w:before="40" w:after="120" w:line="220" w:lineRule="exact"/>
              <w:ind w:right="113"/>
              <w:rPr>
                <w:rFonts w:eastAsia="Calibri"/>
                <w:b/>
                <w:szCs w:val="18"/>
                <w:lang w:val="de-DE"/>
              </w:rPr>
            </w:pPr>
            <w:r w:rsidRPr="000974A4">
              <w:rPr>
                <w:rFonts w:eastAsia="Calibri"/>
                <w:b/>
                <w:szCs w:val="18"/>
                <w:lang w:val="de-DE"/>
              </w:rPr>
              <w:t>1</w:t>
            </w:r>
          </w:p>
        </w:tc>
        <w:tc>
          <w:tcPr>
            <w:tcW w:w="4437" w:type="dxa"/>
            <w:tcBorders>
              <w:top w:val="single" w:sz="4" w:space="0" w:color="auto"/>
              <w:bottom w:val="single" w:sz="4" w:space="0" w:color="auto"/>
            </w:tcBorders>
            <w:shd w:val="clear" w:color="auto" w:fill="auto"/>
          </w:tcPr>
          <w:p w14:paraId="4F15B68B" w14:textId="77777777" w:rsidR="00B65F3A" w:rsidRPr="000974A4" w:rsidRDefault="00B65F3A" w:rsidP="00B65F3A">
            <w:pPr>
              <w:suppressAutoHyphens w:val="0"/>
              <w:kinsoku w:val="0"/>
              <w:overflowPunct w:val="0"/>
              <w:autoSpaceDE w:val="0"/>
              <w:autoSpaceDN w:val="0"/>
              <w:adjustRightInd w:val="0"/>
              <w:spacing w:before="40" w:after="120" w:line="220" w:lineRule="exact"/>
              <w:ind w:right="113"/>
              <w:rPr>
                <w:rFonts w:eastAsia="Calibri"/>
                <w:szCs w:val="18"/>
                <w:lang w:val="de-DE"/>
              </w:rPr>
            </w:pPr>
            <w:r w:rsidRPr="000974A4">
              <w:rPr>
                <w:rFonts w:eastAsia="Calibri"/>
                <w:szCs w:val="18"/>
                <w:lang w:val="de-DE"/>
              </w:rPr>
              <w:t>Stoffe und Gegenstände der Klasse 1</w:t>
            </w:r>
          </w:p>
        </w:tc>
        <w:tc>
          <w:tcPr>
            <w:tcW w:w="820" w:type="dxa"/>
            <w:tcBorders>
              <w:top w:val="single" w:sz="4" w:space="0" w:color="auto"/>
              <w:bottom w:val="single" w:sz="4" w:space="0" w:color="auto"/>
            </w:tcBorders>
            <w:shd w:val="clear" w:color="auto" w:fill="auto"/>
          </w:tcPr>
          <w:p w14:paraId="0F08C54C" w14:textId="77777777" w:rsidR="00B65F3A" w:rsidRPr="000974A4" w:rsidRDefault="00B65F3A" w:rsidP="00B65F3A">
            <w:pPr>
              <w:suppressAutoHyphens w:val="0"/>
              <w:kinsoku w:val="0"/>
              <w:overflowPunct w:val="0"/>
              <w:autoSpaceDE w:val="0"/>
              <w:autoSpaceDN w:val="0"/>
              <w:adjustRightInd w:val="0"/>
              <w:spacing w:before="40" w:after="120" w:line="220" w:lineRule="exact"/>
              <w:ind w:right="113"/>
              <w:rPr>
                <w:rFonts w:eastAsia="Calibri"/>
                <w:szCs w:val="18"/>
                <w:lang w:val="de-DE"/>
              </w:rPr>
            </w:pPr>
          </w:p>
        </w:tc>
        <w:tc>
          <w:tcPr>
            <w:tcW w:w="821" w:type="dxa"/>
            <w:tcBorders>
              <w:top w:val="single" w:sz="4" w:space="0" w:color="auto"/>
              <w:bottom w:val="single" w:sz="4" w:space="0" w:color="auto"/>
            </w:tcBorders>
            <w:shd w:val="clear" w:color="auto" w:fill="auto"/>
          </w:tcPr>
          <w:p w14:paraId="5E859D12" w14:textId="77777777" w:rsidR="00B65F3A" w:rsidRPr="000974A4" w:rsidRDefault="00B65F3A" w:rsidP="00B65F3A">
            <w:pPr>
              <w:suppressAutoHyphens w:val="0"/>
              <w:kinsoku w:val="0"/>
              <w:overflowPunct w:val="0"/>
              <w:autoSpaceDE w:val="0"/>
              <w:autoSpaceDN w:val="0"/>
              <w:adjustRightInd w:val="0"/>
              <w:spacing w:before="40" w:after="120" w:line="220" w:lineRule="exact"/>
              <w:ind w:right="113"/>
              <w:rPr>
                <w:rFonts w:eastAsia="Calibri"/>
                <w:szCs w:val="18"/>
                <w:lang w:val="de-DE"/>
              </w:rPr>
            </w:pPr>
          </w:p>
        </w:tc>
        <w:tc>
          <w:tcPr>
            <w:tcW w:w="701" w:type="dxa"/>
            <w:tcBorders>
              <w:top w:val="single" w:sz="4" w:space="0" w:color="auto"/>
              <w:bottom w:val="single" w:sz="4" w:space="0" w:color="auto"/>
            </w:tcBorders>
            <w:shd w:val="clear" w:color="auto" w:fill="auto"/>
          </w:tcPr>
          <w:p w14:paraId="46E798AD" w14:textId="77777777" w:rsidR="00B65F3A" w:rsidRPr="000974A4" w:rsidRDefault="00B65F3A" w:rsidP="00B65F3A">
            <w:pPr>
              <w:suppressAutoHyphens w:val="0"/>
              <w:kinsoku w:val="0"/>
              <w:overflowPunct w:val="0"/>
              <w:autoSpaceDE w:val="0"/>
              <w:autoSpaceDN w:val="0"/>
              <w:adjustRightInd w:val="0"/>
              <w:spacing w:before="40" w:after="120" w:line="220" w:lineRule="exact"/>
              <w:ind w:right="113"/>
              <w:rPr>
                <w:rFonts w:eastAsia="Calibri"/>
                <w:szCs w:val="18"/>
                <w:lang w:val="de-DE"/>
              </w:rPr>
            </w:pPr>
            <w:r w:rsidRPr="000974A4">
              <w:rPr>
                <w:rFonts w:eastAsia="Calibri"/>
                <w:szCs w:val="18"/>
                <w:lang w:val="de-DE"/>
              </w:rPr>
              <w:t>0</w:t>
            </w:r>
          </w:p>
        </w:tc>
      </w:tr>
      <w:tr w:rsidR="00B65F3A" w:rsidRPr="000974A4" w14:paraId="049601F6" w14:textId="77777777" w:rsidTr="00B65F3A">
        <w:trPr>
          <w:trHeight w:val="57"/>
        </w:trPr>
        <w:tc>
          <w:tcPr>
            <w:tcW w:w="591" w:type="dxa"/>
            <w:gridSpan w:val="2"/>
            <w:vMerge w:val="restart"/>
            <w:tcBorders>
              <w:top w:val="single" w:sz="4" w:space="0" w:color="auto"/>
              <w:bottom w:val="single" w:sz="4" w:space="0" w:color="auto"/>
            </w:tcBorders>
            <w:shd w:val="clear" w:color="auto" w:fill="auto"/>
          </w:tcPr>
          <w:p w14:paraId="476AA639" w14:textId="77777777" w:rsidR="00B65F3A" w:rsidRPr="000974A4" w:rsidRDefault="00B65F3A" w:rsidP="00B65F3A">
            <w:pPr>
              <w:suppressAutoHyphens w:val="0"/>
              <w:kinsoku w:val="0"/>
              <w:overflowPunct w:val="0"/>
              <w:autoSpaceDE w:val="0"/>
              <w:autoSpaceDN w:val="0"/>
              <w:adjustRightInd w:val="0"/>
              <w:spacing w:before="40" w:after="120" w:line="220" w:lineRule="exact"/>
              <w:ind w:right="113"/>
              <w:rPr>
                <w:rFonts w:eastAsia="Calibri"/>
                <w:b/>
                <w:szCs w:val="18"/>
                <w:lang w:val="de-DE"/>
              </w:rPr>
            </w:pPr>
            <w:r w:rsidRPr="000974A4">
              <w:rPr>
                <w:rFonts w:eastAsia="Calibri"/>
                <w:b/>
                <w:szCs w:val="18"/>
                <w:lang w:val="de-DE"/>
              </w:rPr>
              <w:t>2</w:t>
            </w:r>
          </w:p>
        </w:tc>
        <w:tc>
          <w:tcPr>
            <w:tcW w:w="4437" w:type="dxa"/>
            <w:tcBorders>
              <w:top w:val="single" w:sz="4" w:space="0" w:color="auto"/>
              <w:bottom w:val="single" w:sz="4" w:space="0" w:color="auto"/>
            </w:tcBorders>
            <w:shd w:val="clear" w:color="auto" w:fill="auto"/>
          </w:tcPr>
          <w:p w14:paraId="6177B76A" w14:textId="77777777" w:rsidR="00B65F3A" w:rsidRPr="000974A4" w:rsidRDefault="00B65F3A" w:rsidP="00B65F3A">
            <w:pPr>
              <w:widowControl w:val="0"/>
              <w:numPr>
                <w:ilvl w:val="0"/>
                <w:numId w:val="20"/>
              </w:numPr>
              <w:tabs>
                <w:tab w:val="left" w:pos="403"/>
              </w:tabs>
              <w:suppressAutoHyphens w:val="0"/>
              <w:kinsoku w:val="0"/>
              <w:overflowPunct w:val="0"/>
              <w:autoSpaceDE w:val="0"/>
              <w:autoSpaceDN w:val="0"/>
              <w:adjustRightInd w:val="0"/>
              <w:spacing w:before="40" w:after="120" w:line="220" w:lineRule="exact"/>
              <w:ind w:left="0" w:right="113" w:firstLine="0"/>
              <w:contextualSpacing/>
              <w:jc w:val="both"/>
              <w:textAlignment w:val="baseline"/>
              <w:rPr>
                <w:rFonts w:eastAsia="Arial Unicode MS"/>
                <w:szCs w:val="18"/>
                <w:bdr w:val="nil"/>
                <w:lang w:val="de-DE" w:eastAsia="nl-NL"/>
              </w:rPr>
            </w:pPr>
            <w:r w:rsidRPr="000974A4">
              <w:rPr>
                <w:rFonts w:eastAsia="Arial Unicode MS"/>
                <w:szCs w:val="18"/>
                <w:bdr w:val="nil"/>
                <w:lang w:val="de-DE" w:eastAsia="nl-NL"/>
              </w:rPr>
              <w:t xml:space="preserve">Stoffe und Gegenstände der Klasse 2 Gruppe T, F, TF, TC, TO, TFC oder TOC gemäß Absatz </w:t>
            </w:r>
            <w:r w:rsidRPr="000974A4">
              <w:rPr>
                <w:rFonts w:eastAsia="Arial Unicode MS"/>
                <w:szCs w:val="18"/>
                <w:lang w:val="de-DE" w:eastAsia="nl-NL"/>
              </w:rPr>
              <w:t>2.2.2.1.3 und</w:t>
            </w:r>
            <w:r w:rsidRPr="000974A4">
              <w:rPr>
                <w:rFonts w:eastAsia="Arial Unicode MS"/>
                <w:szCs w:val="18"/>
                <w:bdr w:val="nil"/>
                <w:lang w:val="de-DE" w:eastAsia="nl-NL"/>
              </w:rPr>
              <w:t xml:space="preserve"> </w:t>
            </w:r>
          </w:p>
          <w:p w14:paraId="48C44E20" w14:textId="77777777" w:rsidR="00B65F3A" w:rsidRPr="000974A4" w:rsidRDefault="00B65F3A" w:rsidP="00B65F3A">
            <w:pPr>
              <w:widowControl w:val="0"/>
              <w:numPr>
                <w:ilvl w:val="0"/>
                <w:numId w:val="20"/>
              </w:numPr>
              <w:tabs>
                <w:tab w:val="left" w:pos="403"/>
              </w:tabs>
              <w:suppressAutoHyphens w:val="0"/>
              <w:kinsoku w:val="0"/>
              <w:overflowPunct w:val="0"/>
              <w:autoSpaceDE w:val="0"/>
              <w:autoSpaceDN w:val="0"/>
              <w:adjustRightInd w:val="0"/>
              <w:spacing w:before="40" w:after="120" w:line="220" w:lineRule="exact"/>
              <w:ind w:left="0" w:right="113" w:firstLine="0"/>
              <w:contextualSpacing/>
              <w:jc w:val="both"/>
              <w:textAlignment w:val="baseline"/>
              <w:rPr>
                <w:rFonts w:eastAsia="Arial Unicode MS"/>
                <w:szCs w:val="18"/>
                <w:bdr w:val="nil"/>
                <w:lang w:val="de-DE" w:eastAsia="nl-NL"/>
              </w:rPr>
            </w:pPr>
            <w:r w:rsidRPr="000974A4">
              <w:rPr>
                <w:rFonts w:eastAsia="Arial Unicode MS"/>
                <w:szCs w:val="18"/>
                <w:bdr w:val="nil"/>
                <w:lang w:val="de-DE" w:eastAsia="nl-NL"/>
              </w:rPr>
              <w:t xml:space="preserve">Druckgaspackungen der Gruppen C, CO, F, FC, T, TF, TC, TO, TFC und TOC gemäß Absatz </w:t>
            </w:r>
            <w:r w:rsidRPr="000974A4">
              <w:rPr>
                <w:rFonts w:eastAsia="Arial Unicode MS"/>
                <w:szCs w:val="18"/>
                <w:lang w:val="de-DE" w:eastAsia="nl-NL"/>
              </w:rPr>
              <w:t>2.2.2.1.6;</w:t>
            </w:r>
          </w:p>
        </w:tc>
        <w:tc>
          <w:tcPr>
            <w:tcW w:w="820" w:type="dxa"/>
            <w:tcBorders>
              <w:top w:val="single" w:sz="4" w:space="0" w:color="auto"/>
              <w:bottom w:val="single" w:sz="4" w:space="0" w:color="auto"/>
            </w:tcBorders>
            <w:shd w:val="clear" w:color="auto" w:fill="auto"/>
          </w:tcPr>
          <w:p w14:paraId="2DF5FBB1" w14:textId="77777777" w:rsidR="00B65F3A" w:rsidRPr="000974A4" w:rsidRDefault="00B65F3A" w:rsidP="00B65F3A">
            <w:pPr>
              <w:suppressAutoHyphens w:val="0"/>
              <w:kinsoku w:val="0"/>
              <w:overflowPunct w:val="0"/>
              <w:autoSpaceDE w:val="0"/>
              <w:autoSpaceDN w:val="0"/>
              <w:adjustRightInd w:val="0"/>
              <w:spacing w:before="40" w:after="120" w:line="220" w:lineRule="exact"/>
              <w:ind w:right="113"/>
              <w:rPr>
                <w:rFonts w:eastAsia="Calibri"/>
                <w:szCs w:val="18"/>
                <w:lang w:val="de-DE"/>
              </w:rPr>
            </w:pPr>
          </w:p>
        </w:tc>
        <w:tc>
          <w:tcPr>
            <w:tcW w:w="821" w:type="dxa"/>
            <w:tcBorders>
              <w:top w:val="single" w:sz="4" w:space="0" w:color="auto"/>
              <w:bottom w:val="single" w:sz="4" w:space="0" w:color="auto"/>
            </w:tcBorders>
            <w:shd w:val="clear" w:color="auto" w:fill="auto"/>
          </w:tcPr>
          <w:p w14:paraId="50C57583" w14:textId="77777777" w:rsidR="00B65F3A" w:rsidRPr="000974A4" w:rsidRDefault="00B65F3A" w:rsidP="00B65F3A">
            <w:pPr>
              <w:suppressAutoHyphens w:val="0"/>
              <w:kinsoku w:val="0"/>
              <w:overflowPunct w:val="0"/>
              <w:autoSpaceDE w:val="0"/>
              <w:autoSpaceDN w:val="0"/>
              <w:adjustRightInd w:val="0"/>
              <w:spacing w:before="40" w:after="120" w:line="220" w:lineRule="exact"/>
              <w:ind w:right="113"/>
              <w:rPr>
                <w:rFonts w:eastAsia="Calibri"/>
                <w:szCs w:val="18"/>
                <w:lang w:val="de-DE"/>
              </w:rPr>
            </w:pPr>
          </w:p>
        </w:tc>
        <w:tc>
          <w:tcPr>
            <w:tcW w:w="701" w:type="dxa"/>
            <w:tcBorders>
              <w:top w:val="single" w:sz="4" w:space="0" w:color="auto"/>
              <w:bottom w:val="single" w:sz="4" w:space="0" w:color="auto"/>
            </w:tcBorders>
            <w:shd w:val="clear" w:color="auto" w:fill="auto"/>
          </w:tcPr>
          <w:p w14:paraId="423A15FB" w14:textId="77777777" w:rsidR="00B65F3A" w:rsidRPr="000974A4" w:rsidRDefault="00B65F3A" w:rsidP="00B65F3A">
            <w:pPr>
              <w:suppressAutoHyphens w:val="0"/>
              <w:kinsoku w:val="0"/>
              <w:overflowPunct w:val="0"/>
              <w:autoSpaceDE w:val="0"/>
              <w:autoSpaceDN w:val="0"/>
              <w:adjustRightInd w:val="0"/>
              <w:spacing w:before="40" w:after="120" w:line="220" w:lineRule="exact"/>
              <w:ind w:right="113"/>
              <w:rPr>
                <w:rFonts w:eastAsia="Calibri"/>
                <w:szCs w:val="18"/>
                <w:lang w:val="de-DE"/>
              </w:rPr>
            </w:pPr>
          </w:p>
          <w:p w14:paraId="496A0D88" w14:textId="77777777" w:rsidR="00B65F3A" w:rsidRPr="000974A4" w:rsidRDefault="00B65F3A" w:rsidP="00B65F3A">
            <w:pPr>
              <w:suppressAutoHyphens w:val="0"/>
              <w:kinsoku w:val="0"/>
              <w:overflowPunct w:val="0"/>
              <w:autoSpaceDE w:val="0"/>
              <w:autoSpaceDN w:val="0"/>
              <w:adjustRightInd w:val="0"/>
              <w:spacing w:before="40" w:after="120" w:line="220" w:lineRule="exact"/>
              <w:ind w:right="113"/>
              <w:rPr>
                <w:rFonts w:eastAsia="Calibri"/>
                <w:szCs w:val="18"/>
                <w:lang w:val="de-DE"/>
              </w:rPr>
            </w:pPr>
            <w:r w:rsidRPr="000974A4">
              <w:rPr>
                <w:rFonts w:eastAsia="Calibri"/>
                <w:szCs w:val="18"/>
                <w:lang w:val="de-DE"/>
              </w:rPr>
              <w:t>0</w:t>
            </w:r>
          </w:p>
        </w:tc>
      </w:tr>
      <w:tr w:rsidR="00B65F3A" w:rsidRPr="000974A4" w14:paraId="54896B88" w14:textId="77777777" w:rsidTr="00B65F3A">
        <w:trPr>
          <w:trHeight w:val="57"/>
        </w:trPr>
        <w:tc>
          <w:tcPr>
            <w:tcW w:w="591" w:type="dxa"/>
            <w:gridSpan w:val="2"/>
            <w:vMerge/>
            <w:tcBorders>
              <w:top w:val="single" w:sz="4" w:space="0" w:color="auto"/>
              <w:bottom w:val="single" w:sz="4" w:space="0" w:color="auto"/>
            </w:tcBorders>
            <w:shd w:val="clear" w:color="auto" w:fill="auto"/>
          </w:tcPr>
          <w:p w14:paraId="09D5EEE5" w14:textId="77777777" w:rsidR="00B65F3A" w:rsidRPr="000974A4" w:rsidRDefault="00B65F3A" w:rsidP="00B65F3A">
            <w:pPr>
              <w:suppressAutoHyphens w:val="0"/>
              <w:kinsoku w:val="0"/>
              <w:overflowPunct w:val="0"/>
              <w:autoSpaceDE w:val="0"/>
              <w:autoSpaceDN w:val="0"/>
              <w:adjustRightInd w:val="0"/>
              <w:spacing w:before="40" w:after="120" w:line="220" w:lineRule="exact"/>
              <w:ind w:right="113"/>
              <w:rPr>
                <w:rFonts w:eastAsia="Calibri"/>
                <w:b/>
                <w:szCs w:val="18"/>
                <w:lang w:val="de-DE"/>
              </w:rPr>
            </w:pPr>
          </w:p>
        </w:tc>
        <w:tc>
          <w:tcPr>
            <w:tcW w:w="4437" w:type="dxa"/>
            <w:tcBorders>
              <w:top w:val="single" w:sz="4" w:space="0" w:color="auto"/>
              <w:bottom w:val="single" w:sz="4" w:space="0" w:color="auto"/>
            </w:tcBorders>
            <w:shd w:val="clear" w:color="auto" w:fill="auto"/>
          </w:tcPr>
          <w:p w14:paraId="6F3A8754" w14:textId="77777777" w:rsidR="00B65F3A" w:rsidRPr="000974A4" w:rsidRDefault="00B65F3A" w:rsidP="00B65F3A">
            <w:pPr>
              <w:widowControl w:val="0"/>
              <w:numPr>
                <w:ilvl w:val="0"/>
                <w:numId w:val="19"/>
              </w:numPr>
              <w:tabs>
                <w:tab w:val="left" w:pos="403"/>
              </w:tabs>
              <w:suppressAutoHyphens w:val="0"/>
              <w:kinsoku w:val="0"/>
              <w:overflowPunct w:val="0"/>
              <w:autoSpaceDE w:val="0"/>
              <w:autoSpaceDN w:val="0"/>
              <w:adjustRightInd w:val="0"/>
              <w:spacing w:before="40" w:after="120" w:line="220" w:lineRule="exact"/>
              <w:ind w:left="0" w:right="113" w:firstLine="0"/>
              <w:contextualSpacing/>
              <w:jc w:val="both"/>
              <w:textAlignment w:val="baseline"/>
              <w:rPr>
                <w:rFonts w:eastAsia="Arial Unicode MS"/>
                <w:bCs/>
                <w:szCs w:val="18"/>
                <w:u w:color="000000"/>
                <w:bdr w:val="nil"/>
                <w:lang w:val="de-DE" w:eastAsia="nl-NL"/>
              </w:rPr>
            </w:pPr>
            <w:r w:rsidRPr="000974A4">
              <w:rPr>
                <w:rFonts w:eastAsia="Arial Unicode MS"/>
                <w:bCs/>
                <w:szCs w:val="18"/>
                <w:u w:color="000000"/>
                <w:bdr w:val="nil"/>
                <w:lang w:val="de-DE" w:eastAsia="nl-NL"/>
              </w:rPr>
              <w:t xml:space="preserve">Stoffe </w:t>
            </w:r>
            <w:r w:rsidRPr="000974A4">
              <w:rPr>
                <w:rFonts w:eastAsia="Arial Unicode MS"/>
                <w:szCs w:val="18"/>
                <w:bdr w:val="nil"/>
                <w:lang w:val="de-DE" w:eastAsia="nl-NL"/>
              </w:rPr>
              <w:t xml:space="preserve">und Gegenstände </w:t>
            </w:r>
            <w:r w:rsidRPr="000974A4">
              <w:rPr>
                <w:rFonts w:eastAsia="Arial Unicode MS"/>
                <w:bCs/>
                <w:szCs w:val="18"/>
                <w:u w:color="000000"/>
                <w:bdr w:val="nil"/>
                <w:lang w:val="de-DE" w:eastAsia="nl-NL"/>
              </w:rPr>
              <w:t>der Klasse 2 Gruppe F gemäß Absatz 2.2.2.1.3 oder</w:t>
            </w:r>
          </w:p>
          <w:p w14:paraId="33668DF0" w14:textId="77777777" w:rsidR="00B65F3A" w:rsidRPr="000974A4" w:rsidRDefault="00B65F3A" w:rsidP="00B65F3A">
            <w:pPr>
              <w:widowControl w:val="0"/>
              <w:numPr>
                <w:ilvl w:val="0"/>
                <w:numId w:val="19"/>
              </w:numPr>
              <w:tabs>
                <w:tab w:val="left" w:pos="403"/>
              </w:tabs>
              <w:suppressAutoHyphens w:val="0"/>
              <w:kinsoku w:val="0"/>
              <w:overflowPunct w:val="0"/>
              <w:autoSpaceDE w:val="0"/>
              <w:autoSpaceDN w:val="0"/>
              <w:adjustRightInd w:val="0"/>
              <w:spacing w:before="40" w:after="120" w:line="220" w:lineRule="exact"/>
              <w:ind w:left="0" w:right="113" w:firstLine="0"/>
              <w:contextualSpacing/>
              <w:jc w:val="both"/>
              <w:textAlignment w:val="baseline"/>
              <w:rPr>
                <w:rFonts w:eastAsia="Arial Unicode MS"/>
                <w:szCs w:val="18"/>
                <w:bdr w:val="nil"/>
                <w:lang w:val="de-DE" w:eastAsia="nl-NL"/>
              </w:rPr>
            </w:pPr>
            <w:r w:rsidRPr="000974A4">
              <w:rPr>
                <w:rFonts w:eastAsia="Arial Unicode MS"/>
                <w:bCs/>
                <w:szCs w:val="18"/>
                <w:u w:color="000000"/>
                <w:bdr w:val="nil"/>
                <w:lang w:val="de-DE" w:eastAsia="nl-NL"/>
              </w:rPr>
              <w:t>Druckgaspackungen der Gruppe F gemäß Absatz 2.2.2.1.6;</w:t>
            </w:r>
          </w:p>
        </w:tc>
        <w:tc>
          <w:tcPr>
            <w:tcW w:w="820" w:type="dxa"/>
            <w:tcBorders>
              <w:top w:val="single" w:sz="4" w:space="0" w:color="auto"/>
              <w:bottom w:val="single" w:sz="4" w:space="0" w:color="auto"/>
            </w:tcBorders>
            <w:shd w:val="clear" w:color="auto" w:fill="auto"/>
          </w:tcPr>
          <w:p w14:paraId="006003BD" w14:textId="77777777" w:rsidR="00B65F3A" w:rsidRPr="000974A4" w:rsidRDefault="00B65F3A" w:rsidP="00B65F3A">
            <w:pPr>
              <w:suppressAutoHyphens w:val="0"/>
              <w:kinsoku w:val="0"/>
              <w:overflowPunct w:val="0"/>
              <w:autoSpaceDE w:val="0"/>
              <w:autoSpaceDN w:val="0"/>
              <w:adjustRightInd w:val="0"/>
              <w:spacing w:before="40" w:after="120" w:line="220" w:lineRule="exact"/>
              <w:ind w:right="113"/>
              <w:rPr>
                <w:rFonts w:eastAsia="Calibri"/>
                <w:szCs w:val="18"/>
                <w:lang w:val="de-DE"/>
              </w:rPr>
            </w:pPr>
          </w:p>
        </w:tc>
        <w:tc>
          <w:tcPr>
            <w:tcW w:w="821" w:type="dxa"/>
            <w:tcBorders>
              <w:top w:val="single" w:sz="4" w:space="0" w:color="auto"/>
              <w:bottom w:val="single" w:sz="4" w:space="0" w:color="auto"/>
            </w:tcBorders>
            <w:shd w:val="clear" w:color="auto" w:fill="auto"/>
          </w:tcPr>
          <w:p w14:paraId="7E7C0B13" w14:textId="77777777" w:rsidR="00B65F3A" w:rsidRPr="000974A4" w:rsidRDefault="00B65F3A" w:rsidP="00B65F3A">
            <w:pPr>
              <w:suppressAutoHyphens w:val="0"/>
              <w:kinsoku w:val="0"/>
              <w:overflowPunct w:val="0"/>
              <w:autoSpaceDE w:val="0"/>
              <w:autoSpaceDN w:val="0"/>
              <w:adjustRightInd w:val="0"/>
              <w:spacing w:before="40" w:after="120" w:line="220" w:lineRule="exact"/>
              <w:ind w:right="113"/>
              <w:rPr>
                <w:rFonts w:eastAsia="Calibri"/>
                <w:szCs w:val="18"/>
                <w:lang w:val="de-DE"/>
              </w:rPr>
            </w:pPr>
          </w:p>
          <w:p w14:paraId="77C1D88D" w14:textId="77777777" w:rsidR="00B65F3A" w:rsidRPr="000974A4" w:rsidRDefault="00B65F3A" w:rsidP="00B65F3A">
            <w:pPr>
              <w:suppressAutoHyphens w:val="0"/>
              <w:kinsoku w:val="0"/>
              <w:overflowPunct w:val="0"/>
              <w:autoSpaceDE w:val="0"/>
              <w:autoSpaceDN w:val="0"/>
              <w:adjustRightInd w:val="0"/>
              <w:spacing w:before="40" w:after="120" w:line="220" w:lineRule="exact"/>
              <w:ind w:right="113"/>
              <w:rPr>
                <w:rFonts w:eastAsia="Calibri"/>
                <w:szCs w:val="18"/>
                <w:lang w:val="de-DE"/>
              </w:rPr>
            </w:pPr>
            <w:r w:rsidRPr="000974A4">
              <w:rPr>
                <w:rFonts w:eastAsia="Calibri"/>
                <w:szCs w:val="18"/>
                <w:lang w:val="de-DE"/>
              </w:rPr>
              <w:t>300</w:t>
            </w:r>
          </w:p>
        </w:tc>
        <w:tc>
          <w:tcPr>
            <w:tcW w:w="701" w:type="dxa"/>
            <w:tcBorders>
              <w:top w:val="single" w:sz="4" w:space="0" w:color="auto"/>
              <w:bottom w:val="single" w:sz="4" w:space="0" w:color="auto"/>
            </w:tcBorders>
            <w:shd w:val="clear" w:color="auto" w:fill="auto"/>
          </w:tcPr>
          <w:p w14:paraId="629DA32A" w14:textId="77777777" w:rsidR="00B65F3A" w:rsidRPr="000974A4" w:rsidRDefault="00B65F3A" w:rsidP="00B65F3A">
            <w:pPr>
              <w:suppressAutoHyphens w:val="0"/>
              <w:kinsoku w:val="0"/>
              <w:overflowPunct w:val="0"/>
              <w:autoSpaceDE w:val="0"/>
              <w:autoSpaceDN w:val="0"/>
              <w:adjustRightInd w:val="0"/>
              <w:spacing w:before="40" w:after="120" w:line="220" w:lineRule="exact"/>
              <w:ind w:right="113"/>
              <w:rPr>
                <w:rFonts w:eastAsia="Calibri"/>
                <w:szCs w:val="18"/>
                <w:lang w:val="de-DE"/>
              </w:rPr>
            </w:pPr>
          </w:p>
        </w:tc>
      </w:tr>
      <w:tr w:rsidR="00B65F3A" w:rsidRPr="000974A4" w14:paraId="57C0F681" w14:textId="77777777" w:rsidTr="00B65F3A">
        <w:trPr>
          <w:trHeight w:val="57"/>
        </w:trPr>
        <w:tc>
          <w:tcPr>
            <w:tcW w:w="591" w:type="dxa"/>
            <w:gridSpan w:val="2"/>
            <w:vMerge/>
            <w:tcBorders>
              <w:top w:val="single" w:sz="4" w:space="0" w:color="auto"/>
              <w:bottom w:val="single" w:sz="4" w:space="0" w:color="auto"/>
            </w:tcBorders>
            <w:shd w:val="clear" w:color="auto" w:fill="auto"/>
          </w:tcPr>
          <w:p w14:paraId="36EF221D" w14:textId="77777777" w:rsidR="00B65F3A" w:rsidRPr="000974A4" w:rsidRDefault="00B65F3A" w:rsidP="00B65F3A">
            <w:pPr>
              <w:suppressAutoHyphens w:val="0"/>
              <w:kinsoku w:val="0"/>
              <w:overflowPunct w:val="0"/>
              <w:autoSpaceDE w:val="0"/>
              <w:autoSpaceDN w:val="0"/>
              <w:adjustRightInd w:val="0"/>
              <w:spacing w:before="40" w:after="120" w:line="220" w:lineRule="exact"/>
              <w:ind w:right="113"/>
              <w:rPr>
                <w:rFonts w:eastAsia="Calibri"/>
                <w:b/>
                <w:szCs w:val="18"/>
                <w:lang w:val="de-DE"/>
              </w:rPr>
            </w:pPr>
          </w:p>
        </w:tc>
        <w:tc>
          <w:tcPr>
            <w:tcW w:w="4437" w:type="dxa"/>
            <w:tcBorders>
              <w:top w:val="single" w:sz="4" w:space="0" w:color="auto"/>
              <w:bottom w:val="single" w:sz="4" w:space="0" w:color="auto"/>
            </w:tcBorders>
            <w:shd w:val="clear" w:color="auto" w:fill="auto"/>
          </w:tcPr>
          <w:p w14:paraId="0EFC86FC" w14:textId="77777777" w:rsidR="00B65F3A" w:rsidRPr="000974A4" w:rsidRDefault="00B65F3A" w:rsidP="00B65F3A">
            <w:pPr>
              <w:suppressAutoHyphens w:val="0"/>
              <w:kinsoku w:val="0"/>
              <w:overflowPunct w:val="0"/>
              <w:autoSpaceDE w:val="0"/>
              <w:autoSpaceDN w:val="0"/>
              <w:adjustRightInd w:val="0"/>
              <w:spacing w:before="40" w:after="120" w:line="220" w:lineRule="exact"/>
              <w:ind w:right="113"/>
              <w:rPr>
                <w:rFonts w:eastAsia="Calibri"/>
                <w:bCs/>
                <w:szCs w:val="18"/>
                <w:u w:color="000000"/>
                <w:lang w:val="de-DE"/>
              </w:rPr>
            </w:pPr>
            <w:r w:rsidRPr="000974A4">
              <w:rPr>
                <w:rFonts w:eastAsia="Calibri"/>
                <w:bCs/>
                <w:szCs w:val="18"/>
                <w:u w:color="000000"/>
                <w:lang w:val="de-DE"/>
              </w:rPr>
              <w:t>sonstige Stoffe der Klasse 2</w:t>
            </w:r>
          </w:p>
        </w:tc>
        <w:tc>
          <w:tcPr>
            <w:tcW w:w="820" w:type="dxa"/>
            <w:tcBorders>
              <w:top w:val="single" w:sz="4" w:space="0" w:color="auto"/>
              <w:bottom w:val="single" w:sz="4" w:space="0" w:color="auto"/>
            </w:tcBorders>
            <w:shd w:val="clear" w:color="auto" w:fill="auto"/>
          </w:tcPr>
          <w:p w14:paraId="08D319DD" w14:textId="77777777" w:rsidR="00B65F3A" w:rsidRPr="000974A4" w:rsidRDefault="00B65F3A" w:rsidP="00B65F3A">
            <w:pPr>
              <w:suppressAutoHyphens w:val="0"/>
              <w:kinsoku w:val="0"/>
              <w:overflowPunct w:val="0"/>
              <w:autoSpaceDE w:val="0"/>
              <w:autoSpaceDN w:val="0"/>
              <w:adjustRightInd w:val="0"/>
              <w:spacing w:before="40" w:after="120" w:line="220" w:lineRule="exact"/>
              <w:ind w:right="113"/>
              <w:rPr>
                <w:rFonts w:eastAsia="Calibri"/>
                <w:szCs w:val="18"/>
                <w:lang w:val="de-DE"/>
              </w:rPr>
            </w:pPr>
            <w:r w:rsidRPr="000974A4">
              <w:rPr>
                <w:rFonts w:eastAsia="Calibri"/>
                <w:szCs w:val="18"/>
                <w:lang w:val="de-DE"/>
              </w:rPr>
              <w:t>3000</w:t>
            </w:r>
          </w:p>
        </w:tc>
        <w:tc>
          <w:tcPr>
            <w:tcW w:w="821" w:type="dxa"/>
            <w:tcBorders>
              <w:top w:val="single" w:sz="4" w:space="0" w:color="auto"/>
              <w:bottom w:val="single" w:sz="4" w:space="0" w:color="auto"/>
            </w:tcBorders>
            <w:shd w:val="clear" w:color="auto" w:fill="auto"/>
          </w:tcPr>
          <w:p w14:paraId="2593DC1F" w14:textId="77777777" w:rsidR="00B65F3A" w:rsidRPr="000974A4" w:rsidRDefault="00B65F3A" w:rsidP="00B65F3A">
            <w:pPr>
              <w:suppressAutoHyphens w:val="0"/>
              <w:kinsoku w:val="0"/>
              <w:overflowPunct w:val="0"/>
              <w:autoSpaceDE w:val="0"/>
              <w:autoSpaceDN w:val="0"/>
              <w:adjustRightInd w:val="0"/>
              <w:spacing w:before="40" w:after="120" w:line="220" w:lineRule="exact"/>
              <w:ind w:right="113"/>
              <w:rPr>
                <w:rFonts w:eastAsia="Calibri"/>
                <w:szCs w:val="18"/>
                <w:lang w:val="de-DE"/>
              </w:rPr>
            </w:pPr>
          </w:p>
        </w:tc>
        <w:tc>
          <w:tcPr>
            <w:tcW w:w="701" w:type="dxa"/>
            <w:tcBorders>
              <w:top w:val="single" w:sz="4" w:space="0" w:color="auto"/>
              <w:bottom w:val="single" w:sz="4" w:space="0" w:color="auto"/>
            </w:tcBorders>
            <w:shd w:val="clear" w:color="auto" w:fill="auto"/>
          </w:tcPr>
          <w:p w14:paraId="34706AE1" w14:textId="77777777" w:rsidR="00B65F3A" w:rsidRPr="000974A4" w:rsidRDefault="00B65F3A" w:rsidP="00B65F3A">
            <w:pPr>
              <w:suppressAutoHyphens w:val="0"/>
              <w:kinsoku w:val="0"/>
              <w:overflowPunct w:val="0"/>
              <w:autoSpaceDE w:val="0"/>
              <w:autoSpaceDN w:val="0"/>
              <w:adjustRightInd w:val="0"/>
              <w:spacing w:before="40" w:after="120" w:line="220" w:lineRule="exact"/>
              <w:ind w:right="113"/>
              <w:rPr>
                <w:rFonts w:eastAsia="Calibri"/>
                <w:szCs w:val="18"/>
                <w:lang w:val="de-DE"/>
              </w:rPr>
            </w:pPr>
          </w:p>
        </w:tc>
      </w:tr>
      <w:tr w:rsidR="00B65F3A" w:rsidRPr="000974A4" w14:paraId="2E09D5A4" w14:textId="77777777" w:rsidTr="00B65F3A">
        <w:trPr>
          <w:trHeight w:val="57"/>
        </w:trPr>
        <w:tc>
          <w:tcPr>
            <w:tcW w:w="591" w:type="dxa"/>
            <w:gridSpan w:val="2"/>
            <w:vMerge w:val="restart"/>
            <w:tcBorders>
              <w:top w:val="single" w:sz="4" w:space="0" w:color="auto"/>
              <w:bottom w:val="single" w:sz="4" w:space="0" w:color="auto"/>
            </w:tcBorders>
            <w:shd w:val="clear" w:color="auto" w:fill="auto"/>
          </w:tcPr>
          <w:p w14:paraId="20BD989E" w14:textId="77777777" w:rsidR="00B65F3A" w:rsidRPr="000974A4" w:rsidRDefault="00B65F3A" w:rsidP="00B65F3A">
            <w:pPr>
              <w:suppressAutoHyphens w:val="0"/>
              <w:kinsoku w:val="0"/>
              <w:overflowPunct w:val="0"/>
              <w:autoSpaceDE w:val="0"/>
              <w:autoSpaceDN w:val="0"/>
              <w:adjustRightInd w:val="0"/>
              <w:spacing w:before="40" w:after="120" w:line="220" w:lineRule="exact"/>
              <w:ind w:right="113"/>
              <w:rPr>
                <w:rFonts w:eastAsia="Calibri"/>
                <w:b/>
                <w:szCs w:val="18"/>
                <w:lang w:val="de-DE"/>
              </w:rPr>
            </w:pPr>
            <w:r w:rsidRPr="000974A4">
              <w:rPr>
                <w:rFonts w:eastAsia="Calibri"/>
                <w:b/>
                <w:szCs w:val="18"/>
                <w:lang w:val="de-DE"/>
              </w:rPr>
              <w:t>3</w:t>
            </w:r>
          </w:p>
        </w:tc>
        <w:tc>
          <w:tcPr>
            <w:tcW w:w="4437" w:type="dxa"/>
            <w:tcBorders>
              <w:top w:val="single" w:sz="4" w:space="0" w:color="auto"/>
              <w:bottom w:val="single" w:sz="4" w:space="0" w:color="auto"/>
            </w:tcBorders>
            <w:shd w:val="clear" w:color="auto" w:fill="auto"/>
          </w:tcPr>
          <w:p w14:paraId="2494B280" w14:textId="77777777" w:rsidR="00B65F3A" w:rsidRPr="000974A4" w:rsidRDefault="00B65F3A" w:rsidP="00B65F3A">
            <w:pPr>
              <w:suppressAutoHyphens w:val="0"/>
              <w:kinsoku w:val="0"/>
              <w:overflowPunct w:val="0"/>
              <w:autoSpaceDE w:val="0"/>
              <w:autoSpaceDN w:val="0"/>
              <w:adjustRightInd w:val="0"/>
              <w:spacing w:before="40" w:after="120" w:line="220" w:lineRule="exact"/>
              <w:ind w:right="113"/>
              <w:rPr>
                <w:rFonts w:eastAsia="Calibri"/>
                <w:szCs w:val="18"/>
                <w:lang w:val="de-DE"/>
              </w:rPr>
            </w:pPr>
            <w:r w:rsidRPr="000974A4">
              <w:rPr>
                <w:rFonts w:eastAsia="Calibri"/>
                <w:szCs w:val="18"/>
                <w:lang w:val="de-DE"/>
              </w:rPr>
              <w:t>Stoffe und Gegenstände der Klasse 3 Verpackungsgruppe I</w:t>
            </w:r>
          </w:p>
        </w:tc>
        <w:tc>
          <w:tcPr>
            <w:tcW w:w="820" w:type="dxa"/>
            <w:tcBorders>
              <w:top w:val="single" w:sz="4" w:space="0" w:color="auto"/>
              <w:bottom w:val="single" w:sz="4" w:space="0" w:color="auto"/>
            </w:tcBorders>
            <w:shd w:val="clear" w:color="auto" w:fill="auto"/>
          </w:tcPr>
          <w:p w14:paraId="7790AED0" w14:textId="77777777" w:rsidR="00B65F3A" w:rsidRPr="000974A4" w:rsidRDefault="00B65F3A" w:rsidP="00B65F3A">
            <w:pPr>
              <w:suppressAutoHyphens w:val="0"/>
              <w:kinsoku w:val="0"/>
              <w:overflowPunct w:val="0"/>
              <w:autoSpaceDE w:val="0"/>
              <w:autoSpaceDN w:val="0"/>
              <w:adjustRightInd w:val="0"/>
              <w:spacing w:before="40" w:after="120" w:line="220" w:lineRule="exact"/>
              <w:ind w:right="113"/>
              <w:rPr>
                <w:rFonts w:eastAsia="Calibri"/>
                <w:szCs w:val="18"/>
                <w:lang w:val="de-DE"/>
              </w:rPr>
            </w:pPr>
          </w:p>
        </w:tc>
        <w:tc>
          <w:tcPr>
            <w:tcW w:w="821" w:type="dxa"/>
            <w:tcBorders>
              <w:top w:val="single" w:sz="4" w:space="0" w:color="auto"/>
              <w:bottom w:val="single" w:sz="4" w:space="0" w:color="auto"/>
            </w:tcBorders>
            <w:shd w:val="clear" w:color="auto" w:fill="auto"/>
          </w:tcPr>
          <w:p w14:paraId="048F6B5C" w14:textId="77777777" w:rsidR="00B65F3A" w:rsidRPr="000974A4" w:rsidRDefault="00B65F3A" w:rsidP="00B65F3A">
            <w:pPr>
              <w:suppressAutoHyphens w:val="0"/>
              <w:kinsoku w:val="0"/>
              <w:overflowPunct w:val="0"/>
              <w:autoSpaceDE w:val="0"/>
              <w:autoSpaceDN w:val="0"/>
              <w:adjustRightInd w:val="0"/>
              <w:spacing w:before="40" w:after="120" w:line="220" w:lineRule="exact"/>
              <w:ind w:right="113"/>
              <w:rPr>
                <w:rFonts w:eastAsia="Calibri"/>
                <w:szCs w:val="18"/>
                <w:lang w:val="de-DE"/>
              </w:rPr>
            </w:pPr>
            <w:r w:rsidRPr="000974A4">
              <w:rPr>
                <w:rFonts w:eastAsia="Calibri"/>
                <w:szCs w:val="18"/>
                <w:lang w:val="de-DE"/>
              </w:rPr>
              <w:t>300</w:t>
            </w:r>
          </w:p>
        </w:tc>
        <w:tc>
          <w:tcPr>
            <w:tcW w:w="701" w:type="dxa"/>
            <w:tcBorders>
              <w:top w:val="single" w:sz="4" w:space="0" w:color="auto"/>
              <w:bottom w:val="single" w:sz="4" w:space="0" w:color="auto"/>
            </w:tcBorders>
            <w:shd w:val="clear" w:color="auto" w:fill="auto"/>
          </w:tcPr>
          <w:p w14:paraId="0D165D66" w14:textId="77777777" w:rsidR="00B65F3A" w:rsidRPr="000974A4" w:rsidRDefault="00B65F3A" w:rsidP="00B65F3A">
            <w:pPr>
              <w:suppressAutoHyphens w:val="0"/>
              <w:kinsoku w:val="0"/>
              <w:overflowPunct w:val="0"/>
              <w:autoSpaceDE w:val="0"/>
              <w:autoSpaceDN w:val="0"/>
              <w:adjustRightInd w:val="0"/>
              <w:spacing w:before="40" w:after="120" w:line="220" w:lineRule="exact"/>
              <w:ind w:right="113"/>
              <w:rPr>
                <w:rFonts w:eastAsia="Calibri"/>
                <w:szCs w:val="18"/>
                <w:lang w:val="de-DE"/>
              </w:rPr>
            </w:pPr>
          </w:p>
        </w:tc>
      </w:tr>
      <w:tr w:rsidR="00B65F3A" w:rsidRPr="000974A4" w14:paraId="795B33CF" w14:textId="77777777" w:rsidTr="00B65F3A">
        <w:trPr>
          <w:trHeight w:val="57"/>
        </w:trPr>
        <w:tc>
          <w:tcPr>
            <w:tcW w:w="591" w:type="dxa"/>
            <w:gridSpan w:val="2"/>
            <w:vMerge/>
            <w:tcBorders>
              <w:top w:val="single" w:sz="4" w:space="0" w:color="auto"/>
              <w:bottom w:val="single" w:sz="4" w:space="0" w:color="auto"/>
            </w:tcBorders>
            <w:shd w:val="clear" w:color="auto" w:fill="auto"/>
          </w:tcPr>
          <w:p w14:paraId="4A55C846" w14:textId="77777777" w:rsidR="00B65F3A" w:rsidRPr="000974A4" w:rsidRDefault="00B65F3A" w:rsidP="00B65F3A">
            <w:pPr>
              <w:suppressAutoHyphens w:val="0"/>
              <w:kinsoku w:val="0"/>
              <w:overflowPunct w:val="0"/>
              <w:autoSpaceDE w:val="0"/>
              <w:autoSpaceDN w:val="0"/>
              <w:adjustRightInd w:val="0"/>
              <w:spacing w:before="40" w:after="120" w:line="220" w:lineRule="exact"/>
              <w:ind w:right="113"/>
              <w:rPr>
                <w:rFonts w:eastAsia="Calibri"/>
                <w:b/>
                <w:szCs w:val="18"/>
                <w:lang w:val="de-DE"/>
              </w:rPr>
            </w:pPr>
          </w:p>
        </w:tc>
        <w:tc>
          <w:tcPr>
            <w:tcW w:w="4437" w:type="dxa"/>
            <w:tcBorders>
              <w:top w:val="single" w:sz="4" w:space="0" w:color="auto"/>
              <w:bottom w:val="single" w:sz="4" w:space="0" w:color="auto"/>
            </w:tcBorders>
            <w:shd w:val="clear" w:color="auto" w:fill="auto"/>
          </w:tcPr>
          <w:p w14:paraId="57F0FB26" w14:textId="77777777" w:rsidR="00B65F3A" w:rsidRPr="000974A4" w:rsidRDefault="00B65F3A" w:rsidP="00B65F3A">
            <w:pPr>
              <w:suppressAutoHyphens w:val="0"/>
              <w:kinsoku w:val="0"/>
              <w:overflowPunct w:val="0"/>
              <w:autoSpaceDE w:val="0"/>
              <w:autoSpaceDN w:val="0"/>
              <w:adjustRightInd w:val="0"/>
              <w:spacing w:before="40" w:after="120" w:line="220" w:lineRule="exact"/>
              <w:ind w:right="113"/>
              <w:rPr>
                <w:rFonts w:eastAsia="Calibri"/>
                <w:szCs w:val="18"/>
                <w:lang w:val="de-DE"/>
              </w:rPr>
            </w:pPr>
            <w:r w:rsidRPr="000974A4">
              <w:rPr>
                <w:rFonts w:eastAsia="Calibri"/>
                <w:bCs/>
                <w:szCs w:val="18"/>
                <w:u w:color="000000"/>
                <w:lang w:val="de-DE"/>
              </w:rPr>
              <w:t>sonstige Stoffe der Klasse 3</w:t>
            </w:r>
          </w:p>
        </w:tc>
        <w:tc>
          <w:tcPr>
            <w:tcW w:w="820" w:type="dxa"/>
            <w:tcBorders>
              <w:top w:val="single" w:sz="4" w:space="0" w:color="auto"/>
              <w:bottom w:val="single" w:sz="4" w:space="0" w:color="auto"/>
            </w:tcBorders>
            <w:shd w:val="clear" w:color="auto" w:fill="auto"/>
          </w:tcPr>
          <w:p w14:paraId="52DFB2DA" w14:textId="77777777" w:rsidR="00B65F3A" w:rsidRPr="000974A4" w:rsidRDefault="00B65F3A" w:rsidP="00B65F3A">
            <w:pPr>
              <w:suppressAutoHyphens w:val="0"/>
              <w:kinsoku w:val="0"/>
              <w:overflowPunct w:val="0"/>
              <w:autoSpaceDE w:val="0"/>
              <w:autoSpaceDN w:val="0"/>
              <w:adjustRightInd w:val="0"/>
              <w:spacing w:before="40" w:after="120" w:line="220" w:lineRule="exact"/>
              <w:ind w:right="113"/>
              <w:rPr>
                <w:rFonts w:eastAsia="Calibri"/>
                <w:szCs w:val="18"/>
                <w:lang w:val="de-DE"/>
              </w:rPr>
            </w:pPr>
            <w:r w:rsidRPr="000974A4">
              <w:rPr>
                <w:rFonts w:eastAsia="Calibri"/>
                <w:szCs w:val="18"/>
                <w:lang w:val="de-DE"/>
              </w:rPr>
              <w:t>3000</w:t>
            </w:r>
          </w:p>
        </w:tc>
        <w:tc>
          <w:tcPr>
            <w:tcW w:w="821" w:type="dxa"/>
            <w:tcBorders>
              <w:top w:val="single" w:sz="4" w:space="0" w:color="auto"/>
              <w:bottom w:val="single" w:sz="4" w:space="0" w:color="auto"/>
            </w:tcBorders>
            <w:shd w:val="clear" w:color="auto" w:fill="auto"/>
          </w:tcPr>
          <w:p w14:paraId="6ADD2B10" w14:textId="77777777" w:rsidR="00B65F3A" w:rsidRPr="000974A4" w:rsidRDefault="00B65F3A" w:rsidP="00B65F3A">
            <w:pPr>
              <w:suppressAutoHyphens w:val="0"/>
              <w:kinsoku w:val="0"/>
              <w:overflowPunct w:val="0"/>
              <w:autoSpaceDE w:val="0"/>
              <w:autoSpaceDN w:val="0"/>
              <w:adjustRightInd w:val="0"/>
              <w:spacing w:before="40" w:after="120" w:line="220" w:lineRule="exact"/>
              <w:ind w:right="113"/>
              <w:rPr>
                <w:rFonts w:eastAsia="Calibri"/>
                <w:szCs w:val="18"/>
                <w:lang w:val="de-DE"/>
              </w:rPr>
            </w:pPr>
          </w:p>
        </w:tc>
        <w:tc>
          <w:tcPr>
            <w:tcW w:w="701" w:type="dxa"/>
            <w:tcBorders>
              <w:top w:val="single" w:sz="4" w:space="0" w:color="auto"/>
              <w:bottom w:val="single" w:sz="4" w:space="0" w:color="auto"/>
            </w:tcBorders>
            <w:shd w:val="clear" w:color="auto" w:fill="auto"/>
          </w:tcPr>
          <w:p w14:paraId="41C9E4CC" w14:textId="77777777" w:rsidR="00B65F3A" w:rsidRPr="000974A4" w:rsidRDefault="00B65F3A" w:rsidP="00B65F3A">
            <w:pPr>
              <w:suppressAutoHyphens w:val="0"/>
              <w:kinsoku w:val="0"/>
              <w:overflowPunct w:val="0"/>
              <w:autoSpaceDE w:val="0"/>
              <w:autoSpaceDN w:val="0"/>
              <w:adjustRightInd w:val="0"/>
              <w:spacing w:before="40" w:after="120" w:line="220" w:lineRule="exact"/>
              <w:ind w:right="113"/>
              <w:rPr>
                <w:rFonts w:eastAsia="Calibri"/>
                <w:szCs w:val="18"/>
                <w:lang w:val="de-DE"/>
              </w:rPr>
            </w:pPr>
          </w:p>
        </w:tc>
      </w:tr>
      <w:tr w:rsidR="00B65F3A" w:rsidRPr="000974A4" w14:paraId="23CF3509" w14:textId="77777777" w:rsidTr="00B65F3A">
        <w:trPr>
          <w:trHeight w:val="57"/>
        </w:trPr>
        <w:tc>
          <w:tcPr>
            <w:tcW w:w="591" w:type="dxa"/>
            <w:gridSpan w:val="2"/>
            <w:vMerge w:val="restart"/>
            <w:tcBorders>
              <w:top w:val="single" w:sz="4" w:space="0" w:color="auto"/>
              <w:bottom w:val="single" w:sz="4" w:space="0" w:color="auto"/>
            </w:tcBorders>
            <w:shd w:val="clear" w:color="auto" w:fill="auto"/>
          </w:tcPr>
          <w:p w14:paraId="3ADF73E7" w14:textId="77777777" w:rsidR="00B65F3A" w:rsidRPr="000974A4" w:rsidRDefault="00B65F3A" w:rsidP="00B65F3A">
            <w:pPr>
              <w:suppressAutoHyphens w:val="0"/>
              <w:kinsoku w:val="0"/>
              <w:overflowPunct w:val="0"/>
              <w:autoSpaceDE w:val="0"/>
              <w:autoSpaceDN w:val="0"/>
              <w:adjustRightInd w:val="0"/>
              <w:spacing w:before="40" w:after="120" w:line="220" w:lineRule="exact"/>
              <w:ind w:right="113"/>
              <w:rPr>
                <w:rFonts w:eastAsia="Calibri"/>
                <w:b/>
                <w:szCs w:val="18"/>
                <w:lang w:val="de-DE"/>
              </w:rPr>
            </w:pPr>
            <w:r w:rsidRPr="000974A4">
              <w:rPr>
                <w:rFonts w:eastAsia="Calibri"/>
                <w:b/>
                <w:szCs w:val="18"/>
                <w:lang w:val="de-DE"/>
              </w:rPr>
              <w:t>4.1</w:t>
            </w:r>
          </w:p>
        </w:tc>
        <w:tc>
          <w:tcPr>
            <w:tcW w:w="4437" w:type="dxa"/>
            <w:tcBorders>
              <w:top w:val="single" w:sz="4" w:space="0" w:color="auto"/>
              <w:bottom w:val="single" w:sz="4" w:space="0" w:color="auto"/>
            </w:tcBorders>
            <w:shd w:val="clear" w:color="auto" w:fill="auto"/>
          </w:tcPr>
          <w:p w14:paraId="296E2762" w14:textId="77777777" w:rsidR="00B65F3A" w:rsidRPr="000974A4" w:rsidRDefault="00B65F3A" w:rsidP="00B65F3A">
            <w:pPr>
              <w:suppressAutoHyphens w:val="0"/>
              <w:kinsoku w:val="0"/>
              <w:overflowPunct w:val="0"/>
              <w:autoSpaceDE w:val="0"/>
              <w:autoSpaceDN w:val="0"/>
              <w:adjustRightInd w:val="0"/>
              <w:spacing w:before="40" w:after="120" w:line="220" w:lineRule="exact"/>
              <w:ind w:right="113"/>
              <w:rPr>
                <w:rFonts w:eastAsia="Calibri"/>
                <w:szCs w:val="18"/>
                <w:u w:color="000000"/>
                <w:lang w:val="de-DE"/>
              </w:rPr>
            </w:pPr>
            <w:r w:rsidRPr="000974A4">
              <w:rPr>
                <w:rFonts w:eastAsia="Calibri"/>
                <w:szCs w:val="18"/>
                <w:u w:color="000000"/>
                <w:lang w:val="de-DE"/>
              </w:rPr>
              <w:t>Stoffe und Gegenstände der Klasse 4.1, für die in Kapitel 3.2 Tabelle A Spalte (5) ein Gefahrzettel nach Muster 1 vorgeschrieben ist;</w:t>
            </w:r>
          </w:p>
        </w:tc>
        <w:tc>
          <w:tcPr>
            <w:tcW w:w="820" w:type="dxa"/>
            <w:tcBorders>
              <w:top w:val="single" w:sz="4" w:space="0" w:color="auto"/>
              <w:bottom w:val="single" w:sz="4" w:space="0" w:color="auto"/>
            </w:tcBorders>
            <w:shd w:val="clear" w:color="auto" w:fill="auto"/>
          </w:tcPr>
          <w:p w14:paraId="01E99281" w14:textId="77777777" w:rsidR="00B65F3A" w:rsidRPr="000974A4" w:rsidRDefault="00B65F3A" w:rsidP="00B65F3A">
            <w:pPr>
              <w:suppressAutoHyphens w:val="0"/>
              <w:kinsoku w:val="0"/>
              <w:overflowPunct w:val="0"/>
              <w:autoSpaceDE w:val="0"/>
              <w:autoSpaceDN w:val="0"/>
              <w:adjustRightInd w:val="0"/>
              <w:spacing w:before="40" w:after="120" w:line="220" w:lineRule="exact"/>
              <w:ind w:right="113"/>
              <w:rPr>
                <w:rFonts w:eastAsia="Calibri"/>
                <w:szCs w:val="18"/>
                <w:lang w:val="de-DE"/>
              </w:rPr>
            </w:pPr>
          </w:p>
        </w:tc>
        <w:tc>
          <w:tcPr>
            <w:tcW w:w="821" w:type="dxa"/>
            <w:tcBorders>
              <w:top w:val="single" w:sz="4" w:space="0" w:color="auto"/>
              <w:bottom w:val="single" w:sz="4" w:space="0" w:color="auto"/>
            </w:tcBorders>
            <w:shd w:val="clear" w:color="auto" w:fill="auto"/>
          </w:tcPr>
          <w:p w14:paraId="78A5FF4E" w14:textId="77777777" w:rsidR="00B65F3A" w:rsidRPr="000974A4" w:rsidRDefault="00B65F3A" w:rsidP="00B65F3A">
            <w:pPr>
              <w:suppressAutoHyphens w:val="0"/>
              <w:kinsoku w:val="0"/>
              <w:overflowPunct w:val="0"/>
              <w:autoSpaceDE w:val="0"/>
              <w:autoSpaceDN w:val="0"/>
              <w:adjustRightInd w:val="0"/>
              <w:spacing w:before="40" w:after="120" w:line="220" w:lineRule="exact"/>
              <w:ind w:right="113"/>
              <w:rPr>
                <w:rFonts w:eastAsia="Calibri"/>
                <w:szCs w:val="18"/>
                <w:lang w:val="de-DE"/>
              </w:rPr>
            </w:pPr>
          </w:p>
        </w:tc>
        <w:tc>
          <w:tcPr>
            <w:tcW w:w="701" w:type="dxa"/>
            <w:tcBorders>
              <w:top w:val="single" w:sz="4" w:space="0" w:color="auto"/>
              <w:bottom w:val="single" w:sz="4" w:space="0" w:color="auto"/>
            </w:tcBorders>
            <w:shd w:val="clear" w:color="auto" w:fill="auto"/>
          </w:tcPr>
          <w:p w14:paraId="13404622" w14:textId="77777777" w:rsidR="00B65F3A" w:rsidRPr="000974A4" w:rsidRDefault="00B65F3A" w:rsidP="00B65F3A">
            <w:pPr>
              <w:suppressAutoHyphens w:val="0"/>
              <w:kinsoku w:val="0"/>
              <w:overflowPunct w:val="0"/>
              <w:autoSpaceDE w:val="0"/>
              <w:autoSpaceDN w:val="0"/>
              <w:adjustRightInd w:val="0"/>
              <w:spacing w:before="40" w:after="120" w:line="220" w:lineRule="exact"/>
              <w:ind w:right="113"/>
              <w:rPr>
                <w:rFonts w:eastAsia="Calibri"/>
                <w:szCs w:val="18"/>
                <w:lang w:val="de-DE"/>
              </w:rPr>
            </w:pPr>
            <w:r w:rsidRPr="000974A4">
              <w:rPr>
                <w:rFonts w:eastAsia="Calibri"/>
                <w:szCs w:val="18"/>
                <w:lang w:val="de-DE"/>
              </w:rPr>
              <w:t>0</w:t>
            </w:r>
          </w:p>
        </w:tc>
      </w:tr>
      <w:tr w:rsidR="00B65F3A" w:rsidRPr="000974A4" w14:paraId="3FFFE410" w14:textId="77777777" w:rsidTr="00B65F3A">
        <w:trPr>
          <w:trHeight w:val="57"/>
        </w:trPr>
        <w:tc>
          <w:tcPr>
            <w:tcW w:w="591" w:type="dxa"/>
            <w:gridSpan w:val="2"/>
            <w:vMerge/>
            <w:tcBorders>
              <w:top w:val="single" w:sz="4" w:space="0" w:color="auto"/>
              <w:bottom w:val="single" w:sz="4" w:space="0" w:color="auto"/>
            </w:tcBorders>
            <w:shd w:val="clear" w:color="auto" w:fill="auto"/>
          </w:tcPr>
          <w:p w14:paraId="5F3253F6" w14:textId="77777777" w:rsidR="00B65F3A" w:rsidRPr="000974A4" w:rsidRDefault="00B65F3A" w:rsidP="00B65F3A">
            <w:pPr>
              <w:suppressAutoHyphens w:val="0"/>
              <w:kinsoku w:val="0"/>
              <w:overflowPunct w:val="0"/>
              <w:autoSpaceDE w:val="0"/>
              <w:autoSpaceDN w:val="0"/>
              <w:adjustRightInd w:val="0"/>
              <w:spacing w:before="40" w:after="120" w:line="220" w:lineRule="exact"/>
              <w:ind w:right="113"/>
              <w:rPr>
                <w:rFonts w:eastAsia="Calibri"/>
                <w:b/>
                <w:szCs w:val="18"/>
                <w:lang w:val="de-DE"/>
              </w:rPr>
            </w:pPr>
          </w:p>
        </w:tc>
        <w:tc>
          <w:tcPr>
            <w:tcW w:w="4437" w:type="dxa"/>
            <w:tcBorders>
              <w:top w:val="single" w:sz="4" w:space="0" w:color="auto"/>
              <w:bottom w:val="single" w:sz="4" w:space="0" w:color="auto"/>
            </w:tcBorders>
            <w:shd w:val="clear" w:color="auto" w:fill="auto"/>
          </w:tcPr>
          <w:p w14:paraId="28CBFF54" w14:textId="77777777" w:rsidR="00B65F3A" w:rsidRPr="000974A4" w:rsidRDefault="00B65F3A" w:rsidP="00B65F3A">
            <w:pPr>
              <w:suppressAutoHyphens w:val="0"/>
              <w:kinsoku w:val="0"/>
              <w:overflowPunct w:val="0"/>
              <w:autoSpaceDE w:val="0"/>
              <w:autoSpaceDN w:val="0"/>
              <w:adjustRightInd w:val="0"/>
              <w:spacing w:before="40" w:after="120" w:line="220" w:lineRule="exact"/>
              <w:ind w:right="113"/>
              <w:rPr>
                <w:rFonts w:eastAsia="Calibri"/>
                <w:szCs w:val="18"/>
                <w:u w:color="000000"/>
                <w:lang w:val="de-DE"/>
              </w:rPr>
            </w:pPr>
            <w:r w:rsidRPr="000974A4">
              <w:rPr>
                <w:rFonts w:eastAsia="Calibri"/>
                <w:bCs/>
                <w:szCs w:val="18"/>
                <w:u w:color="000000"/>
                <w:lang w:val="de-DE"/>
              </w:rPr>
              <w:t>sonstige Stoffe und Gegenstände der Klasse 4.1 Verpackungsgruppe I</w:t>
            </w:r>
          </w:p>
        </w:tc>
        <w:tc>
          <w:tcPr>
            <w:tcW w:w="820" w:type="dxa"/>
            <w:tcBorders>
              <w:top w:val="single" w:sz="4" w:space="0" w:color="auto"/>
              <w:bottom w:val="single" w:sz="4" w:space="0" w:color="auto"/>
            </w:tcBorders>
            <w:shd w:val="clear" w:color="auto" w:fill="auto"/>
          </w:tcPr>
          <w:p w14:paraId="350EEFC4" w14:textId="77777777" w:rsidR="00B65F3A" w:rsidRPr="000974A4" w:rsidRDefault="00B65F3A" w:rsidP="00B65F3A">
            <w:pPr>
              <w:suppressAutoHyphens w:val="0"/>
              <w:kinsoku w:val="0"/>
              <w:overflowPunct w:val="0"/>
              <w:autoSpaceDE w:val="0"/>
              <w:autoSpaceDN w:val="0"/>
              <w:adjustRightInd w:val="0"/>
              <w:spacing w:before="40" w:after="120" w:line="220" w:lineRule="exact"/>
              <w:ind w:right="113"/>
              <w:rPr>
                <w:rFonts w:eastAsia="Calibri"/>
                <w:szCs w:val="18"/>
                <w:lang w:val="de-DE"/>
              </w:rPr>
            </w:pPr>
          </w:p>
        </w:tc>
        <w:tc>
          <w:tcPr>
            <w:tcW w:w="821" w:type="dxa"/>
            <w:tcBorders>
              <w:top w:val="single" w:sz="4" w:space="0" w:color="auto"/>
              <w:bottom w:val="single" w:sz="4" w:space="0" w:color="auto"/>
            </w:tcBorders>
            <w:shd w:val="clear" w:color="auto" w:fill="auto"/>
          </w:tcPr>
          <w:p w14:paraId="1910F92A" w14:textId="77777777" w:rsidR="00B65F3A" w:rsidRPr="000974A4" w:rsidRDefault="00B65F3A" w:rsidP="00B65F3A">
            <w:pPr>
              <w:suppressAutoHyphens w:val="0"/>
              <w:kinsoku w:val="0"/>
              <w:overflowPunct w:val="0"/>
              <w:autoSpaceDE w:val="0"/>
              <w:autoSpaceDN w:val="0"/>
              <w:adjustRightInd w:val="0"/>
              <w:spacing w:before="40" w:after="120" w:line="220" w:lineRule="exact"/>
              <w:ind w:right="113"/>
              <w:rPr>
                <w:rFonts w:eastAsia="Calibri"/>
                <w:szCs w:val="18"/>
                <w:lang w:val="de-DE"/>
              </w:rPr>
            </w:pPr>
            <w:r w:rsidRPr="000974A4">
              <w:rPr>
                <w:rFonts w:eastAsia="Calibri"/>
                <w:szCs w:val="18"/>
                <w:lang w:val="de-DE"/>
              </w:rPr>
              <w:t>300</w:t>
            </w:r>
          </w:p>
        </w:tc>
        <w:tc>
          <w:tcPr>
            <w:tcW w:w="701" w:type="dxa"/>
            <w:tcBorders>
              <w:top w:val="single" w:sz="4" w:space="0" w:color="auto"/>
              <w:bottom w:val="single" w:sz="4" w:space="0" w:color="auto"/>
            </w:tcBorders>
            <w:shd w:val="clear" w:color="auto" w:fill="auto"/>
          </w:tcPr>
          <w:p w14:paraId="3B337442" w14:textId="77777777" w:rsidR="00B65F3A" w:rsidRPr="000974A4" w:rsidRDefault="00B65F3A" w:rsidP="00B65F3A">
            <w:pPr>
              <w:suppressAutoHyphens w:val="0"/>
              <w:kinsoku w:val="0"/>
              <w:overflowPunct w:val="0"/>
              <w:autoSpaceDE w:val="0"/>
              <w:autoSpaceDN w:val="0"/>
              <w:adjustRightInd w:val="0"/>
              <w:spacing w:before="40" w:after="120" w:line="220" w:lineRule="exact"/>
              <w:ind w:right="113"/>
              <w:rPr>
                <w:rFonts w:eastAsia="Calibri"/>
                <w:szCs w:val="18"/>
                <w:lang w:val="de-DE"/>
              </w:rPr>
            </w:pPr>
          </w:p>
        </w:tc>
      </w:tr>
      <w:tr w:rsidR="00B65F3A" w:rsidRPr="000974A4" w14:paraId="79DA3E11" w14:textId="77777777" w:rsidTr="00B65F3A">
        <w:trPr>
          <w:trHeight w:val="57"/>
        </w:trPr>
        <w:tc>
          <w:tcPr>
            <w:tcW w:w="591" w:type="dxa"/>
            <w:gridSpan w:val="2"/>
            <w:vMerge/>
            <w:tcBorders>
              <w:top w:val="single" w:sz="4" w:space="0" w:color="auto"/>
              <w:bottom w:val="single" w:sz="4" w:space="0" w:color="auto"/>
            </w:tcBorders>
            <w:shd w:val="clear" w:color="auto" w:fill="auto"/>
          </w:tcPr>
          <w:p w14:paraId="56DD1CB7" w14:textId="77777777" w:rsidR="00B65F3A" w:rsidRPr="000974A4" w:rsidRDefault="00B65F3A" w:rsidP="00B65F3A">
            <w:pPr>
              <w:suppressAutoHyphens w:val="0"/>
              <w:kinsoku w:val="0"/>
              <w:overflowPunct w:val="0"/>
              <w:autoSpaceDE w:val="0"/>
              <w:autoSpaceDN w:val="0"/>
              <w:adjustRightInd w:val="0"/>
              <w:spacing w:before="40" w:after="120" w:line="220" w:lineRule="exact"/>
              <w:ind w:right="113"/>
              <w:rPr>
                <w:rFonts w:eastAsia="Calibri"/>
                <w:b/>
                <w:szCs w:val="18"/>
                <w:lang w:val="de-DE"/>
              </w:rPr>
            </w:pPr>
          </w:p>
        </w:tc>
        <w:tc>
          <w:tcPr>
            <w:tcW w:w="4437" w:type="dxa"/>
            <w:tcBorders>
              <w:top w:val="single" w:sz="4" w:space="0" w:color="auto"/>
              <w:bottom w:val="single" w:sz="4" w:space="0" w:color="auto"/>
            </w:tcBorders>
            <w:shd w:val="clear" w:color="auto" w:fill="auto"/>
          </w:tcPr>
          <w:p w14:paraId="7BA38FB0" w14:textId="77777777" w:rsidR="00B65F3A" w:rsidRPr="000974A4" w:rsidRDefault="00B65F3A" w:rsidP="00B65F3A">
            <w:pPr>
              <w:suppressAutoHyphens w:val="0"/>
              <w:kinsoku w:val="0"/>
              <w:overflowPunct w:val="0"/>
              <w:autoSpaceDE w:val="0"/>
              <w:autoSpaceDN w:val="0"/>
              <w:adjustRightInd w:val="0"/>
              <w:spacing w:before="40" w:after="120" w:line="220" w:lineRule="exact"/>
              <w:ind w:right="113"/>
              <w:rPr>
                <w:rFonts w:eastAsia="Calibri"/>
                <w:szCs w:val="18"/>
                <w:lang w:val="de-DE"/>
              </w:rPr>
            </w:pPr>
            <w:r w:rsidRPr="000974A4">
              <w:rPr>
                <w:rFonts w:eastAsia="Calibri"/>
                <w:bCs/>
                <w:szCs w:val="18"/>
                <w:u w:color="000000"/>
                <w:lang w:val="de-DE"/>
              </w:rPr>
              <w:t>sonstige Stoffe und Gegenstände der Klasse 4.1</w:t>
            </w:r>
          </w:p>
        </w:tc>
        <w:tc>
          <w:tcPr>
            <w:tcW w:w="820" w:type="dxa"/>
            <w:tcBorders>
              <w:top w:val="single" w:sz="4" w:space="0" w:color="auto"/>
              <w:bottom w:val="single" w:sz="4" w:space="0" w:color="auto"/>
            </w:tcBorders>
            <w:shd w:val="clear" w:color="auto" w:fill="auto"/>
          </w:tcPr>
          <w:p w14:paraId="4CCC52C4" w14:textId="77777777" w:rsidR="00B65F3A" w:rsidRPr="000974A4" w:rsidRDefault="00B65F3A" w:rsidP="00B65F3A">
            <w:pPr>
              <w:suppressAutoHyphens w:val="0"/>
              <w:kinsoku w:val="0"/>
              <w:overflowPunct w:val="0"/>
              <w:autoSpaceDE w:val="0"/>
              <w:autoSpaceDN w:val="0"/>
              <w:adjustRightInd w:val="0"/>
              <w:spacing w:before="40" w:after="120" w:line="220" w:lineRule="exact"/>
              <w:ind w:right="113"/>
              <w:rPr>
                <w:rFonts w:eastAsia="Calibri"/>
                <w:szCs w:val="18"/>
                <w:lang w:val="de-DE"/>
              </w:rPr>
            </w:pPr>
            <w:r w:rsidRPr="000974A4">
              <w:rPr>
                <w:rFonts w:eastAsia="Calibri"/>
                <w:szCs w:val="18"/>
                <w:lang w:val="de-DE"/>
              </w:rPr>
              <w:t>3000</w:t>
            </w:r>
          </w:p>
        </w:tc>
        <w:tc>
          <w:tcPr>
            <w:tcW w:w="821" w:type="dxa"/>
            <w:tcBorders>
              <w:top w:val="single" w:sz="4" w:space="0" w:color="auto"/>
              <w:bottom w:val="single" w:sz="4" w:space="0" w:color="auto"/>
            </w:tcBorders>
            <w:shd w:val="clear" w:color="auto" w:fill="auto"/>
          </w:tcPr>
          <w:p w14:paraId="558FFE8C" w14:textId="77777777" w:rsidR="00B65F3A" w:rsidRPr="000974A4" w:rsidRDefault="00B65F3A" w:rsidP="00B65F3A">
            <w:pPr>
              <w:suppressAutoHyphens w:val="0"/>
              <w:kinsoku w:val="0"/>
              <w:overflowPunct w:val="0"/>
              <w:autoSpaceDE w:val="0"/>
              <w:autoSpaceDN w:val="0"/>
              <w:adjustRightInd w:val="0"/>
              <w:spacing w:before="40" w:after="120" w:line="220" w:lineRule="exact"/>
              <w:ind w:right="113"/>
              <w:rPr>
                <w:rFonts w:eastAsia="Calibri"/>
                <w:szCs w:val="18"/>
                <w:lang w:val="de-DE"/>
              </w:rPr>
            </w:pPr>
          </w:p>
        </w:tc>
        <w:tc>
          <w:tcPr>
            <w:tcW w:w="701" w:type="dxa"/>
            <w:tcBorders>
              <w:top w:val="single" w:sz="4" w:space="0" w:color="auto"/>
              <w:bottom w:val="single" w:sz="4" w:space="0" w:color="auto"/>
            </w:tcBorders>
            <w:shd w:val="clear" w:color="auto" w:fill="auto"/>
          </w:tcPr>
          <w:p w14:paraId="1025166E" w14:textId="77777777" w:rsidR="00B65F3A" w:rsidRPr="000974A4" w:rsidRDefault="00B65F3A" w:rsidP="00B65F3A">
            <w:pPr>
              <w:suppressAutoHyphens w:val="0"/>
              <w:kinsoku w:val="0"/>
              <w:overflowPunct w:val="0"/>
              <w:autoSpaceDE w:val="0"/>
              <w:autoSpaceDN w:val="0"/>
              <w:adjustRightInd w:val="0"/>
              <w:spacing w:before="40" w:after="120" w:line="220" w:lineRule="exact"/>
              <w:ind w:right="113"/>
              <w:rPr>
                <w:rFonts w:eastAsia="Calibri"/>
                <w:szCs w:val="18"/>
                <w:lang w:val="de-DE"/>
              </w:rPr>
            </w:pPr>
          </w:p>
        </w:tc>
      </w:tr>
      <w:tr w:rsidR="00B65F3A" w:rsidRPr="000974A4" w14:paraId="6E3B1A78" w14:textId="77777777" w:rsidTr="00B65F3A">
        <w:trPr>
          <w:trHeight w:val="57"/>
        </w:trPr>
        <w:tc>
          <w:tcPr>
            <w:tcW w:w="591" w:type="dxa"/>
            <w:gridSpan w:val="2"/>
            <w:vMerge w:val="restart"/>
            <w:tcBorders>
              <w:top w:val="single" w:sz="4" w:space="0" w:color="auto"/>
              <w:bottom w:val="single" w:sz="4" w:space="0" w:color="auto"/>
            </w:tcBorders>
            <w:shd w:val="clear" w:color="auto" w:fill="auto"/>
          </w:tcPr>
          <w:p w14:paraId="448C16A6" w14:textId="77777777" w:rsidR="00B65F3A" w:rsidRPr="000974A4" w:rsidRDefault="00B65F3A" w:rsidP="00B65F3A">
            <w:pPr>
              <w:suppressAutoHyphens w:val="0"/>
              <w:kinsoku w:val="0"/>
              <w:overflowPunct w:val="0"/>
              <w:autoSpaceDE w:val="0"/>
              <w:autoSpaceDN w:val="0"/>
              <w:adjustRightInd w:val="0"/>
              <w:spacing w:before="40" w:after="120" w:line="220" w:lineRule="exact"/>
              <w:ind w:right="113"/>
              <w:rPr>
                <w:rFonts w:eastAsia="Calibri"/>
                <w:b/>
                <w:szCs w:val="18"/>
                <w:lang w:val="de-DE"/>
              </w:rPr>
            </w:pPr>
            <w:r w:rsidRPr="000974A4">
              <w:rPr>
                <w:rFonts w:eastAsia="Calibri"/>
                <w:b/>
                <w:szCs w:val="18"/>
                <w:lang w:val="de-DE"/>
              </w:rPr>
              <w:t>4.2</w:t>
            </w:r>
          </w:p>
        </w:tc>
        <w:tc>
          <w:tcPr>
            <w:tcW w:w="4437" w:type="dxa"/>
            <w:tcBorders>
              <w:top w:val="single" w:sz="4" w:space="0" w:color="auto"/>
              <w:bottom w:val="single" w:sz="4" w:space="0" w:color="auto"/>
            </w:tcBorders>
            <w:shd w:val="clear" w:color="auto" w:fill="auto"/>
          </w:tcPr>
          <w:p w14:paraId="4D4DBD8A" w14:textId="77777777" w:rsidR="00B65F3A" w:rsidRPr="000974A4" w:rsidRDefault="00B65F3A" w:rsidP="00B65F3A">
            <w:pPr>
              <w:suppressAutoHyphens w:val="0"/>
              <w:kinsoku w:val="0"/>
              <w:overflowPunct w:val="0"/>
              <w:autoSpaceDE w:val="0"/>
              <w:autoSpaceDN w:val="0"/>
              <w:adjustRightInd w:val="0"/>
              <w:spacing w:before="40" w:after="120" w:line="220" w:lineRule="exact"/>
              <w:ind w:right="113"/>
              <w:rPr>
                <w:rFonts w:eastAsia="Calibri"/>
                <w:szCs w:val="18"/>
                <w:lang w:val="de-DE"/>
              </w:rPr>
            </w:pPr>
            <w:r w:rsidRPr="000974A4">
              <w:rPr>
                <w:rFonts w:eastAsia="Calibri"/>
                <w:szCs w:val="18"/>
                <w:lang w:val="de-DE"/>
              </w:rPr>
              <w:t>Stoffe und Gegenstände der Klasse 4.2 Verpackungsgruppe I</w:t>
            </w:r>
          </w:p>
        </w:tc>
        <w:tc>
          <w:tcPr>
            <w:tcW w:w="820" w:type="dxa"/>
            <w:tcBorders>
              <w:top w:val="single" w:sz="4" w:space="0" w:color="auto"/>
              <w:bottom w:val="single" w:sz="4" w:space="0" w:color="auto"/>
            </w:tcBorders>
            <w:shd w:val="clear" w:color="auto" w:fill="auto"/>
          </w:tcPr>
          <w:p w14:paraId="3A6D2BCD" w14:textId="77777777" w:rsidR="00B65F3A" w:rsidRPr="000974A4" w:rsidRDefault="00B65F3A" w:rsidP="00B65F3A">
            <w:pPr>
              <w:suppressAutoHyphens w:val="0"/>
              <w:kinsoku w:val="0"/>
              <w:overflowPunct w:val="0"/>
              <w:autoSpaceDE w:val="0"/>
              <w:autoSpaceDN w:val="0"/>
              <w:adjustRightInd w:val="0"/>
              <w:spacing w:before="40" w:after="120" w:line="220" w:lineRule="exact"/>
              <w:ind w:right="113"/>
              <w:rPr>
                <w:rFonts w:eastAsia="Calibri"/>
                <w:szCs w:val="18"/>
                <w:lang w:val="de-DE"/>
              </w:rPr>
            </w:pPr>
          </w:p>
        </w:tc>
        <w:tc>
          <w:tcPr>
            <w:tcW w:w="821" w:type="dxa"/>
            <w:tcBorders>
              <w:top w:val="single" w:sz="4" w:space="0" w:color="auto"/>
              <w:bottom w:val="single" w:sz="4" w:space="0" w:color="auto"/>
            </w:tcBorders>
            <w:shd w:val="clear" w:color="auto" w:fill="auto"/>
          </w:tcPr>
          <w:p w14:paraId="09363B0E" w14:textId="77777777" w:rsidR="00B65F3A" w:rsidRPr="000974A4" w:rsidRDefault="00B65F3A" w:rsidP="00B65F3A">
            <w:pPr>
              <w:suppressAutoHyphens w:val="0"/>
              <w:kinsoku w:val="0"/>
              <w:overflowPunct w:val="0"/>
              <w:autoSpaceDE w:val="0"/>
              <w:autoSpaceDN w:val="0"/>
              <w:adjustRightInd w:val="0"/>
              <w:spacing w:before="40" w:after="120" w:line="220" w:lineRule="exact"/>
              <w:ind w:right="113"/>
              <w:rPr>
                <w:rFonts w:eastAsia="Calibri"/>
                <w:szCs w:val="18"/>
                <w:lang w:val="de-DE"/>
              </w:rPr>
            </w:pPr>
            <w:r w:rsidRPr="000974A4">
              <w:rPr>
                <w:rFonts w:eastAsia="Calibri"/>
                <w:szCs w:val="18"/>
                <w:lang w:val="de-DE"/>
              </w:rPr>
              <w:t>300</w:t>
            </w:r>
          </w:p>
        </w:tc>
        <w:tc>
          <w:tcPr>
            <w:tcW w:w="701" w:type="dxa"/>
            <w:tcBorders>
              <w:top w:val="single" w:sz="4" w:space="0" w:color="auto"/>
              <w:bottom w:val="single" w:sz="4" w:space="0" w:color="auto"/>
            </w:tcBorders>
            <w:shd w:val="clear" w:color="auto" w:fill="auto"/>
          </w:tcPr>
          <w:p w14:paraId="00844AED" w14:textId="77777777" w:rsidR="00B65F3A" w:rsidRPr="000974A4" w:rsidRDefault="00B65F3A" w:rsidP="00B65F3A">
            <w:pPr>
              <w:suppressAutoHyphens w:val="0"/>
              <w:kinsoku w:val="0"/>
              <w:overflowPunct w:val="0"/>
              <w:autoSpaceDE w:val="0"/>
              <w:autoSpaceDN w:val="0"/>
              <w:adjustRightInd w:val="0"/>
              <w:spacing w:before="40" w:after="120" w:line="220" w:lineRule="exact"/>
              <w:ind w:right="113"/>
              <w:rPr>
                <w:rFonts w:eastAsia="Calibri"/>
                <w:szCs w:val="18"/>
                <w:lang w:val="de-DE"/>
              </w:rPr>
            </w:pPr>
          </w:p>
        </w:tc>
      </w:tr>
      <w:tr w:rsidR="00B65F3A" w:rsidRPr="000974A4" w14:paraId="26C5D87C" w14:textId="77777777" w:rsidTr="00B65F3A">
        <w:trPr>
          <w:trHeight w:val="57"/>
        </w:trPr>
        <w:tc>
          <w:tcPr>
            <w:tcW w:w="591" w:type="dxa"/>
            <w:gridSpan w:val="2"/>
            <w:vMerge/>
            <w:tcBorders>
              <w:top w:val="single" w:sz="4" w:space="0" w:color="auto"/>
              <w:bottom w:val="single" w:sz="4" w:space="0" w:color="auto"/>
            </w:tcBorders>
            <w:shd w:val="clear" w:color="auto" w:fill="auto"/>
          </w:tcPr>
          <w:p w14:paraId="6C736C85" w14:textId="77777777" w:rsidR="00B65F3A" w:rsidRPr="000974A4" w:rsidRDefault="00B65F3A" w:rsidP="00B65F3A">
            <w:pPr>
              <w:suppressAutoHyphens w:val="0"/>
              <w:kinsoku w:val="0"/>
              <w:overflowPunct w:val="0"/>
              <w:autoSpaceDE w:val="0"/>
              <w:autoSpaceDN w:val="0"/>
              <w:adjustRightInd w:val="0"/>
              <w:spacing w:before="40" w:after="120" w:line="220" w:lineRule="exact"/>
              <w:ind w:right="113"/>
              <w:rPr>
                <w:rFonts w:eastAsia="Calibri"/>
                <w:b/>
                <w:szCs w:val="18"/>
                <w:lang w:val="de-DE"/>
              </w:rPr>
            </w:pPr>
          </w:p>
        </w:tc>
        <w:tc>
          <w:tcPr>
            <w:tcW w:w="4437" w:type="dxa"/>
            <w:tcBorders>
              <w:top w:val="single" w:sz="4" w:space="0" w:color="auto"/>
              <w:bottom w:val="single" w:sz="4" w:space="0" w:color="auto"/>
            </w:tcBorders>
            <w:shd w:val="clear" w:color="auto" w:fill="auto"/>
          </w:tcPr>
          <w:p w14:paraId="23172A85" w14:textId="77777777" w:rsidR="00B65F3A" w:rsidRPr="000974A4" w:rsidRDefault="00B65F3A" w:rsidP="00B65F3A">
            <w:pPr>
              <w:suppressAutoHyphens w:val="0"/>
              <w:kinsoku w:val="0"/>
              <w:overflowPunct w:val="0"/>
              <w:autoSpaceDE w:val="0"/>
              <w:autoSpaceDN w:val="0"/>
              <w:adjustRightInd w:val="0"/>
              <w:spacing w:before="40" w:after="120" w:line="220" w:lineRule="exact"/>
              <w:ind w:right="113"/>
              <w:rPr>
                <w:rFonts w:eastAsia="Calibri"/>
                <w:szCs w:val="18"/>
                <w:lang w:val="de-DE"/>
              </w:rPr>
            </w:pPr>
            <w:r w:rsidRPr="000974A4">
              <w:rPr>
                <w:rFonts w:eastAsia="Calibri"/>
                <w:bCs/>
                <w:szCs w:val="18"/>
                <w:u w:color="000000"/>
                <w:lang w:val="de-DE"/>
              </w:rPr>
              <w:t xml:space="preserve">sonstige Stoffe </w:t>
            </w:r>
            <w:r w:rsidRPr="000974A4">
              <w:rPr>
                <w:rFonts w:eastAsia="Arial Unicode MS"/>
                <w:szCs w:val="18"/>
                <w:bdr w:val="nil"/>
                <w:lang w:val="de-DE" w:eastAsia="nl-NL"/>
              </w:rPr>
              <w:t xml:space="preserve">und Gegenstände </w:t>
            </w:r>
            <w:r w:rsidRPr="000974A4">
              <w:rPr>
                <w:rFonts w:eastAsia="Calibri"/>
                <w:bCs/>
                <w:szCs w:val="18"/>
                <w:u w:color="000000"/>
                <w:lang w:val="de-DE"/>
              </w:rPr>
              <w:t>der Klasse 4.2</w:t>
            </w:r>
          </w:p>
        </w:tc>
        <w:tc>
          <w:tcPr>
            <w:tcW w:w="820" w:type="dxa"/>
            <w:tcBorders>
              <w:top w:val="single" w:sz="4" w:space="0" w:color="auto"/>
              <w:bottom w:val="single" w:sz="4" w:space="0" w:color="auto"/>
            </w:tcBorders>
            <w:shd w:val="clear" w:color="auto" w:fill="auto"/>
          </w:tcPr>
          <w:p w14:paraId="4AC70210" w14:textId="77777777" w:rsidR="00B65F3A" w:rsidRPr="000974A4" w:rsidRDefault="00B65F3A" w:rsidP="00B65F3A">
            <w:pPr>
              <w:suppressAutoHyphens w:val="0"/>
              <w:kinsoku w:val="0"/>
              <w:overflowPunct w:val="0"/>
              <w:autoSpaceDE w:val="0"/>
              <w:autoSpaceDN w:val="0"/>
              <w:adjustRightInd w:val="0"/>
              <w:spacing w:before="40" w:after="120" w:line="220" w:lineRule="exact"/>
              <w:ind w:right="113"/>
              <w:rPr>
                <w:rFonts w:eastAsia="Calibri"/>
                <w:szCs w:val="18"/>
                <w:lang w:val="de-DE"/>
              </w:rPr>
            </w:pPr>
            <w:r w:rsidRPr="000974A4">
              <w:rPr>
                <w:rFonts w:eastAsia="Calibri"/>
                <w:szCs w:val="18"/>
                <w:lang w:val="de-DE"/>
              </w:rPr>
              <w:t>3000</w:t>
            </w:r>
          </w:p>
        </w:tc>
        <w:tc>
          <w:tcPr>
            <w:tcW w:w="821" w:type="dxa"/>
            <w:tcBorders>
              <w:top w:val="single" w:sz="4" w:space="0" w:color="auto"/>
              <w:bottom w:val="single" w:sz="4" w:space="0" w:color="auto"/>
            </w:tcBorders>
            <w:shd w:val="clear" w:color="auto" w:fill="auto"/>
          </w:tcPr>
          <w:p w14:paraId="4FA7002B" w14:textId="77777777" w:rsidR="00B65F3A" w:rsidRPr="000974A4" w:rsidRDefault="00B65F3A" w:rsidP="00B65F3A">
            <w:pPr>
              <w:suppressAutoHyphens w:val="0"/>
              <w:kinsoku w:val="0"/>
              <w:overflowPunct w:val="0"/>
              <w:autoSpaceDE w:val="0"/>
              <w:autoSpaceDN w:val="0"/>
              <w:adjustRightInd w:val="0"/>
              <w:spacing w:before="40" w:after="120" w:line="220" w:lineRule="exact"/>
              <w:ind w:right="113"/>
              <w:rPr>
                <w:rFonts w:eastAsia="Calibri"/>
                <w:szCs w:val="18"/>
                <w:lang w:val="de-DE"/>
              </w:rPr>
            </w:pPr>
          </w:p>
        </w:tc>
        <w:tc>
          <w:tcPr>
            <w:tcW w:w="701" w:type="dxa"/>
            <w:tcBorders>
              <w:top w:val="single" w:sz="4" w:space="0" w:color="auto"/>
              <w:bottom w:val="single" w:sz="4" w:space="0" w:color="auto"/>
            </w:tcBorders>
            <w:shd w:val="clear" w:color="auto" w:fill="auto"/>
          </w:tcPr>
          <w:p w14:paraId="54BE6216" w14:textId="77777777" w:rsidR="00B65F3A" w:rsidRPr="000974A4" w:rsidRDefault="00B65F3A" w:rsidP="00B65F3A">
            <w:pPr>
              <w:suppressAutoHyphens w:val="0"/>
              <w:kinsoku w:val="0"/>
              <w:overflowPunct w:val="0"/>
              <w:autoSpaceDE w:val="0"/>
              <w:autoSpaceDN w:val="0"/>
              <w:adjustRightInd w:val="0"/>
              <w:spacing w:before="40" w:after="120" w:line="220" w:lineRule="exact"/>
              <w:ind w:right="113"/>
              <w:rPr>
                <w:rFonts w:eastAsia="Calibri"/>
                <w:szCs w:val="18"/>
                <w:lang w:val="de-DE"/>
              </w:rPr>
            </w:pPr>
          </w:p>
        </w:tc>
      </w:tr>
      <w:tr w:rsidR="00B65F3A" w:rsidRPr="000974A4" w14:paraId="3453C6DD" w14:textId="77777777" w:rsidTr="00B65F3A">
        <w:trPr>
          <w:trHeight w:val="57"/>
        </w:trPr>
        <w:tc>
          <w:tcPr>
            <w:tcW w:w="591" w:type="dxa"/>
            <w:gridSpan w:val="2"/>
            <w:vMerge w:val="restart"/>
            <w:tcBorders>
              <w:top w:val="single" w:sz="4" w:space="0" w:color="auto"/>
              <w:bottom w:val="single" w:sz="4" w:space="0" w:color="auto"/>
            </w:tcBorders>
            <w:shd w:val="clear" w:color="auto" w:fill="auto"/>
          </w:tcPr>
          <w:p w14:paraId="0F0ED581" w14:textId="77777777" w:rsidR="00B65F3A" w:rsidRPr="000974A4" w:rsidRDefault="00B65F3A" w:rsidP="00B65F3A">
            <w:pPr>
              <w:suppressAutoHyphens w:val="0"/>
              <w:kinsoku w:val="0"/>
              <w:overflowPunct w:val="0"/>
              <w:autoSpaceDE w:val="0"/>
              <w:autoSpaceDN w:val="0"/>
              <w:adjustRightInd w:val="0"/>
              <w:spacing w:before="40" w:after="120" w:line="220" w:lineRule="exact"/>
              <w:ind w:right="113"/>
              <w:rPr>
                <w:rFonts w:eastAsia="Calibri"/>
                <w:b/>
                <w:szCs w:val="18"/>
                <w:lang w:val="de-DE"/>
              </w:rPr>
            </w:pPr>
            <w:r w:rsidRPr="000974A4">
              <w:rPr>
                <w:rFonts w:eastAsia="Calibri"/>
                <w:b/>
                <w:szCs w:val="18"/>
                <w:lang w:val="de-DE"/>
              </w:rPr>
              <w:t>4.3</w:t>
            </w:r>
          </w:p>
        </w:tc>
        <w:tc>
          <w:tcPr>
            <w:tcW w:w="4437" w:type="dxa"/>
            <w:tcBorders>
              <w:top w:val="single" w:sz="4" w:space="0" w:color="auto"/>
              <w:bottom w:val="single" w:sz="4" w:space="0" w:color="auto"/>
            </w:tcBorders>
            <w:shd w:val="clear" w:color="auto" w:fill="auto"/>
          </w:tcPr>
          <w:p w14:paraId="47218224" w14:textId="77777777" w:rsidR="00B65F3A" w:rsidRPr="000974A4" w:rsidRDefault="00B65F3A" w:rsidP="00B65F3A">
            <w:pPr>
              <w:suppressAutoHyphens w:val="0"/>
              <w:kinsoku w:val="0"/>
              <w:overflowPunct w:val="0"/>
              <w:autoSpaceDE w:val="0"/>
              <w:autoSpaceDN w:val="0"/>
              <w:adjustRightInd w:val="0"/>
              <w:spacing w:before="40" w:after="120" w:line="220" w:lineRule="exact"/>
              <w:ind w:right="113"/>
              <w:rPr>
                <w:rFonts w:eastAsia="Calibri"/>
                <w:szCs w:val="18"/>
                <w:lang w:val="de-DE"/>
              </w:rPr>
            </w:pPr>
            <w:r w:rsidRPr="000974A4">
              <w:rPr>
                <w:rFonts w:eastAsia="Calibri"/>
                <w:bCs/>
                <w:szCs w:val="18"/>
                <w:u w:color="000000"/>
                <w:lang w:val="de-DE"/>
              </w:rPr>
              <w:t>Stoffe und Gegenstände der Klasse 4.3 Verpackungsgruppe I</w:t>
            </w:r>
          </w:p>
        </w:tc>
        <w:tc>
          <w:tcPr>
            <w:tcW w:w="820" w:type="dxa"/>
            <w:tcBorders>
              <w:top w:val="single" w:sz="4" w:space="0" w:color="auto"/>
              <w:bottom w:val="single" w:sz="4" w:space="0" w:color="auto"/>
            </w:tcBorders>
            <w:shd w:val="clear" w:color="auto" w:fill="auto"/>
          </w:tcPr>
          <w:p w14:paraId="6B8A7578" w14:textId="77777777" w:rsidR="00B65F3A" w:rsidRPr="000974A4" w:rsidRDefault="00B65F3A" w:rsidP="00B65F3A">
            <w:pPr>
              <w:suppressAutoHyphens w:val="0"/>
              <w:kinsoku w:val="0"/>
              <w:overflowPunct w:val="0"/>
              <w:autoSpaceDE w:val="0"/>
              <w:autoSpaceDN w:val="0"/>
              <w:adjustRightInd w:val="0"/>
              <w:spacing w:before="40" w:after="120" w:line="220" w:lineRule="exact"/>
              <w:ind w:right="113"/>
              <w:rPr>
                <w:rFonts w:eastAsia="Calibri"/>
                <w:szCs w:val="18"/>
                <w:lang w:val="de-DE"/>
              </w:rPr>
            </w:pPr>
          </w:p>
        </w:tc>
        <w:tc>
          <w:tcPr>
            <w:tcW w:w="821" w:type="dxa"/>
            <w:tcBorders>
              <w:top w:val="single" w:sz="4" w:space="0" w:color="auto"/>
              <w:bottom w:val="single" w:sz="4" w:space="0" w:color="auto"/>
            </w:tcBorders>
            <w:shd w:val="clear" w:color="auto" w:fill="auto"/>
          </w:tcPr>
          <w:p w14:paraId="39C966FE" w14:textId="77777777" w:rsidR="00B65F3A" w:rsidRPr="000974A4" w:rsidRDefault="00B65F3A" w:rsidP="00B65F3A">
            <w:pPr>
              <w:suppressAutoHyphens w:val="0"/>
              <w:kinsoku w:val="0"/>
              <w:overflowPunct w:val="0"/>
              <w:autoSpaceDE w:val="0"/>
              <w:autoSpaceDN w:val="0"/>
              <w:adjustRightInd w:val="0"/>
              <w:spacing w:before="40" w:after="120" w:line="220" w:lineRule="exact"/>
              <w:ind w:right="113"/>
              <w:rPr>
                <w:rFonts w:eastAsia="Calibri"/>
                <w:szCs w:val="18"/>
                <w:lang w:val="de-DE"/>
              </w:rPr>
            </w:pPr>
            <w:r w:rsidRPr="000974A4">
              <w:rPr>
                <w:rFonts w:eastAsia="Calibri"/>
                <w:szCs w:val="18"/>
                <w:lang w:val="de-DE"/>
              </w:rPr>
              <w:t>300</w:t>
            </w:r>
          </w:p>
        </w:tc>
        <w:tc>
          <w:tcPr>
            <w:tcW w:w="701" w:type="dxa"/>
            <w:tcBorders>
              <w:top w:val="single" w:sz="4" w:space="0" w:color="auto"/>
              <w:bottom w:val="single" w:sz="4" w:space="0" w:color="auto"/>
            </w:tcBorders>
            <w:shd w:val="clear" w:color="auto" w:fill="auto"/>
          </w:tcPr>
          <w:p w14:paraId="7E80F569" w14:textId="77777777" w:rsidR="00B65F3A" w:rsidRPr="000974A4" w:rsidRDefault="00B65F3A" w:rsidP="00B65F3A">
            <w:pPr>
              <w:suppressAutoHyphens w:val="0"/>
              <w:kinsoku w:val="0"/>
              <w:overflowPunct w:val="0"/>
              <w:autoSpaceDE w:val="0"/>
              <w:autoSpaceDN w:val="0"/>
              <w:adjustRightInd w:val="0"/>
              <w:spacing w:before="40" w:after="120" w:line="220" w:lineRule="exact"/>
              <w:ind w:right="113"/>
              <w:rPr>
                <w:rFonts w:eastAsia="Calibri"/>
                <w:szCs w:val="18"/>
                <w:lang w:val="de-DE"/>
              </w:rPr>
            </w:pPr>
          </w:p>
        </w:tc>
      </w:tr>
      <w:tr w:rsidR="00B65F3A" w:rsidRPr="000974A4" w14:paraId="2B741942" w14:textId="77777777" w:rsidTr="00B65F3A">
        <w:trPr>
          <w:trHeight w:val="57"/>
        </w:trPr>
        <w:tc>
          <w:tcPr>
            <w:tcW w:w="591" w:type="dxa"/>
            <w:gridSpan w:val="2"/>
            <w:vMerge/>
            <w:tcBorders>
              <w:top w:val="single" w:sz="4" w:space="0" w:color="auto"/>
              <w:bottom w:val="single" w:sz="4" w:space="0" w:color="auto"/>
            </w:tcBorders>
            <w:shd w:val="clear" w:color="auto" w:fill="auto"/>
          </w:tcPr>
          <w:p w14:paraId="0D00E0BC" w14:textId="77777777" w:rsidR="00B65F3A" w:rsidRPr="000974A4" w:rsidRDefault="00B65F3A" w:rsidP="00B65F3A">
            <w:pPr>
              <w:suppressAutoHyphens w:val="0"/>
              <w:kinsoku w:val="0"/>
              <w:overflowPunct w:val="0"/>
              <w:autoSpaceDE w:val="0"/>
              <w:autoSpaceDN w:val="0"/>
              <w:adjustRightInd w:val="0"/>
              <w:spacing w:before="40" w:after="120" w:line="220" w:lineRule="exact"/>
              <w:ind w:right="113"/>
              <w:rPr>
                <w:rFonts w:eastAsia="Calibri"/>
                <w:b/>
                <w:szCs w:val="18"/>
                <w:lang w:val="de-DE"/>
              </w:rPr>
            </w:pPr>
          </w:p>
        </w:tc>
        <w:tc>
          <w:tcPr>
            <w:tcW w:w="4437" w:type="dxa"/>
            <w:tcBorders>
              <w:top w:val="single" w:sz="4" w:space="0" w:color="auto"/>
              <w:bottom w:val="single" w:sz="4" w:space="0" w:color="auto"/>
            </w:tcBorders>
            <w:shd w:val="clear" w:color="auto" w:fill="auto"/>
          </w:tcPr>
          <w:p w14:paraId="75BA349B" w14:textId="77777777" w:rsidR="00B65F3A" w:rsidRPr="000974A4" w:rsidRDefault="00B65F3A" w:rsidP="00B65F3A">
            <w:pPr>
              <w:suppressAutoHyphens w:val="0"/>
              <w:kinsoku w:val="0"/>
              <w:overflowPunct w:val="0"/>
              <w:autoSpaceDE w:val="0"/>
              <w:autoSpaceDN w:val="0"/>
              <w:adjustRightInd w:val="0"/>
              <w:spacing w:before="40" w:after="120" w:line="220" w:lineRule="exact"/>
              <w:ind w:right="113"/>
              <w:rPr>
                <w:rFonts w:eastAsia="Calibri"/>
                <w:szCs w:val="18"/>
                <w:lang w:val="de-DE"/>
              </w:rPr>
            </w:pPr>
            <w:r w:rsidRPr="000974A4">
              <w:rPr>
                <w:rFonts w:eastAsia="Calibri"/>
                <w:szCs w:val="18"/>
                <w:lang w:val="de-DE"/>
              </w:rPr>
              <w:t xml:space="preserve">sonstige Stoffe </w:t>
            </w:r>
            <w:r w:rsidRPr="000974A4">
              <w:rPr>
                <w:rFonts w:eastAsia="Arial Unicode MS"/>
                <w:szCs w:val="18"/>
                <w:bdr w:val="nil"/>
                <w:lang w:val="de-DE" w:eastAsia="nl-NL"/>
              </w:rPr>
              <w:t xml:space="preserve">und Gegenstände </w:t>
            </w:r>
            <w:r w:rsidRPr="000974A4">
              <w:rPr>
                <w:rFonts w:eastAsia="Calibri"/>
                <w:szCs w:val="18"/>
                <w:lang w:val="de-DE"/>
              </w:rPr>
              <w:t>der Klasse 4.3</w:t>
            </w:r>
          </w:p>
        </w:tc>
        <w:tc>
          <w:tcPr>
            <w:tcW w:w="820" w:type="dxa"/>
            <w:tcBorders>
              <w:top w:val="single" w:sz="4" w:space="0" w:color="auto"/>
              <w:bottom w:val="single" w:sz="4" w:space="0" w:color="auto"/>
            </w:tcBorders>
            <w:shd w:val="clear" w:color="auto" w:fill="auto"/>
          </w:tcPr>
          <w:p w14:paraId="038113E0" w14:textId="77777777" w:rsidR="00B65F3A" w:rsidRPr="000974A4" w:rsidRDefault="00B65F3A" w:rsidP="00B65F3A">
            <w:pPr>
              <w:suppressAutoHyphens w:val="0"/>
              <w:kinsoku w:val="0"/>
              <w:overflowPunct w:val="0"/>
              <w:autoSpaceDE w:val="0"/>
              <w:autoSpaceDN w:val="0"/>
              <w:adjustRightInd w:val="0"/>
              <w:spacing w:before="40" w:after="120" w:line="220" w:lineRule="exact"/>
              <w:ind w:right="113"/>
              <w:rPr>
                <w:rFonts w:eastAsia="Calibri"/>
                <w:szCs w:val="18"/>
                <w:lang w:val="de-DE"/>
              </w:rPr>
            </w:pPr>
            <w:r w:rsidRPr="000974A4">
              <w:rPr>
                <w:rFonts w:eastAsia="Calibri"/>
                <w:szCs w:val="18"/>
                <w:lang w:val="de-DE"/>
              </w:rPr>
              <w:t>3000</w:t>
            </w:r>
          </w:p>
        </w:tc>
        <w:tc>
          <w:tcPr>
            <w:tcW w:w="821" w:type="dxa"/>
            <w:tcBorders>
              <w:top w:val="single" w:sz="4" w:space="0" w:color="auto"/>
              <w:bottom w:val="single" w:sz="4" w:space="0" w:color="auto"/>
            </w:tcBorders>
            <w:shd w:val="clear" w:color="auto" w:fill="auto"/>
          </w:tcPr>
          <w:p w14:paraId="09E42BB4" w14:textId="77777777" w:rsidR="00B65F3A" w:rsidRPr="000974A4" w:rsidRDefault="00B65F3A" w:rsidP="00B65F3A">
            <w:pPr>
              <w:suppressAutoHyphens w:val="0"/>
              <w:kinsoku w:val="0"/>
              <w:overflowPunct w:val="0"/>
              <w:autoSpaceDE w:val="0"/>
              <w:autoSpaceDN w:val="0"/>
              <w:adjustRightInd w:val="0"/>
              <w:spacing w:before="40" w:after="120" w:line="220" w:lineRule="exact"/>
              <w:ind w:right="113"/>
              <w:rPr>
                <w:rFonts w:eastAsia="Calibri"/>
                <w:szCs w:val="18"/>
                <w:lang w:val="de-DE"/>
              </w:rPr>
            </w:pPr>
          </w:p>
        </w:tc>
        <w:tc>
          <w:tcPr>
            <w:tcW w:w="701" w:type="dxa"/>
            <w:tcBorders>
              <w:top w:val="single" w:sz="4" w:space="0" w:color="auto"/>
              <w:bottom w:val="single" w:sz="4" w:space="0" w:color="auto"/>
            </w:tcBorders>
            <w:shd w:val="clear" w:color="auto" w:fill="auto"/>
          </w:tcPr>
          <w:p w14:paraId="116D5C21" w14:textId="77777777" w:rsidR="00B65F3A" w:rsidRPr="000974A4" w:rsidRDefault="00B65F3A" w:rsidP="00B65F3A">
            <w:pPr>
              <w:suppressAutoHyphens w:val="0"/>
              <w:kinsoku w:val="0"/>
              <w:overflowPunct w:val="0"/>
              <w:autoSpaceDE w:val="0"/>
              <w:autoSpaceDN w:val="0"/>
              <w:adjustRightInd w:val="0"/>
              <w:spacing w:before="40" w:after="120" w:line="220" w:lineRule="exact"/>
              <w:ind w:right="113"/>
              <w:rPr>
                <w:rFonts w:eastAsia="Calibri"/>
                <w:szCs w:val="18"/>
                <w:lang w:val="de-DE"/>
              </w:rPr>
            </w:pPr>
          </w:p>
        </w:tc>
      </w:tr>
      <w:tr w:rsidR="00B65F3A" w:rsidRPr="000974A4" w14:paraId="1F9A7CEF" w14:textId="77777777" w:rsidTr="00B65F3A">
        <w:trPr>
          <w:trHeight w:val="57"/>
        </w:trPr>
        <w:tc>
          <w:tcPr>
            <w:tcW w:w="591" w:type="dxa"/>
            <w:gridSpan w:val="2"/>
            <w:vMerge w:val="restart"/>
            <w:tcBorders>
              <w:top w:val="single" w:sz="4" w:space="0" w:color="auto"/>
              <w:bottom w:val="single" w:sz="4" w:space="0" w:color="auto"/>
            </w:tcBorders>
            <w:shd w:val="clear" w:color="auto" w:fill="auto"/>
          </w:tcPr>
          <w:p w14:paraId="1FF9C674" w14:textId="77777777" w:rsidR="00B65F3A" w:rsidRPr="000974A4" w:rsidRDefault="00B65F3A" w:rsidP="00B65F3A">
            <w:pPr>
              <w:suppressAutoHyphens w:val="0"/>
              <w:kinsoku w:val="0"/>
              <w:overflowPunct w:val="0"/>
              <w:autoSpaceDE w:val="0"/>
              <w:autoSpaceDN w:val="0"/>
              <w:adjustRightInd w:val="0"/>
              <w:spacing w:before="40" w:after="120" w:line="220" w:lineRule="exact"/>
              <w:ind w:right="113"/>
              <w:rPr>
                <w:rFonts w:eastAsia="Calibri"/>
                <w:b/>
                <w:szCs w:val="18"/>
                <w:lang w:val="de-DE"/>
              </w:rPr>
            </w:pPr>
            <w:r w:rsidRPr="000974A4">
              <w:rPr>
                <w:rFonts w:eastAsia="Calibri"/>
                <w:b/>
                <w:szCs w:val="18"/>
                <w:lang w:val="de-DE"/>
              </w:rPr>
              <w:t>5.1</w:t>
            </w:r>
          </w:p>
        </w:tc>
        <w:tc>
          <w:tcPr>
            <w:tcW w:w="4437" w:type="dxa"/>
            <w:tcBorders>
              <w:top w:val="single" w:sz="4" w:space="0" w:color="auto"/>
              <w:bottom w:val="single" w:sz="4" w:space="0" w:color="auto"/>
            </w:tcBorders>
            <w:shd w:val="clear" w:color="auto" w:fill="auto"/>
          </w:tcPr>
          <w:p w14:paraId="4C3F22F0" w14:textId="77777777" w:rsidR="00B65F3A" w:rsidRPr="000974A4" w:rsidRDefault="00B65F3A" w:rsidP="00B65F3A">
            <w:pPr>
              <w:suppressAutoHyphens w:val="0"/>
              <w:kinsoku w:val="0"/>
              <w:overflowPunct w:val="0"/>
              <w:autoSpaceDE w:val="0"/>
              <w:autoSpaceDN w:val="0"/>
              <w:adjustRightInd w:val="0"/>
              <w:spacing w:before="40" w:after="120" w:line="220" w:lineRule="exact"/>
              <w:ind w:right="113"/>
              <w:rPr>
                <w:rFonts w:eastAsia="Calibri"/>
                <w:szCs w:val="18"/>
                <w:lang w:val="de-DE"/>
              </w:rPr>
            </w:pPr>
            <w:r w:rsidRPr="000974A4">
              <w:rPr>
                <w:rFonts w:eastAsia="Calibri"/>
                <w:szCs w:val="18"/>
                <w:lang w:val="de-DE"/>
              </w:rPr>
              <w:t>Stoffe und Gegenstände der Klasse 5.1 Verpackungsgruppe I</w:t>
            </w:r>
          </w:p>
        </w:tc>
        <w:tc>
          <w:tcPr>
            <w:tcW w:w="820" w:type="dxa"/>
            <w:tcBorders>
              <w:top w:val="single" w:sz="4" w:space="0" w:color="auto"/>
              <w:bottom w:val="single" w:sz="4" w:space="0" w:color="auto"/>
            </w:tcBorders>
            <w:shd w:val="clear" w:color="auto" w:fill="auto"/>
          </w:tcPr>
          <w:p w14:paraId="2D2C2003" w14:textId="77777777" w:rsidR="00B65F3A" w:rsidRPr="000974A4" w:rsidRDefault="00B65F3A" w:rsidP="00B65F3A">
            <w:pPr>
              <w:suppressAutoHyphens w:val="0"/>
              <w:kinsoku w:val="0"/>
              <w:overflowPunct w:val="0"/>
              <w:autoSpaceDE w:val="0"/>
              <w:autoSpaceDN w:val="0"/>
              <w:adjustRightInd w:val="0"/>
              <w:spacing w:before="40" w:after="120" w:line="220" w:lineRule="exact"/>
              <w:ind w:right="113"/>
              <w:rPr>
                <w:rFonts w:eastAsia="Calibri"/>
                <w:szCs w:val="18"/>
                <w:lang w:val="de-DE"/>
              </w:rPr>
            </w:pPr>
          </w:p>
        </w:tc>
        <w:tc>
          <w:tcPr>
            <w:tcW w:w="821" w:type="dxa"/>
            <w:tcBorders>
              <w:top w:val="single" w:sz="4" w:space="0" w:color="auto"/>
              <w:bottom w:val="single" w:sz="4" w:space="0" w:color="auto"/>
            </w:tcBorders>
            <w:shd w:val="clear" w:color="auto" w:fill="auto"/>
          </w:tcPr>
          <w:p w14:paraId="10D4F03B" w14:textId="77777777" w:rsidR="00B65F3A" w:rsidRPr="000974A4" w:rsidRDefault="00B65F3A" w:rsidP="00B65F3A">
            <w:pPr>
              <w:suppressAutoHyphens w:val="0"/>
              <w:kinsoku w:val="0"/>
              <w:overflowPunct w:val="0"/>
              <w:autoSpaceDE w:val="0"/>
              <w:autoSpaceDN w:val="0"/>
              <w:adjustRightInd w:val="0"/>
              <w:spacing w:before="40" w:after="120" w:line="220" w:lineRule="exact"/>
              <w:ind w:right="113"/>
              <w:rPr>
                <w:rFonts w:eastAsia="Calibri"/>
                <w:szCs w:val="18"/>
                <w:lang w:val="de-DE"/>
              </w:rPr>
            </w:pPr>
            <w:r w:rsidRPr="000974A4">
              <w:rPr>
                <w:rFonts w:eastAsia="Calibri"/>
                <w:szCs w:val="18"/>
                <w:lang w:val="de-DE"/>
              </w:rPr>
              <w:t>300</w:t>
            </w:r>
          </w:p>
        </w:tc>
        <w:tc>
          <w:tcPr>
            <w:tcW w:w="701" w:type="dxa"/>
            <w:tcBorders>
              <w:top w:val="single" w:sz="4" w:space="0" w:color="auto"/>
              <w:bottom w:val="single" w:sz="4" w:space="0" w:color="auto"/>
            </w:tcBorders>
            <w:shd w:val="clear" w:color="auto" w:fill="auto"/>
          </w:tcPr>
          <w:p w14:paraId="5410B271" w14:textId="77777777" w:rsidR="00B65F3A" w:rsidRPr="000974A4" w:rsidRDefault="00B65F3A" w:rsidP="00B65F3A">
            <w:pPr>
              <w:suppressAutoHyphens w:val="0"/>
              <w:kinsoku w:val="0"/>
              <w:overflowPunct w:val="0"/>
              <w:autoSpaceDE w:val="0"/>
              <w:autoSpaceDN w:val="0"/>
              <w:adjustRightInd w:val="0"/>
              <w:spacing w:before="40" w:after="120" w:line="220" w:lineRule="exact"/>
              <w:ind w:right="113"/>
              <w:rPr>
                <w:rFonts w:eastAsia="Calibri"/>
                <w:szCs w:val="18"/>
                <w:lang w:val="de-DE"/>
              </w:rPr>
            </w:pPr>
          </w:p>
        </w:tc>
      </w:tr>
      <w:tr w:rsidR="00B65F3A" w:rsidRPr="000974A4" w14:paraId="0C921536" w14:textId="77777777" w:rsidTr="00B65F3A">
        <w:trPr>
          <w:trHeight w:val="57"/>
        </w:trPr>
        <w:tc>
          <w:tcPr>
            <w:tcW w:w="591" w:type="dxa"/>
            <w:gridSpan w:val="2"/>
            <w:vMerge/>
            <w:tcBorders>
              <w:top w:val="single" w:sz="4" w:space="0" w:color="auto"/>
              <w:bottom w:val="single" w:sz="4" w:space="0" w:color="auto"/>
            </w:tcBorders>
            <w:shd w:val="clear" w:color="auto" w:fill="auto"/>
          </w:tcPr>
          <w:p w14:paraId="04B7952D" w14:textId="77777777" w:rsidR="00B65F3A" w:rsidRPr="000974A4" w:rsidRDefault="00B65F3A" w:rsidP="00B65F3A">
            <w:pPr>
              <w:suppressAutoHyphens w:val="0"/>
              <w:kinsoku w:val="0"/>
              <w:overflowPunct w:val="0"/>
              <w:autoSpaceDE w:val="0"/>
              <w:autoSpaceDN w:val="0"/>
              <w:adjustRightInd w:val="0"/>
              <w:spacing w:before="40" w:after="120" w:line="220" w:lineRule="exact"/>
              <w:ind w:right="113"/>
              <w:rPr>
                <w:rFonts w:eastAsia="Calibri"/>
                <w:b/>
                <w:szCs w:val="18"/>
                <w:lang w:val="de-DE"/>
              </w:rPr>
            </w:pPr>
          </w:p>
        </w:tc>
        <w:tc>
          <w:tcPr>
            <w:tcW w:w="4437" w:type="dxa"/>
            <w:tcBorders>
              <w:top w:val="single" w:sz="4" w:space="0" w:color="auto"/>
              <w:bottom w:val="single" w:sz="4" w:space="0" w:color="auto"/>
            </w:tcBorders>
            <w:shd w:val="clear" w:color="auto" w:fill="auto"/>
          </w:tcPr>
          <w:p w14:paraId="11E2833E" w14:textId="77777777" w:rsidR="00B65F3A" w:rsidRPr="000974A4" w:rsidRDefault="00B65F3A" w:rsidP="00B65F3A">
            <w:pPr>
              <w:suppressAutoHyphens w:val="0"/>
              <w:kinsoku w:val="0"/>
              <w:overflowPunct w:val="0"/>
              <w:autoSpaceDE w:val="0"/>
              <w:autoSpaceDN w:val="0"/>
              <w:adjustRightInd w:val="0"/>
              <w:spacing w:before="40" w:after="120" w:line="220" w:lineRule="exact"/>
              <w:ind w:right="113"/>
              <w:rPr>
                <w:rFonts w:eastAsia="Calibri"/>
                <w:szCs w:val="18"/>
                <w:lang w:val="de-DE"/>
              </w:rPr>
            </w:pPr>
            <w:r w:rsidRPr="000974A4">
              <w:rPr>
                <w:rFonts w:eastAsia="Calibri"/>
                <w:szCs w:val="18"/>
                <w:lang w:val="de-DE"/>
              </w:rPr>
              <w:t xml:space="preserve">sonstige Stoffe und Gegenstände der Klasse 5.1 </w:t>
            </w:r>
          </w:p>
        </w:tc>
        <w:tc>
          <w:tcPr>
            <w:tcW w:w="820" w:type="dxa"/>
            <w:tcBorders>
              <w:top w:val="single" w:sz="4" w:space="0" w:color="auto"/>
              <w:bottom w:val="single" w:sz="4" w:space="0" w:color="auto"/>
            </w:tcBorders>
            <w:shd w:val="clear" w:color="auto" w:fill="auto"/>
          </w:tcPr>
          <w:p w14:paraId="39D1953A" w14:textId="77777777" w:rsidR="00B65F3A" w:rsidRPr="000974A4" w:rsidRDefault="00B65F3A" w:rsidP="00B65F3A">
            <w:pPr>
              <w:suppressAutoHyphens w:val="0"/>
              <w:kinsoku w:val="0"/>
              <w:overflowPunct w:val="0"/>
              <w:autoSpaceDE w:val="0"/>
              <w:autoSpaceDN w:val="0"/>
              <w:adjustRightInd w:val="0"/>
              <w:spacing w:before="40" w:after="120" w:line="220" w:lineRule="exact"/>
              <w:ind w:right="113"/>
              <w:rPr>
                <w:rFonts w:eastAsia="Calibri"/>
                <w:szCs w:val="18"/>
                <w:lang w:val="de-DE"/>
              </w:rPr>
            </w:pPr>
            <w:r w:rsidRPr="000974A4">
              <w:rPr>
                <w:rFonts w:eastAsia="Calibri"/>
                <w:szCs w:val="18"/>
                <w:lang w:val="de-DE"/>
              </w:rPr>
              <w:t>3000</w:t>
            </w:r>
          </w:p>
        </w:tc>
        <w:tc>
          <w:tcPr>
            <w:tcW w:w="821" w:type="dxa"/>
            <w:tcBorders>
              <w:top w:val="single" w:sz="4" w:space="0" w:color="auto"/>
              <w:bottom w:val="single" w:sz="4" w:space="0" w:color="auto"/>
            </w:tcBorders>
            <w:shd w:val="clear" w:color="auto" w:fill="auto"/>
          </w:tcPr>
          <w:p w14:paraId="38569249" w14:textId="77777777" w:rsidR="00B65F3A" w:rsidRPr="000974A4" w:rsidRDefault="00B65F3A" w:rsidP="00B65F3A">
            <w:pPr>
              <w:suppressAutoHyphens w:val="0"/>
              <w:kinsoku w:val="0"/>
              <w:overflowPunct w:val="0"/>
              <w:autoSpaceDE w:val="0"/>
              <w:autoSpaceDN w:val="0"/>
              <w:adjustRightInd w:val="0"/>
              <w:spacing w:before="40" w:after="120" w:line="220" w:lineRule="exact"/>
              <w:ind w:right="113"/>
              <w:rPr>
                <w:rFonts w:eastAsia="Calibri"/>
                <w:szCs w:val="18"/>
                <w:lang w:val="de-DE"/>
              </w:rPr>
            </w:pPr>
          </w:p>
        </w:tc>
        <w:tc>
          <w:tcPr>
            <w:tcW w:w="701" w:type="dxa"/>
            <w:tcBorders>
              <w:top w:val="single" w:sz="4" w:space="0" w:color="auto"/>
              <w:bottom w:val="single" w:sz="4" w:space="0" w:color="auto"/>
            </w:tcBorders>
            <w:shd w:val="clear" w:color="auto" w:fill="auto"/>
          </w:tcPr>
          <w:p w14:paraId="6C36C78B" w14:textId="77777777" w:rsidR="00B65F3A" w:rsidRPr="000974A4" w:rsidRDefault="00B65F3A" w:rsidP="00B65F3A">
            <w:pPr>
              <w:suppressAutoHyphens w:val="0"/>
              <w:kinsoku w:val="0"/>
              <w:overflowPunct w:val="0"/>
              <w:autoSpaceDE w:val="0"/>
              <w:autoSpaceDN w:val="0"/>
              <w:adjustRightInd w:val="0"/>
              <w:spacing w:before="40" w:after="120" w:line="220" w:lineRule="exact"/>
              <w:ind w:right="113"/>
              <w:rPr>
                <w:rFonts w:eastAsia="Calibri"/>
                <w:szCs w:val="18"/>
                <w:lang w:val="de-DE"/>
              </w:rPr>
            </w:pPr>
          </w:p>
        </w:tc>
      </w:tr>
      <w:tr w:rsidR="00B65F3A" w:rsidRPr="000974A4" w14:paraId="70038336" w14:textId="77777777" w:rsidTr="00B65F3A">
        <w:trPr>
          <w:trHeight w:val="57"/>
        </w:trPr>
        <w:tc>
          <w:tcPr>
            <w:tcW w:w="591" w:type="dxa"/>
            <w:gridSpan w:val="2"/>
            <w:vMerge w:val="restart"/>
            <w:tcBorders>
              <w:top w:val="single" w:sz="4" w:space="0" w:color="auto"/>
              <w:bottom w:val="single" w:sz="4" w:space="0" w:color="auto"/>
            </w:tcBorders>
            <w:shd w:val="clear" w:color="auto" w:fill="auto"/>
          </w:tcPr>
          <w:p w14:paraId="5B4479E1" w14:textId="77777777" w:rsidR="00B65F3A" w:rsidRPr="000974A4" w:rsidRDefault="00B65F3A" w:rsidP="00B65F3A">
            <w:pPr>
              <w:suppressAutoHyphens w:val="0"/>
              <w:kinsoku w:val="0"/>
              <w:overflowPunct w:val="0"/>
              <w:autoSpaceDE w:val="0"/>
              <w:autoSpaceDN w:val="0"/>
              <w:adjustRightInd w:val="0"/>
              <w:spacing w:before="40" w:after="120" w:line="220" w:lineRule="exact"/>
              <w:ind w:right="113"/>
              <w:rPr>
                <w:rFonts w:eastAsia="Calibri"/>
                <w:b/>
                <w:szCs w:val="18"/>
                <w:lang w:val="de-DE"/>
              </w:rPr>
            </w:pPr>
            <w:r w:rsidRPr="000974A4">
              <w:rPr>
                <w:rFonts w:eastAsia="Calibri"/>
                <w:b/>
                <w:szCs w:val="18"/>
                <w:lang w:val="de-DE"/>
              </w:rPr>
              <w:lastRenderedPageBreak/>
              <w:t>5.2</w:t>
            </w:r>
          </w:p>
        </w:tc>
        <w:tc>
          <w:tcPr>
            <w:tcW w:w="4437" w:type="dxa"/>
            <w:tcBorders>
              <w:top w:val="single" w:sz="4" w:space="0" w:color="auto"/>
              <w:bottom w:val="single" w:sz="4" w:space="0" w:color="auto"/>
            </w:tcBorders>
            <w:shd w:val="clear" w:color="auto" w:fill="auto"/>
          </w:tcPr>
          <w:p w14:paraId="6D048E98" w14:textId="77777777" w:rsidR="00B65F3A" w:rsidRPr="000974A4" w:rsidRDefault="00B65F3A" w:rsidP="00B65F3A">
            <w:pPr>
              <w:suppressAutoHyphens w:val="0"/>
              <w:kinsoku w:val="0"/>
              <w:overflowPunct w:val="0"/>
              <w:autoSpaceDE w:val="0"/>
              <w:autoSpaceDN w:val="0"/>
              <w:adjustRightInd w:val="0"/>
              <w:spacing w:before="40" w:after="120" w:line="220" w:lineRule="exact"/>
              <w:ind w:right="113"/>
              <w:rPr>
                <w:rFonts w:eastAsia="Calibri"/>
                <w:szCs w:val="18"/>
                <w:lang w:val="de-DE"/>
              </w:rPr>
            </w:pPr>
            <w:r w:rsidRPr="000974A4">
              <w:rPr>
                <w:rFonts w:eastAsia="Calibri"/>
                <w:szCs w:val="18"/>
                <w:lang w:val="de-DE"/>
              </w:rPr>
              <w:t>Stoffe und Gegenstände der Klasse 5.2, für die in Kapitel 3.2 Tabelle A Spalte (5) ein Gefahrzettel nach Muster 1 vorgeschrieben ist;</w:t>
            </w:r>
          </w:p>
        </w:tc>
        <w:tc>
          <w:tcPr>
            <w:tcW w:w="820" w:type="dxa"/>
            <w:tcBorders>
              <w:top w:val="single" w:sz="4" w:space="0" w:color="auto"/>
              <w:bottom w:val="single" w:sz="4" w:space="0" w:color="auto"/>
            </w:tcBorders>
            <w:shd w:val="clear" w:color="auto" w:fill="auto"/>
          </w:tcPr>
          <w:p w14:paraId="62DF3F99" w14:textId="77777777" w:rsidR="00B65F3A" w:rsidRPr="000974A4" w:rsidRDefault="00B65F3A" w:rsidP="00B65F3A">
            <w:pPr>
              <w:suppressAutoHyphens w:val="0"/>
              <w:kinsoku w:val="0"/>
              <w:overflowPunct w:val="0"/>
              <w:autoSpaceDE w:val="0"/>
              <w:autoSpaceDN w:val="0"/>
              <w:adjustRightInd w:val="0"/>
              <w:spacing w:before="40" w:after="120" w:line="220" w:lineRule="exact"/>
              <w:ind w:right="113"/>
              <w:rPr>
                <w:rFonts w:eastAsia="Calibri"/>
                <w:szCs w:val="18"/>
                <w:lang w:val="de-DE"/>
              </w:rPr>
            </w:pPr>
          </w:p>
        </w:tc>
        <w:tc>
          <w:tcPr>
            <w:tcW w:w="821" w:type="dxa"/>
            <w:tcBorders>
              <w:top w:val="single" w:sz="4" w:space="0" w:color="auto"/>
              <w:bottom w:val="single" w:sz="4" w:space="0" w:color="auto"/>
            </w:tcBorders>
            <w:shd w:val="clear" w:color="auto" w:fill="auto"/>
          </w:tcPr>
          <w:p w14:paraId="2997BD74" w14:textId="77777777" w:rsidR="00B65F3A" w:rsidRPr="000974A4" w:rsidRDefault="00B65F3A" w:rsidP="00B65F3A">
            <w:pPr>
              <w:suppressAutoHyphens w:val="0"/>
              <w:kinsoku w:val="0"/>
              <w:overflowPunct w:val="0"/>
              <w:autoSpaceDE w:val="0"/>
              <w:autoSpaceDN w:val="0"/>
              <w:adjustRightInd w:val="0"/>
              <w:spacing w:before="40" w:after="120" w:line="220" w:lineRule="exact"/>
              <w:ind w:right="113"/>
              <w:rPr>
                <w:rFonts w:eastAsia="Calibri"/>
                <w:szCs w:val="18"/>
                <w:lang w:val="de-DE"/>
              </w:rPr>
            </w:pPr>
          </w:p>
        </w:tc>
        <w:tc>
          <w:tcPr>
            <w:tcW w:w="701" w:type="dxa"/>
            <w:tcBorders>
              <w:top w:val="single" w:sz="4" w:space="0" w:color="auto"/>
              <w:bottom w:val="single" w:sz="4" w:space="0" w:color="auto"/>
            </w:tcBorders>
            <w:shd w:val="clear" w:color="auto" w:fill="auto"/>
          </w:tcPr>
          <w:p w14:paraId="3D4BE20F" w14:textId="77777777" w:rsidR="00B65F3A" w:rsidRPr="000974A4" w:rsidRDefault="00B65F3A" w:rsidP="00B65F3A">
            <w:pPr>
              <w:suppressAutoHyphens w:val="0"/>
              <w:kinsoku w:val="0"/>
              <w:overflowPunct w:val="0"/>
              <w:autoSpaceDE w:val="0"/>
              <w:autoSpaceDN w:val="0"/>
              <w:adjustRightInd w:val="0"/>
              <w:spacing w:before="40" w:after="120" w:line="220" w:lineRule="exact"/>
              <w:ind w:right="113"/>
              <w:rPr>
                <w:rFonts w:eastAsia="Calibri"/>
                <w:szCs w:val="18"/>
                <w:lang w:val="de-DE"/>
              </w:rPr>
            </w:pPr>
          </w:p>
          <w:p w14:paraId="232C27E7" w14:textId="77777777" w:rsidR="00B65F3A" w:rsidRPr="000974A4" w:rsidRDefault="00B65F3A" w:rsidP="00B65F3A">
            <w:pPr>
              <w:suppressAutoHyphens w:val="0"/>
              <w:kinsoku w:val="0"/>
              <w:overflowPunct w:val="0"/>
              <w:autoSpaceDE w:val="0"/>
              <w:autoSpaceDN w:val="0"/>
              <w:adjustRightInd w:val="0"/>
              <w:spacing w:before="40" w:after="120" w:line="220" w:lineRule="exact"/>
              <w:ind w:right="113"/>
              <w:rPr>
                <w:rFonts w:eastAsia="Calibri"/>
                <w:szCs w:val="18"/>
                <w:lang w:val="de-DE"/>
              </w:rPr>
            </w:pPr>
            <w:r w:rsidRPr="000974A4">
              <w:rPr>
                <w:rFonts w:eastAsia="Calibri"/>
                <w:szCs w:val="18"/>
                <w:lang w:val="de-DE"/>
              </w:rPr>
              <w:t>0</w:t>
            </w:r>
          </w:p>
        </w:tc>
      </w:tr>
      <w:tr w:rsidR="00B65F3A" w:rsidRPr="000974A4" w14:paraId="54B663AF" w14:textId="77777777" w:rsidTr="00B65F3A">
        <w:trPr>
          <w:trHeight w:val="57"/>
        </w:trPr>
        <w:tc>
          <w:tcPr>
            <w:tcW w:w="591" w:type="dxa"/>
            <w:gridSpan w:val="2"/>
            <w:vMerge/>
            <w:tcBorders>
              <w:top w:val="single" w:sz="4" w:space="0" w:color="auto"/>
              <w:bottom w:val="single" w:sz="4" w:space="0" w:color="auto"/>
            </w:tcBorders>
            <w:shd w:val="clear" w:color="auto" w:fill="auto"/>
          </w:tcPr>
          <w:p w14:paraId="51CD9498" w14:textId="77777777" w:rsidR="00B65F3A" w:rsidRPr="000974A4" w:rsidRDefault="00B65F3A" w:rsidP="00B65F3A">
            <w:pPr>
              <w:suppressAutoHyphens w:val="0"/>
              <w:kinsoku w:val="0"/>
              <w:overflowPunct w:val="0"/>
              <w:autoSpaceDE w:val="0"/>
              <w:autoSpaceDN w:val="0"/>
              <w:adjustRightInd w:val="0"/>
              <w:spacing w:before="40" w:after="120" w:line="220" w:lineRule="exact"/>
              <w:ind w:right="113"/>
              <w:rPr>
                <w:rFonts w:eastAsia="Calibri"/>
                <w:b/>
                <w:szCs w:val="18"/>
                <w:lang w:val="de-DE"/>
              </w:rPr>
            </w:pPr>
          </w:p>
        </w:tc>
        <w:tc>
          <w:tcPr>
            <w:tcW w:w="4437" w:type="dxa"/>
            <w:tcBorders>
              <w:top w:val="single" w:sz="4" w:space="0" w:color="auto"/>
              <w:bottom w:val="single" w:sz="4" w:space="0" w:color="auto"/>
            </w:tcBorders>
            <w:shd w:val="clear" w:color="auto" w:fill="auto"/>
          </w:tcPr>
          <w:p w14:paraId="56CA6D4C" w14:textId="77777777" w:rsidR="00B65F3A" w:rsidRPr="000974A4" w:rsidRDefault="00B65F3A" w:rsidP="00B65F3A">
            <w:pPr>
              <w:suppressAutoHyphens w:val="0"/>
              <w:kinsoku w:val="0"/>
              <w:overflowPunct w:val="0"/>
              <w:autoSpaceDE w:val="0"/>
              <w:autoSpaceDN w:val="0"/>
              <w:adjustRightInd w:val="0"/>
              <w:spacing w:before="40" w:after="120" w:line="220" w:lineRule="exact"/>
              <w:ind w:right="113"/>
              <w:rPr>
                <w:rFonts w:eastAsia="Calibri"/>
                <w:szCs w:val="18"/>
                <w:lang w:val="de-DE"/>
              </w:rPr>
            </w:pPr>
            <w:r w:rsidRPr="000974A4">
              <w:rPr>
                <w:rFonts w:eastAsia="Calibri"/>
                <w:bCs/>
                <w:szCs w:val="18"/>
                <w:u w:color="000000"/>
                <w:lang w:val="de-DE"/>
              </w:rPr>
              <w:t>sonstige Stoffe und Gegenstände der Klasse 5.2</w:t>
            </w:r>
          </w:p>
        </w:tc>
        <w:tc>
          <w:tcPr>
            <w:tcW w:w="820" w:type="dxa"/>
            <w:tcBorders>
              <w:top w:val="single" w:sz="4" w:space="0" w:color="auto"/>
              <w:bottom w:val="single" w:sz="4" w:space="0" w:color="auto"/>
            </w:tcBorders>
            <w:shd w:val="clear" w:color="auto" w:fill="auto"/>
          </w:tcPr>
          <w:p w14:paraId="2ECFF3E6" w14:textId="77777777" w:rsidR="00B65F3A" w:rsidRPr="000974A4" w:rsidRDefault="00B65F3A" w:rsidP="00B65F3A">
            <w:pPr>
              <w:suppressAutoHyphens w:val="0"/>
              <w:kinsoku w:val="0"/>
              <w:overflowPunct w:val="0"/>
              <w:autoSpaceDE w:val="0"/>
              <w:autoSpaceDN w:val="0"/>
              <w:adjustRightInd w:val="0"/>
              <w:spacing w:before="40" w:after="120" w:line="220" w:lineRule="exact"/>
              <w:ind w:right="113"/>
              <w:rPr>
                <w:rFonts w:eastAsia="Calibri"/>
                <w:szCs w:val="18"/>
                <w:lang w:val="de-DE"/>
              </w:rPr>
            </w:pPr>
            <w:r w:rsidRPr="000974A4">
              <w:rPr>
                <w:rFonts w:eastAsia="Calibri"/>
                <w:szCs w:val="18"/>
                <w:lang w:val="de-DE"/>
              </w:rPr>
              <w:t>3000</w:t>
            </w:r>
          </w:p>
        </w:tc>
        <w:tc>
          <w:tcPr>
            <w:tcW w:w="821" w:type="dxa"/>
            <w:tcBorders>
              <w:top w:val="single" w:sz="4" w:space="0" w:color="auto"/>
              <w:bottom w:val="single" w:sz="4" w:space="0" w:color="auto"/>
            </w:tcBorders>
            <w:shd w:val="clear" w:color="auto" w:fill="auto"/>
          </w:tcPr>
          <w:p w14:paraId="7ACC789F" w14:textId="77777777" w:rsidR="00B65F3A" w:rsidRPr="000974A4" w:rsidRDefault="00B65F3A" w:rsidP="00B65F3A">
            <w:pPr>
              <w:suppressAutoHyphens w:val="0"/>
              <w:kinsoku w:val="0"/>
              <w:overflowPunct w:val="0"/>
              <w:autoSpaceDE w:val="0"/>
              <w:autoSpaceDN w:val="0"/>
              <w:adjustRightInd w:val="0"/>
              <w:spacing w:before="40" w:after="120" w:line="220" w:lineRule="exact"/>
              <w:ind w:right="113"/>
              <w:rPr>
                <w:rFonts w:eastAsia="Calibri"/>
                <w:szCs w:val="18"/>
                <w:lang w:val="de-DE"/>
              </w:rPr>
            </w:pPr>
          </w:p>
        </w:tc>
        <w:tc>
          <w:tcPr>
            <w:tcW w:w="701" w:type="dxa"/>
            <w:tcBorders>
              <w:top w:val="single" w:sz="4" w:space="0" w:color="auto"/>
              <w:bottom w:val="single" w:sz="4" w:space="0" w:color="auto"/>
            </w:tcBorders>
            <w:shd w:val="clear" w:color="auto" w:fill="auto"/>
          </w:tcPr>
          <w:p w14:paraId="113C6333" w14:textId="77777777" w:rsidR="00B65F3A" w:rsidRPr="000974A4" w:rsidRDefault="00B65F3A" w:rsidP="00B65F3A">
            <w:pPr>
              <w:suppressAutoHyphens w:val="0"/>
              <w:kinsoku w:val="0"/>
              <w:overflowPunct w:val="0"/>
              <w:autoSpaceDE w:val="0"/>
              <w:autoSpaceDN w:val="0"/>
              <w:adjustRightInd w:val="0"/>
              <w:spacing w:before="40" w:after="120" w:line="220" w:lineRule="exact"/>
              <w:ind w:right="113"/>
              <w:rPr>
                <w:rFonts w:eastAsia="Calibri"/>
                <w:szCs w:val="18"/>
                <w:lang w:val="de-DE"/>
              </w:rPr>
            </w:pPr>
          </w:p>
        </w:tc>
      </w:tr>
      <w:tr w:rsidR="00B65F3A" w:rsidRPr="000974A4" w14:paraId="1F020A2E" w14:textId="77777777" w:rsidTr="00B65F3A">
        <w:trPr>
          <w:trHeight w:val="57"/>
        </w:trPr>
        <w:tc>
          <w:tcPr>
            <w:tcW w:w="591" w:type="dxa"/>
            <w:gridSpan w:val="2"/>
            <w:vMerge w:val="restart"/>
            <w:tcBorders>
              <w:top w:val="single" w:sz="4" w:space="0" w:color="auto"/>
              <w:bottom w:val="single" w:sz="4" w:space="0" w:color="auto"/>
            </w:tcBorders>
            <w:shd w:val="clear" w:color="auto" w:fill="auto"/>
          </w:tcPr>
          <w:p w14:paraId="741B0757" w14:textId="77777777" w:rsidR="00B65F3A" w:rsidRPr="000974A4" w:rsidRDefault="00B65F3A" w:rsidP="00B65F3A">
            <w:pPr>
              <w:suppressAutoHyphens w:val="0"/>
              <w:kinsoku w:val="0"/>
              <w:overflowPunct w:val="0"/>
              <w:autoSpaceDE w:val="0"/>
              <w:autoSpaceDN w:val="0"/>
              <w:adjustRightInd w:val="0"/>
              <w:spacing w:before="40" w:after="120" w:line="220" w:lineRule="exact"/>
              <w:ind w:right="113"/>
              <w:rPr>
                <w:rFonts w:eastAsia="Calibri"/>
                <w:b/>
                <w:szCs w:val="18"/>
                <w:lang w:val="de-DE"/>
              </w:rPr>
            </w:pPr>
            <w:r w:rsidRPr="000974A4">
              <w:rPr>
                <w:rFonts w:eastAsia="Calibri"/>
                <w:b/>
                <w:szCs w:val="18"/>
                <w:lang w:val="de-DE"/>
              </w:rPr>
              <w:t>6.1</w:t>
            </w:r>
          </w:p>
        </w:tc>
        <w:tc>
          <w:tcPr>
            <w:tcW w:w="4437" w:type="dxa"/>
            <w:tcBorders>
              <w:top w:val="single" w:sz="4" w:space="0" w:color="auto"/>
              <w:bottom w:val="single" w:sz="4" w:space="0" w:color="auto"/>
            </w:tcBorders>
            <w:shd w:val="clear" w:color="auto" w:fill="auto"/>
          </w:tcPr>
          <w:p w14:paraId="4BF57B7B" w14:textId="77777777" w:rsidR="00B65F3A" w:rsidRPr="000974A4" w:rsidRDefault="00B65F3A" w:rsidP="00B65F3A">
            <w:pPr>
              <w:suppressAutoHyphens w:val="0"/>
              <w:kinsoku w:val="0"/>
              <w:overflowPunct w:val="0"/>
              <w:autoSpaceDE w:val="0"/>
              <w:autoSpaceDN w:val="0"/>
              <w:adjustRightInd w:val="0"/>
              <w:spacing w:before="40" w:after="120" w:line="220" w:lineRule="exact"/>
              <w:ind w:right="113"/>
              <w:rPr>
                <w:rFonts w:eastAsia="Calibri"/>
                <w:szCs w:val="18"/>
                <w:lang w:val="de-DE"/>
              </w:rPr>
            </w:pPr>
            <w:r w:rsidRPr="000974A4">
              <w:rPr>
                <w:rFonts w:eastAsia="Calibri"/>
                <w:szCs w:val="18"/>
                <w:lang w:val="de-DE"/>
              </w:rPr>
              <w:t>Stoffe und Gegenstände der Klasse 6.1 Verpackungsgruppe I</w:t>
            </w:r>
          </w:p>
        </w:tc>
        <w:tc>
          <w:tcPr>
            <w:tcW w:w="820" w:type="dxa"/>
            <w:tcBorders>
              <w:top w:val="single" w:sz="4" w:space="0" w:color="auto"/>
              <w:bottom w:val="single" w:sz="4" w:space="0" w:color="auto"/>
            </w:tcBorders>
            <w:shd w:val="clear" w:color="auto" w:fill="auto"/>
          </w:tcPr>
          <w:p w14:paraId="238F06A9" w14:textId="77777777" w:rsidR="00B65F3A" w:rsidRPr="000974A4" w:rsidRDefault="00B65F3A" w:rsidP="00B65F3A">
            <w:pPr>
              <w:suppressAutoHyphens w:val="0"/>
              <w:kinsoku w:val="0"/>
              <w:overflowPunct w:val="0"/>
              <w:autoSpaceDE w:val="0"/>
              <w:autoSpaceDN w:val="0"/>
              <w:adjustRightInd w:val="0"/>
              <w:spacing w:before="40" w:after="120" w:line="220" w:lineRule="exact"/>
              <w:ind w:right="113"/>
              <w:rPr>
                <w:rFonts w:eastAsia="Calibri"/>
                <w:szCs w:val="18"/>
                <w:lang w:val="de-DE"/>
              </w:rPr>
            </w:pPr>
          </w:p>
        </w:tc>
        <w:tc>
          <w:tcPr>
            <w:tcW w:w="821" w:type="dxa"/>
            <w:tcBorders>
              <w:top w:val="single" w:sz="4" w:space="0" w:color="auto"/>
              <w:bottom w:val="single" w:sz="4" w:space="0" w:color="auto"/>
            </w:tcBorders>
            <w:shd w:val="clear" w:color="auto" w:fill="auto"/>
          </w:tcPr>
          <w:p w14:paraId="40FF473A" w14:textId="77777777" w:rsidR="00B65F3A" w:rsidRPr="000974A4" w:rsidRDefault="00B65F3A" w:rsidP="00B65F3A">
            <w:pPr>
              <w:suppressAutoHyphens w:val="0"/>
              <w:kinsoku w:val="0"/>
              <w:overflowPunct w:val="0"/>
              <w:autoSpaceDE w:val="0"/>
              <w:autoSpaceDN w:val="0"/>
              <w:adjustRightInd w:val="0"/>
              <w:spacing w:before="40" w:after="120" w:line="220" w:lineRule="exact"/>
              <w:ind w:right="113"/>
              <w:rPr>
                <w:rFonts w:eastAsia="Calibri"/>
                <w:szCs w:val="18"/>
                <w:lang w:val="de-DE"/>
              </w:rPr>
            </w:pPr>
          </w:p>
        </w:tc>
        <w:tc>
          <w:tcPr>
            <w:tcW w:w="701" w:type="dxa"/>
            <w:tcBorders>
              <w:top w:val="single" w:sz="4" w:space="0" w:color="auto"/>
              <w:bottom w:val="single" w:sz="4" w:space="0" w:color="auto"/>
            </w:tcBorders>
            <w:shd w:val="clear" w:color="auto" w:fill="auto"/>
          </w:tcPr>
          <w:p w14:paraId="1C5C6100" w14:textId="77777777" w:rsidR="00B65F3A" w:rsidRPr="000974A4" w:rsidRDefault="00B65F3A" w:rsidP="00B65F3A">
            <w:pPr>
              <w:suppressAutoHyphens w:val="0"/>
              <w:kinsoku w:val="0"/>
              <w:overflowPunct w:val="0"/>
              <w:autoSpaceDE w:val="0"/>
              <w:autoSpaceDN w:val="0"/>
              <w:adjustRightInd w:val="0"/>
              <w:spacing w:before="40" w:after="120" w:line="220" w:lineRule="exact"/>
              <w:ind w:right="113"/>
              <w:rPr>
                <w:rFonts w:eastAsia="Calibri"/>
                <w:szCs w:val="18"/>
                <w:lang w:val="de-DE"/>
              </w:rPr>
            </w:pPr>
            <w:r w:rsidRPr="000974A4">
              <w:rPr>
                <w:rFonts w:eastAsia="Calibri"/>
                <w:szCs w:val="18"/>
                <w:lang w:val="de-DE"/>
              </w:rPr>
              <w:t>0</w:t>
            </w:r>
          </w:p>
        </w:tc>
      </w:tr>
      <w:tr w:rsidR="00B65F3A" w:rsidRPr="000974A4" w14:paraId="56961923" w14:textId="77777777" w:rsidTr="00B65F3A">
        <w:trPr>
          <w:trHeight w:val="57"/>
        </w:trPr>
        <w:tc>
          <w:tcPr>
            <w:tcW w:w="591" w:type="dxa"/>
            <w:gridSpan w:val="2"/>
            <w:vMerge/>
            <w:tcBorders>
              <w:top w:val="single" w:sz="4" w:space="0" w:color="auto"/>
              <w:bottom w:val="single" w:sz="4" w:space="0" w:color="auto"/>
            </w:tcBorders>
            <w:shd w:val="clear" w:color="auto" w:fill="auto"/>
          </w:tcPr>
          <w:p w14:paraId="2C4D3DA3" w14:textId="77777777" w:rsidR="00B65F3A" w:rsidRPr="000974A4" w:rsidRDefault="00B65F3A" w:rsidP="00B65F3A">
            <w:pPr>
              <w:suppressAutoHyphens w:val="0"/>
              <w:kinsoku w:val="0"/>
              <w:overflowPunct w:val="0"/>
              <w:autoSpaceDE w:val="0"/>
              <w:autoSpaceDN w:val="0"/>
              <w:adjustRightInd w:val="0"/>
              <w:spacing w:before="40" w:after="120" w:line="220" w:lineRule="exact"/>
              <w:ind w:right="113"/>
              <w:rPr>
                <w:rFonts w:eastAsia="Calibri"/>
                <w:b/>
                <w:szCs w:val="18"/>
                <w:lang w:val="de-DE"/>
              </w:rPr>
            </w:pPr>
          </w:p>
        </w:tc>
        <w:tc>
          <w:tcPr>
            <w:tcW w:w="4437" w:type="dxa"/>
            <w:tcBorders>
              <w:top w:val="single" w:sz="4" w:space="0" w:color="auto"/>
              <w:bottom w:val="single" w:sz="4" w:space="0" w:color="auto"/>
            </w:tcBorders>
            <w:shd w:val="clear" w:color="auto" w:fill="auto"/>
          </w:tcPr>
          <w:p w14:paraId="2A424F29" w14:textId="77777777" w:rsidR="00B65F3A" w:rsidRPr="000974A4" w:rsidRDefault="00B65F3A" w:rsidP="00B65F3A">
            <w:pPr>
              <w:suppressAutoHyphens w:val="0"/>
              <w:kinsoku w:val="0"/>
              <w:overflowPunct w:val="0"/>
              <w:autoSpaceDE w:val="0"/>
              <w:autoSpaceDN w:val="0"/>
              <w:adjustRightInd w:val="0"/>
              <w:spacing w:before="40" w:after="120" w:line="220" w:lineRule="exact"/>
              <w:ind w:right="113"/>
              <w:rPr>
                <w:rFonts w:eastAsia="Calibri"/>
                <w:szCs w:val="18"/>
                <w:lang w:val="de-DE"/>
              </w:rPr>
            </w:pPr>
            <w:r w:rsidRPr="000974A4">
              <w:rPr>
                <w:rFonts w:eastAsia="Calibri"/>
                <w:szCs w:val="18"/>
                <w:lang w:val="de-DE"/>
              </w:rPr>
              <w:t>sonstige Stoffe und Gegenstände der Klasse 6.1</w:t>
            </w:r>
          </w:p>
        </w:tc>
        <w:tc>
          <w:tcPr>
            <w:tcW w:w="820" w:type="dxa"/>
            <w:tcBorders>
              <w:top w:val="single" w:sz="4" w:space="0" w:color="auto"/>
              <w:bottom w:val="single" w:sz="4" w:space="0" w:color="auto"/>
            </w:tcBorders>
            <w:shd w:val="clear" w:color="auto" w:fill="auto"/>
          </w:tcPr>
          <w:p w14:paraId="4CE3B388" w14:textId="77777777" w:rsidR="00B65F3A" w:rsidRPr="000974A4" w:rsidRDefault="00B65F3A" w:rsidP="00B65F3A">
            <w:pPr>
              <w:suppressAutoHyphens w:val="0"/>
              <w:kinsoku w:val="0"/>
              <w:overflowPunct w:val="0"/>
              <w:autoSpaceDE w:val="0"/>
              <w:autoSpaceDN w:val="0"/>
              <w:adjustRightInd w:val="0"/>
              <w:spacing w:before="40" w:after="120" w:line="220" w:lineRule="exact"/>
              <w:ind w:right="113"/>
              <w:rPr>
                <w:rFonts w:eastAsia="Calibri"/>
                <w:szCs w:val="18"/>
                <w:lang w:val="de-DE"/>
              </w:rPr>
            </w:pPr>
            <w:r w:rsidRPr="000974A4">
              <w:rPr>
                <w:rFonts w:eastAsia="Calibri"/>
                <w:szCs w:val="18"/>
                <w:lang w:val="de-DE"/>
              </w:rPr>
              <w:t>3000</w:t>
            </w:r>
          </w:p>
        </w:tc>
        <w:tc>
          <w:tcPr>
            <w:tcW w:w="821" w:type="dxa"/>
            <w:tcBorders>
              <w:top w:val="single" w:sz="4" w:space="0" w:color="auto"/>
              <w:bottom w:val="single" w:sz="4" w:space="0" w:color="auto"/>
            </w:tcBorders>
            <w:shd w:val="clear" w:color="auto" w:fill="auto"/>
          </w:tcPr>
          <w:p w14:paraId="566B47DD" w14:textId="77777777" w:rsidR="00B65F3A" w:rsidRPr="000974A4" w:rsidRDefault="00B65F3A" w:rsidP="00B65F3A">
            <w:pPr>
              <w:suppressAutoHyphens w:val="0"/>
              <w:kinsoku w:val="0"/>
              <w:overflowPunct w:val="0"/>
              <w:autoSpaceDE w:val="0"/>
              <w:autoSpaceDN w:val="0"/>
              <w:adjustRightInd w:val="0"/>
              <w:spacing w:before="40" w:after="120" w:line="220" w:lineRule="exact"/>
              <w:ind w:right="113"/>
              <w:rPr>
                <w:rFonts w:eastAsia="Calibri"/>
                <w:szCs w:val="18"/>
                <w:lang w:val="de-DE"/>
              </w:rPr>
            </w:pPr>
          </w:p>
        </w:tc>
        <w:tc>
          <w:tcPr>
            <w:tcW w:w="701" w:type="dxa"/>
            <w:tcBorders>
              <w:top w:val="single" w:sz="4" w:space="0" w:color="auto"/>
              <w:bottom w:val="single" w:sz="4" w:space="0" w:color="auto"/>
            </w:tcBorders>
            <w:shd w:val="clear" w:color="auto" w:fill="auto"/>
          </w:tcPr>
          <w:p w14:paraId="6CB0D2DB" w14:textId="77777777" w:rsidR="00B65F3A" w:rsidRPr="000974A4" w:rsidRDefault="00B65F3A" w:rsidP="00B65F3A">
            <w:pPr>
              <w:suppressAutoHyphens w:val="0"/>
              <w:kinsoku w:val="0"/>
              <w:overflowPunct w:val="0"/>
              <w:autoSpaceDE w:val="0"/>
              <w:autoSpaceDN w:val="0"/>
              <w:adjustRightInd w:val="0"/>
              <w:spacing w:before="40" w:after="120" w:line="220" w:lineRule="exact"/>
              <w:ind w:right="113"/>
              <w:rPr>
                <w:rFonts w:eastAsia="Calibri"/>
                <w:szCs w:val="18"/>
                <w:lang w:val="de-DE"/>
              </w:rPr>
            </w:pPr>
          </w:p>
        </w:tc>
      </w:tr>
      <w:tr w:rsidR="00B65F3A" w:rsidRPr="000974A4" w14:paraId="1382E8F6" w14:textId="77777777" w:rsidTr="00B65F3A">
        <w:trPr>
          <w:trHeight w:val="57"/>
        </w:trPr>
        <w:tc>
          <w:tcPr>
            <w:tcW w:w="591" w:type="dxa"/>
            <w:gridSpan w:val="2"/>
            <w:tcBorders>
              <w:top w:val="single" w:sz="4" w:space="0" w:color="auto"/>
              <w:bottom w:val="single" w:sz="4" w:space="0" w:color="auto"/>
            </w:tcBorders>
            <w:shd w:val="clear" w:color="auto" w:fill="auto"/>
          </w:tcPr>
          <w:p w14:paraId="574F3E09" w14:textId="77777777" w:rsidR="00B65F3A" w:rsidRPr="000974A4" w:rsidRDefault="00B65F3A" w:rsidP="00B65F3A">
            <w:pPr>
              <w:suppressAutoHyphens w:val="0"/>
              <w:kinsoku w:val="0"/>
              <w:overflowPunct w:val="0"/>
              <w:autoSpaceDE w:val="0"/>
              <w:autoSpaceDN w:val="0"/>
              <w:adjustRightInd w:val="0"/>
              <w:spacing w:before="40" w:after="120" w:line="220" w:lineRule="exact"/>
              <w:ind w:right="113"/>
              <w:rPr>
                <w:rFonts w:eastAsia="Calibri"/>
                <w:b/>
                <w:szCs w:val="18"/>
                <w:lang w:val="de-DE"/>
              </w:rPr>
            </w:pPr>
            <w:r w:rsidRPr="000974A4">
              <w:rPr>
                <w:rFonts w:eastAsia="Calibri"/>
                <w:b/>
                <w:szCs w:val="18"/>
                <w:lang w:val="de-DE"/>
              </w:rPr>
              <w:t>6.2</w:t>
            </w:r>
          </w:p>
        </w:tc>
        <w:tc>
          <w:tcPr>
            <w:tcW w:w="4437" w:type="dxa"/>
            <w:tcBorders>
              <w:top w:val="single" w:sz="4" w:space="0" w:color="auto"/>
              <w:bottom w:val="single" w:sz="4" w:space="0" w:color="auto"/>
            </w:tcBorders>
            <w:shd w:val="clear" w:color="auto" w:fill="auto"/>
          </w:tcPr>
          <w:p w14:paraId="160BD5CF" w14:textId="77777777" w:rsidR="00B65F3A" w:rsidRPr="000974A4" w:rsidRDefault="00B65F3A" w:rsidP="00B65F3A">
            <w:pPr>
              <w:suppressAutoHyphens w:val="0"/>
              <w:kinsoku w:val="0"/>
              <w:overflowPunct w:val="0"/>
              <w:autoSpaceDE w:val="0"/>
              <w:autoSpaceDN w:val="0"/>
              <w:adjustRightInd w:val="0"/>
              <w:spacing w:before="40" w:after="120" w:line="220" w:lineRule="exact"/>
              <w:ind w:right="113"/>
              <w:rPr>
                <w:rFonts w:eastAsia="Calibri"/>
                <w:szCs w:val="18"/>
                <w:lang w:val="de-DE"/>
              </w:rPr>
            </w:pPr>
            <w:r w:rsidRPr="000974A4">
              <w:rPr>
                <w:rFonts w:eastAsia="Calibri"/>
                <w:szCs w:val="18"/>
                <w:lang w:val="de-DE"/>
              </w:rPr>
              <w:t>sonstige Stoffe und Gegenstände der Klasse 6.2 Kategorie A oder Verpackungsgruppe I</w:t>
            </w:r>
          </w:p>
        </w:tc>
        <w:tc>
          <w:tcPr>
            <w:tcW w:w="820" w:type="dxa"/>
            <w:tcBorders>
              <w:top w:val="single" w:sz="4" w:space="0" w:color="auto"/>
              <w:bottom w:val="single" w:sz="4" w:space="0" w:color="auto"/>
            </w:tcBorders>
            <w:shd w:val="clear" w:color="auto" w:fill="auto"/>
          </w:tcPr>
          <w:p w14:paraId="5F16274F" w14:textId="77777777" w:rsidR="00B65F3A" w:rsidRPr="000974A4" w:rsidRDefault="00B65F3A" w:rsidP="00B65F3A">
            <w:pPr>
              <w:suppressAutoHyphens w:val="0"/>
              <w:kinsoku w:val="0"/>
              <w:overflowPunct w:val="0"/>
              <w:autoSpaceDE w:val="0"/>
              <w:autoSpaceDN w:val="0"/>
              <w:adjustRightInd w:val="0"/>
              <w:spacing w:before="40" w:after="120" w:line="220" w:lineRule="exact"/>
              <w:ind w:right="113"/>
              <w:rPr>
                <w:rFonts w:eastAsia="Calibri"/>
                <w:szCs w:val="18"/>
                <w:lang w:val="de-DE"/>
              </w:rPr>
            </w:pPr>
          </w:p>
        </w:tc>
        <w:tc>
          <w:tcPr>
            <w:tcW w:w="821" w:type="dxa"/>
            <w:tcBorders>
              <w:top w:val="single" w:sz="4" w:space="0" w:color="auto"/>
              <w:bottom w:val="single" w:sz="4" w:space="0" w:color="auto"/>
            </w:tcBorders>
            <w:shd w:val="clear" w:color="auto" w:fill="auto"/>
          </w:tcPr>
          <w:p w14:paraId="6FEEFBFB" w14:textId="77777777" w:rsidR="00B65F3A" w:rsidRPr="000974A4" w:rsidRDefault="00B65F3A" w:rsidP="00B65F3A">
            <w:pPr>
              <w:suppressAutoHyphens w:val="0"/>
              <w:kinsoku w:val="0"/>
              <w:overflowPunct w:val="0"/>
              <w:autoSpaceDE w:val="0"/>
              <w:autoSpaceDN w:val="0"/>
              <w:adjustRightInd w:val="0"/>
              <w:spacing w:before="40" w:after="120" w:line="220" w:lineRule="exact"/>
              <w:ind w:right="113"/>
              <w:rPr>
                <w:rFonts w:eastAsia="Calibri"/>
                <w:szCs w:val="18"/>
                <w:lang w:val="de-DE"/>
              </w:rPr>
            </w:pPr>
          </w:p>
        </w:tc>
        <w:tc>
          <w:tcPr>
            <w:tcW w:w="701" w:type="dxa"/>
            <w:tcBorders>
              <w:top w:val="single" w:sz="4" w:space="0" w:color="auto"/>
              <w:bottom w:val="single" w:sz="4" w:space="0" w:color="auto"/>
            </w:tcBorders>
            <w:shd w:val="clear" w:color="auto" w:fill="auto"/>
          </w:tcPr>
          <w:p w14:paraId="3E45B6CF" w14:textId="77777777" w:rsidR="00B65F3A" w:rsidRPr="000974A4" w:rsidRDefault="00B65F3A" w:rsidP="00B65F3A">
            <w:pPr>
              <w:suppressAutoHyphens w:val="0"/>
              <w:kinsoku w:val="0"/>
              <w:overflowPunct w:val="0"/>
              <w:autoSpaceDE w:val="0"/>
              <w:autoSpaceDN w:val="0"/>
              <w:adjustRightInd w:val="0"/>
              <w:spacing w:before="40" w:after="120" w:line="220" w:lineRule="exact"/>
              <w:ind w:right="113"/>
              <w:rPr>
                <w:rFonts w:eastAsia="Calibri"/>
                <w:szCs w:val="18"/>
                <w:lang w:val="de-DE"/>
              </w:rPr>
            </w:pPr>
            <w:r w:rsidRPr="000974A4">
              <w:rPr>
                <w:rFonts w:eastAsia="Calibri"/>
                <w:szCs w:val="18"/>
                <w:lang w:val="de-DE"/>
              </w:rPr>
              <w:t>0</w:t>
            </w:r>
          </w:p>
        </w:tc>
      </w:tr>
      <w:tr w:rsidR="00B65F3A" w:rsidRPr="000974A4" w14:paraId="15AEB4D5" w14:textId="77777777" w:rsidTr="00B65F3A">
        <w:trPr>
          <w:trHeight w:val="57"/>
        </w:trPr>
        <w:tc>
          <w:tcPr>
            <w:tcW w:w="591" w:type="dxa"/>
            <w:gridSpan w:val="2"/>
            <w:tcBorders>
              <w:top w:val="single" w:sz="4" w:space="0" w:color="auto"/>
              <w:bottom w:val="single" w:sz="4" w:space="0" w:color="auto"/>
            </w:tcBorders>
            <w:shd w:val="clear" w:color="auto" w:fill="auto"/>
          </w:tcPr>
          <w:p w14:paraId="202FDCF7" w14:textId="77777777" w:rsidR="00B65F3A" w:rsidRPr="000974A4" w:rsidRDefault="00B65F3A" w:rsidP="00B65F3A">
            <w:pPr>
              <w:suppressAutoHyphens w:val="0"/>
              <w:kinsoku w:val="0"/>
              <w:overflowPunct w:val="0"/>
              <w:autoSpaceDE w:val="0"/>
              <w:autoSpaceDN w:val="0"/>
              <w:adjustRightInd w:val="0"/>
              <w:spacing w:before="40" w:after="120" w:line="220" w:lineRule="exact"/>
              <w:ind w:right="113"/>
              <w:rPr>
                <w:rFonts w:eastAsia="Calibri"/>
                <w:b/>
                <w:szCs w:val="18"/>
                <w:lang w:val="de-DE"/>
              </w:rPr>
            </w:pPr>
          </w:p>
        </w:tc>
        <w:tc>
          <w:tcPr>
            <w:tcW w:w="4437" w:type="dxa"/>
            <w:tcBorders>
              <w:top w:val="single" w:sz="4" w:space="0" w:color="auto"/>
              <w:bottom w:val="single" w:sz="4" w:space="0" w:color="auto"/>
            </w:tcBorders>
            <w:shd w:val="clear" w:color="auto" w:fill="auto"/>
          </w:tcPr>
          <w:p w14:paraId="673CC107" w14:textId="77777777" w:rsidR="00B65F3A" w:rsidRPr="000974A4" w:rsidRDefault="00B65F3A" w:rsidP="00B65F3A">
            <w:pPr>
              <w:suppressAutoHyphens w:val="0"/>
              <w:kinsoku w:val="0"/>
              <w:overflowPunct w:val="0"/>
              <w:autoSpaceDE w:val="0"/>
              <w:autoSpaceDN w:val="0"/>
              <w:adjustRightInd w:val="0"/>
              <w:spacing w:before="40" w:after="120" w:line="220" w:lineRule="exact"/>
              <w:ind w:right="113"/>
              <w:rPr>
                <w:rFonts w:eastAsia="Calibri"/>
                <w:szCs w:val="18"/>
                <w:lang w:val="de-DE"/>
              </w:rPr>
            </w:pPr>
            <w:r w:rsidRPr="000974A4">
              <w:rPr>
                <w:rFonts w:eastAsia="Calibri"/>
                <w:bCs/>
                <w:szCs w:val="18"/>
                <w:u w:color="000000"/>
                <w:lang w:val="de-DE"/>
              </w:rPr>
              <w:t>sonstige Stoffe und Gegenstände der Klasse 6.2</w:t>
            </w:r>
          </w:p>
        </w:tc>
        <w:tc>
          <w:tcPr>
            <w:tcW w:w="820" w:type="dxa"/>
            <w:tcBorders>
              <w:top w:val="single" w:sz="4" w:space="0" w:color="auto"/>
              <w:bottom w:val="single" w:sz="4" w:space="0" w:color="auto"/>
            </w:tcBorders>
            <w:shd w:val="clear" w:color="auto" w:fill="auto"/>
          </w:tcPr>
          <w:p w14:paraId="20C60675" w14:textId="77777777" w:rsidR="00B65F3A" w:rsidRPr="000974A4" w:rsidRDefault="00B65F3A" w:rsidP="00B65F3A">
            <w:pPr>
              <w:suppressAutoHyphens w:val="0"/>
              <w:kinsoku w:val="0"/>
              <w:overflowPunct w:val="0"/>
              <w:autoSpaceDE w:val="0"/>
              <w:autoSpaceDN w:val="0"/>
              <w:adjustRightInd w:val="0"/>
              <w:spacing w:before="40" w:after="120" w:line="220" w:lineRule="exact"/>
              <w:ind w:right="113"/>
              <w:rPr>
                <w:rFonts w:eastAsia="Calibri"/>
                <w:szCs w:val="18"/>
                <w:lang w:val="de-DE"/>
              </w:rPr>
            </w:pPr>
            <w:r w:rsidRPr="000974A4">
              <w:rPr>
                <w:rFonts w:eastAsia="Calibri"/>
                <w:szCs w:val="18"/>
                <w:lang w:val="de-DE"/>
              </w:rPr>
              <w:t>3000</w:t>
            </w:r>
          </w:p>
        </w:tc>
        <w:tc>
          <w:tcPr>
            <w:tcW w:w="821" w:type="dxa"/>
            <w:tcBorders>
              <w:top w:val="single" w:sz="4" w:space="0" w:color="auto"/>
              <w:bottom w:val="single" w:sz="4" w:space="0" w:color="auto"/>
            </w:tcBorders>
            <w:shd w:val="clear" w:color="auto" w:fill="auto"/>
          </w:tcPr>
          <w:p w14:paraId="67F272F8" w14:textId="77777777" w:rsidR="00B65F3A" w:rsidRPr="000974A4" w:rsidRDefault="00B65F3A" w:rsidP="00B65F3A">
            <w:pPr>
              <w:suppressAutoHyphens w:val="0"/>
              <w:kinsoku w:val="0"/>
              <w:overflowPunct w:val="0"/>
              <w:autoSpaceDE w:val="0"/>
              <w:autoSpaceDN w:val="0"/>
              <w:adjustRightInd w:val="0"/>
              <w:spacing w:before="40" w:after="120" w:line="220" w:lineRule="exact"/>
              <w:ind w:right="113"/>
              <w:rPr>
                <w:rFonts w:eastAsia="Calibri"/>
                <w:szCs w:val="18"/>
                <w:lang w:val="de-DE"/>
              </w:rPr>
            </w:pPr>
          </w:p>
        </w:tc>
        <w:tc>
          <w:tcPr>
            <w:tcW w:w="701" w:type="dxa"/>
            <w:tcBorders>
              <w:top w:val="single" w:sz="4" w:space="0" w:color="auto"/>
              <w:bottom w:val="single" w:sz="4" w:space="0" w:color="auto"/>
            </w:tcBorders>
            <w:shd w:val="clear" w:color="auto" w:fill="auto"/>
          </w:tcPr>
          <w:p w14:paraId="5B318456" w14:textId="77777777" w:rsidR="00B65F3A" w:rsidRPr="000974A4" w:rsidRDefault="00B65F3A" w:rsidP="00B65F3A">
            <w:pPr>
              <w:suppressAutoHyphens w:val="0"/>
              <w:kinsoku w:val="0"/>
              <w:overflowPunct w:val="0"/>
              <w:autoSpaceDE w:val="0"/>
              <w:autoSpaceDN w:val="0"/>
              <w:adjustRightInd w:val="0"/>
              <w:spacing w:before="40" w:after="120" w:line="220" w:lineRule="exact"/>
              <w:ind w:right="113"/>
              <w:rPr>
                <w:rFonts w:eastAsia="Calibri"/>
                <w:szCs w:val="18"/>
                <w:lang w:val="de-DE"/>
              </w:rPr>
            </w:pPr>
          </w:p>
        </w:tc>
      </w:tr>
      <w:tr w:rsidR="00B65F3A" w:rsidRPr="000974A4" w14:paraId="7FB9EB04" w14:textId="77777777" w:rsidTr="00B65F3A">
        <w:trPr>
          <w:trHeight w:val="57"/>
        </w:trPr>
        <w:tc>
          <w:tcPr>
            <w:tcW w:w="591" w:type="dxa"/>
            <w:gridSpan w:val="2"/>
            <w:vMerge w:val="restart"/>
            <w:tcBorders>
              <w:top w:val="single" w:sz="4" w:space="0" w:color="auto"/>
              <w:bottom w:val="single" w:sz="4" w:space="0" w:color="auto"/>
            </w:tcBorders>
            <w:shd w:val="clear" w:color="auto" w:fill="auto"/>
          </w:tcPr>
          <w:p w14:paraId="6A5BFDD5" w14:textId="77777777" w:rsidR="00B65F3A" w:rsidRPr="000974A4" w:rsidRDefault="00B65F3A" w:rsidP="00B65F3A">
            <w:pPr>
              <w:keepNext/>
              <w:keepLines/>
              <w:suppressAutoHyphens w:val="0"/>
              <w:kinsoku w:val="0"/>
              <w:overflowPunct w:val="0"/>
              <w:autoSpaceDE w:val="0"/>
              <w:autoSpaceDN w:val="0"/>
              <w:adjustRightInd w:val="0"/>
              <w:spacing w:before="40" w:after="120" w:line="220" w:lineRule="exact"/>
              <w:ind w:right="113"/>
              <w:rPr>
                <w:rFonts w:eastAsia="Calibri"/>
                <w:b/>
                <w:szCs w:val="18"/>
                <w:lang w:val="de-DE"/>
              </w:rPr>
            </w:pPr>
            <w:r w:rsidRPr="000974A4">
              <w:rPr>
                <w:rFonts w:eastAsia="Calibri"/>
                <w:b/>
                <w:szCs w:val="18"/>
                <w:lang w:val="de-DE"/>
              </w:rPr>
              <w:t>7</w:t>
            </w:r>
          </w:p>
        </w:tc>
        <w:tc>
          <w:tcPr>
            <w:tcW w:w="4437" w:type="dxa"/>
            <w:tcBorders>
              <w:top w:val="single" w:sz="4" w:space="0" w:color="auto"/>
              <w:bottom w:val="single" w:sz="4" w:space="0" w:color="auto"/>
            </w:tcBorders>
            <w:shd w:val="clear" w:color="auto" w:fill="auto"/>
          </w:tcPr>
          <w:p w14:paraId="6625C5E5" w14:textId="77777777" w:rsidR="00B65F3A" w:rsidRPr="000974A4" w:rsidRDefault="00B65F3A" w:rsidP="00B65F3A">
            <w:pPr>
              <w:keepNext/>
              <w:keepLines/>
              <w:suppressAutoHyphens w:val="0"/>
              <w:kinsoku w:val="0"/>
              <w:overflowPunct w:val="0"/>
              <w:autoSpaceDE w:val="0"/>
              <w:autoSpaceDN w:val="0"/>
              <w:adjustRightInd w:val="0"/>
              <w:spacing w:before="40" w:after="120" w:line="220" w:lineRule="exact"/>
              <w:ind w:right="113"/>
              <w:rPr>
                <w:rFonts w:eastAsia="Calibri"/>
                <w:szCs w:val="18"/>
                <w:lang w:val="de-DE"/>
              </w:rPr>
            </w:pPr>
            <w:r w:rsidRPr="000974A4">
              <w:rPr>
                <w:rFonts w:eastAsia="Calibri"/>
                <w:szCs w:val="18"/>
                <w:lang w:val="de-DE"/>
              </w:rPr>
              <w:t>Stoffe und Gegenstände der Klasse 7, die den UN-Nummern 2908, 2909, 2910 und 2911 zugeordnet sind</w:t>
            </w:r>
          </w:p>
        </w:tc>
        <w:tc>
          <w:tcPr>
            <w:tcW w:w="820" w:type="dxa"/>
            <w:tcBorders>
              <w:top w:val="single" w:sz="4" w:space="0" w:color="auto"/>
              <w:bottom w:val="single" w:sz="4" w:space="0" w:color="auto"/>
            </w:tcBorders>
            <w:shd w:val="clear" w:color="auto" w:fill="auto"/>
          </w:tcPr>
          <w:p w14:paraId="5225C326" w14:textId="77777777" w:rsidR="00B65F3A" w:rsidRPr="000974A4" w:rsidRDefault="00B65F3A" w:rsidP="00B65F3A">
            <w:pPr>
              <w:keepNext/>
              <w:keepLines/>
              <w:suppressAutoHyphens w:val="0"/>
              <w:kinsoku w:val="0"/>
              <w:overflowPunct w:val="0"/>
              <w:autoSpaceDE w:val="0"/>
              <w:autoSpaceDN w:val="0"/>
              <w:adjustRightInd w:val="0"/>
              <w:spacing w:before="40" w:after="120" w:line="220" w:lineRule="exact"/>
              <w:ind w:right="113"/>
              <w:rPr>
                <w:rFonts w:eastAsia="Calibri"/>
                <w:szCs w:val="18"/>
                <w:lang w:val="de-DE"/>
              </w:rPr>
            </w:pPr>
            <w:r w:rsidRPr="000974A4">
              <w:rPr>
                <w:rFonts w:eastAsia="Calibri"/>
                <w:szCs w:val="18"/>
                <w:lang w:val="de-DE"/>
              </w:rPr>
              <w:t>3000</w:t>
            </w:r>
          </w:p>
        </w:tc>
        <w:tc>
          <w:tcPr>
            <w:tcW w:w="821" w:type="dxa"/>
            <w:tcBorders>
              <w:top w:val="single" w:sz="4" w:space="0" w:color="auto"/>
              <w:bottom w:val="single" w:sz="4" w:space="0" w:color="auto"/>
            </w:tcBorders>
            <w:shd w:val="clear" w:color="auto" w:fill="auto"/>
          </w:tcPr>
          <w:p w14:paraId="0DBC644C" w14:textId="77777777" w:rsidR="00B65F3A" w:rsidRPr="000974A4" w:rsidRDefault="00B65F3A" w:rsidP="00B65F3A">
            <w:pPr>
              <w:keepNext/>
              <w:keepLines/>
              <w:suppressAutoHyphens w:val="0"/>
              <w:kinsoku w:val="0"/>
              <w:overflowPunct w:val="0"/>
              <w:autoSpaceDE w:val="0"/>
              <w:autoSpaceDN w:val="0"/>
              <w:adjustRightInd w:val="0"/>
              <w:spacing w:before="40" w:after="120" w:line="220" w:lineRule="exact"/>
              <w:ind w:right="113"/>
              <w:rPr>
                <w:rFonts w:eastAsia="Calibri"/>
                <w:szCs w:val="18"/>
                <w:lang w:val="de-DE"/>
              </w:rPr>
            </w:pPr>
          </w:p>
        </w:tc>
        <w:tc>
          <w:tcPr>
            <w:tcW w:w="701" w:type="dxa"/>
            <w:tcBorders>
              <w:top w:val="single" w:sz="4" w:space="0" w:color="auto"/>
              <w:bottom w:val="single" w:sz="4" w:space="0" w:color="auto"/>
            </w:tcBorders>
            <w:shd w:val="clear" w:color="auto" w:fill="auto"/>
          </w:tcPr>
          <w:p w14:paraId="0F6062C5" w14:textId="77777777" w:rsidR="00B65F3A" w:rsidRPr="000974A4" w:rsidRDefault="00B65F3A" w:rsidP="00B65F3A">
            <w:pPr>
              <w:keepNext/>
              <w:keepLines/>
              <w:suppressAutoHyphens w:val="0"/>
              <w:kinsoku w:val="0"/>
              <w:overflowPunct w:val="0"/>
              <w:autoSpaceDE w:val="0"/>
              <w:autoSpaceDN w:val="0"/>
              <w:adjustRightInd w:val="0"/>
              <w:spacing w:before="40" w:after="120" w:line="220" w:lineRule="exact"/>
              <w:ind w:right="113"/>
              <w:rPr>
                <w:rFonts w:eastAsia="Calibri"/>
                <w:szCs w:val="18"/>
                <w:lang w:val="de-DE"/>
              </w:rPr>
            </w:pPr>
          </w:p>
        </w:tc>
      </w:tr>
      <w:tr w:rsidR="00B65F3A" w:rsidRPr="000974A4" w14:paraId="705A747B" w14:textId="77777777" w:rsidTr="00B65F3A">
        <w:trPr>
          <w:trHeight w:val="57"/>
        </w:trPr>
        <w:tc>
          <w:tcPr>
            <w:tcW w:w="591" w:type="dxa"/>
            <w:gridSpan w:val="2"/>
            <w:vMerge/>
            <w:tcBorders>
              <w:top w:val="single" w:sz="4" w:space="0" w:color="auto"/>
              <w:bottom w:val="single" w:sz="4" w:space="0" w:color="auto"/>
            </w:tcBorders>
            <w:shd w:val="clear" w:color="auto" w:fill="auto"/>
          </w:tcPr>
          <w:p w14:paraId="1A79F549" w14:textId="77777777" w:rsidR="00B65F3A" w:rsidRPr="000974A4" w:rsidRDefault="00B65F3A" w:rsidP="00B65F3A">
            <w:pPr>
              <w:keepNext/>
              <w:keepLines/>
              <w:suppressAutoHyphens w:val="0"/>
              <w:kinsoku w:val="0"/>
              <w:overflowPunct w:val="0"/>
              <w:autoSpaceDE w:val="0"/>
              <w:autoSpaceDN w:val="0"/>
              <w:adjustRightInd w:val="0"/>
              <w:spacing w:before="40" w:after="120" w:line="220" w:lineRule="exact"/>
              <w:ind w:right="113"/>
              <w:rPr>
                <w:rFonts w:eastAsia="Calibri"/>
                <w:b/>
                <w:szCs w:val="18"/>
                <w:lang w:val="de-DE"/>
              </w:rPr>
            </w:pPr>
          </w:p>
        </w:tc>
        <w:tc>
          <w:tcPr>
            <w:tcW w:w="4437" w:type="dxa"/>
            <w:tcBorders>
              <w:top w:val="single" w:sz="4" w:space="0" w:color="auto"/>
              <w:bottom w:val="single" w:sz="4" w:space="0" w:color="auto"/>
            </w:tcBorders>
            <w:shd w:val="clear" w:color="auto" w:fill="auto"/>
          </w:tcPr>
          <w:p w14:paraId="53C3BCAC" w14:textId="77777777" w:rsidR="00B65F3A" w:rsidRPr="000974A4" w:rsidRDefault="00B65F3A" w:rsidP="00B65F3A">
            <w:pPr>
              <w:keepNext/>
              <w:keepLines/>
              <w:suppressAutoHyphens w:val="0"/>
              <w:kinsoku w:val="0"/>
              <w:overflowPunct w:val="0"/>
              <w:autoSpaceDE w:val="0"/>
              <w:autoSpaceDN w:val="0"/>
              <w:adjustRightInd w:val="0"/>
              <w:spacing w:before="40" w:after="120" w:line="220" w:lineRule="exact"/>
              <w:ind w:right="113"/>
              <w:rPr>
                <w:rFonts w:eastAsia="Calibri"/>
                <w:szCs w:val="18"/>
                <w:lang w:val="de-DE"/>
              </w:rPr>
            </w:pPr>
            <w:r w:rsidRPr="000974A4">
              <w:rPr>
                <w:rFonts w:eastAsia="Calibri"/>
                <w:szCs w:val="18"/>
                <w:lang w:val="de-DE"/>
              </w:rPr>
              <w:t>sonstige Stoffe und Gegenstände der Klasse 7</w:t>
            </w:r>
          </w:p>
        </w:tc>
        <w:tc>
          <w:tcPr>
            <w:tcW w:w="820" w:type="dxa"/>
            <w:tcBorders>
              <w:top w:val="single" w:sz="4" w:space="0" w:color="auto"/>
              <w:bottom w:val="single" w:sz="4" w:space="0" w:color="auto"/>
            </w:tcBorders>
            <w:shd w:val="clear" w:color="auto" w:fill="auto"/>
          </w:tcPr>
          <w:p w14:paraId="1729F372" w14:textId="77777777" w:rsidR="00B65F3A" w:rsidRPr="000974A4" w:rsidRDefault="00B65F3A" w:rsidP="00B65F3A">
            <w:pPr>
              <w:keepNext/>
              <w:keepLines/>
              <w:suppressAutoHyphens w:val="0"/>
              <w:kinsoku w:val="0"/>
              <w:overflowPunct w:val="0"/>
              <w:autoSpaceDE w:val="0"/>
              <w:autoSpaceDN w:val="0"/>
              <w:adjustRightInd w:val="0"/>
              <w:spacing w:before="40" w:after="120" w:line="220" w:lineRule="exact"/>
              <w:ind w:right="113"/>
              <w:rPr>
                <w:rFonts w:eastAsia="Calibri"/>
                <w:szCs w:val="18"/>
                <w:lang w:val="de-DE"/>
              </w:rPr>
            </w:pPr>
          </w:p>
        </w:tc>
        <w:tc>
          <w:tcPr>
            <w:tcW w:w="821" w:type="dxa"/>
            <w:tcBorders>
              <w:top w:val="single" w:sz="4" w:space="0" w:color="auto"/>
              <w:bottom w:val="single" w:sz="4" w:space="0" w:color="auto"/>
            </w:tcBorders>
            <w:shd w:val="clear" w:color="auto" w:fill="auto"/>
          </w:tcPr>
          <w:p w14:paraId="3F6D118A" w14:textId="77777777" w:rsidR="00B65F3A" w:rsidRPr="000974A4" w:rsidRDefault="00B65F3A" w:rsidP="00B65F3A">
            <w:pPr>
              <w:keepNext/>
              <w:keepLines/>
              <w:suppressAutoHyphens w:val="0"/>
              <w:kinsoku w:val="0"/>
              <w:overflowPunct w:val="0"/>
              <w:autoSpaceDE w:val="0"/>
              <w:autoSpaceDN w:val="0"/>
              <w:adjustRightInd w:val="0"/>
              <w:spacing w:before="40" w:after="120" w:line="220" w:lineRule="exact"/>
              <w:ind w:right="113"/>
              <w:rPr>
                <w:rFonts w:eastAsia="Calibri"/>
                <w:szCs w:val="18"/>
                <w:lang w:val="de-DE"/>
              </w:rPr>
            </w:pPr>
          </w:p>
        </w:tc>
        <w:tc>
          <w:tcPr>
            <w:tcW w:w="701" w:type="dxa"/>
            <w:tcBorders>
              <w:top w:val="single" w:sz="4" w:space="0" w:color="auto"/>
              <w:bottom w:val="single" w:sz="4" w:space="0" w:color="auto"/>
            </w:tcBorders>
            <w:shd w:val="clear" w:color="auto" w:fill="auto"/>
          </w:tcPr>
          <w:p w14:paraId="5646ACA7" w14:textId="77777777" w:rsidR="00B65F3A" w:rsidRPr="000974A4" w:rsidRDefault="00B65F3A" w:rsidP="00B65F3A">
            <w:pPr>
              <w:keepNext/>
              <w:keepLines/>
              <w:suppressAutoHyphens w:val="0"/>
              <w:kinsoku w:val="0"/>
              <w:overflowPunct w:val="0"/>
              <w:autoSpaceDE w:val="0"/>
              <w:autoSpaceDN w:val="0"/>
              <w:adjustRightInd w:val="0"/>
              <w:spacing w:before="40" w:after="120" w:line="220" w:lineRule="exact"/>
              <w:ind w:right="113"/>
              <w:rPr>
                <w:rFonts w:eastAsia="Calibri"/>
                <w:szCs w:val="18"/>
                <w:lang w:val="de-DE"/>
              </w:rPr>
            </w:pPr>
            <w:r w:rsidRPr="000974A4">
              <w:rPr>
                <w:rFonts w:eastAsia="Calibri"/>
                <w:szCs w:val="18"/>
                <w:lang w:val="de-DE"/>
              </w:rPr>
              <w:t>0</w:t>
            </w:r>
          </w:p>
        </w:tc>
      </w:tr>
      <w:tr w:rsidR="00B65F3A" w:rsidRPr="000974A4" w14:paraId="1E8B911C" w14:textId="77777777" w:rsidTr="00B65F3A">
        <w:trPr>
          <w:trHeight w:val="57"/>
        </w:trPr>
        <w:tc>
          <w:tcPr>
            <w:tcW w:w="591" w:type="dxa"/>
            <w:gridSpan w:val="2"/>
            <w:vMerge w:val="restart"/>
            <w:tcBorders>
              <w:top w:val="single" w:sz="4" w:space="0" w:color="auto"/>
              <w:bottom w:val="single" w:sz="4" w:space="0" w:color="auto"/>
            </w:tcBorders>
            <w:shd w:val="clear" w:color="auto" w:fill="auto"/>
          </w:tcPr>
          <w:p w14:paraId="59338F83" w14:textId="77777777" w:rsidR="00B65F3A" w:rsidRPr="000974A4" w:rsidRDefault="00B65F3A" w:rsidP="00B65F3A">
            <w:pPr>
              <w:suppressAutoHyphens w:val="0"/>
              <w:kinsoku w:val="0"/>
              <w:overflowPunct w:val="0"/>
              <w:autoSpaceDE w:val="0"/>
              <w:autoSpaceDN w:val="0"/>
              <w:adjustRightInd w:val="0"/>
              <w:spacing w:before="40" w:after="120" w:line="220" w:lineRule="exact"/>
              <w:ind w:right="113"/>
              <w:rPr>
                <w:rFonts w:eastAsia="Calibri"/>
                <w:b/>
                <w:szCs w:val="18"/>
                <w:lang w:val="de-DE"/>
              </w:rPr>
            </w:pPr>
            <w:r w:rsidRPr="000974A4">
              <w:rPr>
                <w:rFonts w:eastAsia="Calibri"/>
                <w:b/>
                <w:szCs w:val="18"/>
                <w:lang w:val="de-DE"/>
              </w:rPr>
              <w:t>8</w:t>
            </w:r>
          </w:p>
        </w:tc>
        <w:tc>
          <w:tcPr>
            <w:tcW w:w="4437" w:type="dxa"/>
            <w:tcBorders>
              <w:top w:val="single" w:sz="4" w:space="0" w:color="auto"/>
              <w:bottom w:val="single" w:sz="4" w:space="0" w:color="auto"/>
            </w:tcBorders>
            <w:shd w:val="clear" w:color="auto" w:fill="auto"/>
          </w:tcPr>
          <w:p w14:paraId="2A15861C" w14:textId="77777777" w:rsidR="00B65F3A" w:rsidRPr="000974A4" w:rsidRDefault="00B65F3A" w:rsidP="00B65F3A">
            <w:pPr>
              <w:suppressAutoHyphens w:val="0"/>
              <w:kinsoku w:val="0"/>
              <w:overflowPunct w:val="0"/>
              <w:autoSpaceDE w:val="0"/>
              <w:autoSpaceDN w:val="0"/>
              <w:adjustRightInd w:val="0"/>
              <w:spacing w:before="40" w:after="120" w:line="220" w:lineRule="exact"/>
              <w:ind w:right="113"/>
              <w:rPr>
                <w:rFonts w:eastAsia="Calibri"/>
                <w:szCs w:val="18"/>
                <w:lang w:val="de-DE"/>
              </w:rPr>
            </w:pPr>
            <w:r w:rsidRPr="000974A4">
              <w:rPr>
                <w:rFonts w:eastAsia="Calibri"/>
                <w:szCs w:val="18"/>
                <w:lang w:val="de-DE"/>
              </w:rPr>
              <w:t xml:space="preserve">Stoffe und Gegenstände der Klasse 8 Verpackungsgruppe I </w:t>
            </w:r>
          </w:p>
        </w:tc>
        <w:tc>
          <w:tcPr>
            <w:tcW w:w="820" w:type="dxa"/>
            <w:tcBorders>
              <w:top w:val="single" w:sz="4" w:space="0" w:color="auto"/>
              <w:bottom w:val="single" w:sz="4" w:space="0" w:color="auto"/>
            </w:tcBorders>
            <w:shd w:val="clear" w:color="auto" w:fill="auto"/>
          </w:tcPr>
          <w:p w14:paraId="16C69AC5" w14:textId="77777777" w:rsidR="00B65F3A" w:rsidRPr="000974A4" w:rsidRDefault="00B65F3A" w:rsidP="00B65F3A">
            <w:pPr>
              <w:suppressAutoHyphens w:val="0"/>
              <w:kinsoku w:val="0"/>
              <w:overflowPunct w:val="0"/>
              <w:autoSpaceDE w:val="0"/>
              <w:autoSpaceDN w:val="0"/>
              <w:adjustRightInd w:val="0"/>
              <w:spacing w:before="40" w:after="120" w:line="220" w:lineRule="exact"/>
              <w:ind w:right="113"/>
              <w:rPr>
                <w:rFonts w:eastAsia="Calibri"/>
                <w:szCs w:val="18"/>
                <w:lang w:val="de-DE"/>
              </w:rPr>
            </w:pPr>
          </w:p>
        </w:tc>
        <w:tc>
          <w:tcPr>
            <w:tcW w:w="821" w:type="dxa"/>
            <w:tcBorders>
              <w:top w:val="single" w:sz="4" w:space="0" w:color="auto"/>
              <w:bottom w:val="single" w:sz="4" w:space="0" w:color="auto"/>
            </w:tcBorders>
            <w:shd w:val="clear" w:color="auto" w:fill="auto"/>
          </w:tcPr>
          <w:p w14:paraId="5C2C2CB0" w14:textId="77777777" w:rsidR="00B65F3A" w:rsidRPr="000974A4" w:rsidRDefault="00B65F3A" w:rsidP="00B65F3A">
            <w:pPr>
              <w:suppressAutoHyphens w:val="0"/>
              <w:kinsoku w:val="0"/>
              <w:overflowPunct w:val="0"/>
              <w:autoSpaceDE w:val="0"/>
              <w:autoSpaceDN w:val="0"/>
              <w:adjustRightInd w:val="0"/>
              <w:spacing w:before="40" w:after="120" w:line="220" w:lineRule="exact"/>
              <w:ind w:right="113"/>
              <w:rPr>
                <w:rFonts w:eastAsia="Calibri"/>
                <w:szCs w:val="18"/>
                <w:lang w:val="de-DE"/>
              </w:rPr>
            </w:pPr>
            <w:r w:rsidRPr="000974A4">
              <w:rPr>
                <w:rFonts w:eastAsia="Calibri"/>
                <w:szCs w:val="18"/>
                <w:lang w:val="de-DE"/>
              </w:rPr>
              <w:t>300</w:t>
            </w:r>
          </w:p>
        </w:tc>
        <w:tc>
          <w:tcPr>
            <w:tcW w:w="701" w:type="dxa"/>
            <w:tcBorders>
              <w:top w:val="single" w:sz="4" w:space="0" w:color="auto"/>
              <w:bottom w:val="single" w:sz="4" w:space="0" w:color="auto"/>
            </w:tcBorders>
            <w:shd w:val="clear" w:color="auto" w:fill="auto"/>
          </w:tcPr>
          <w:p w14:paraId="25BB53D3" w14:textId="77777777" w:rsidR="00B65F3A" w:rsidRPr="000974A4" w:rsidRDefault="00B65F3A" w:rsidP="00B65F3A">
            <w:pPr>
              <w:suppressAutoHyphens w:val="0"/>
              <w:kinsoku w:val="0"/>
              <w:overflowPunct w:val="0"/>
              <w:autoSpaceDE w:val="0"/>
              <w:autoSpaceDN w:val="0"/>
              <w:adjustRightInd w:val="0"/>
              <w:spacing w:before="40" w:after="120" w:line="220" w:lineRule="exact"/>
              <w:ind w:right="113"/>
              <w:rPr>
                <w:rFonts w:eastAsia="Calibri"/>
                <w:szCs w:val="18"/>
                <w:lang w:val="de-DE"/>
              </w:rPr>
            </w:pPr>
          </w:p>
        </w:tc>
      </w:tr>
      <w:tr w:rsidR="00B65F3A" w:rsidRPr="000974A4" w14:paraId="113E2E1A" w14:textId="77777777" w:rsidTr="00B65F3A">
        <w:trPr>
          <w:trHeight w:val="57"/>
        </w:trPr>
        <w:tc>
          <w:tcPr>
            <w:tcW w:w="591" w:type="dxa"/>
            <w:gridSpan w:val="2"/>
            <w:vMerge/>
            <w:tcBorders>
              <w:top w:val="single" w:sz="4" w:space="0" w:color="auto"/>
              <w:bottom w:val="single" w:sz="4" w:space="0" w:color="auto"/>
            </w:tcBorders>
            <w:shd w:val="clear" w:color="auto" w:fill="auto"/>
          </w:tcPr>
          <w:p w14:paraId="6B4A8F46" w14:textId="77777777" w:rsidR="00B65F3A" w:rsidRPr="000974A4" w:rsidRDefault="00B65F3A" w:rsidP="00B65F3A">
            <w:pPr>
              <w:suppressAutoHyphens w:val="0"/>
              <w:kinsoku w:val="0"/>
              <w:overflowPunct w:val="0"/>
              <w:autoSpaceDE w:val="0"/>
              <w:autoSpaceDN w:val="0"/>
              <w:adjustRightInd w:val="0"/>
              <w:spacing w:before="40" w:after="120" w:line="220" w:lineRule="exact"/>
              <w:ind w:right="113"/>
              <w:rPr>
                <w:rFonts w:eastAsia="Calibri"/>
                <w:b/>
                <w:szCs w:val="18"/>
                <w:lang w:val="de-DE"/>
              </w:rPr>
            </w:pPr>
          </w:p>
        </w:tc>
        <w:tc>
          <w:tcPr>
            <w:tcW w:w="4437" w:type="dxa"/>
            <w:tcBorders>
              <w:top w:val="single" w:sz="4" w:space="0" w:color="auto"/>
              <w:bottom w:val="single" w:sz="4" w:space="0" w:color="auto"/>
            </w:tcBorders>
            <w:shd w:val="clear" w:color="auto" w:fill="auto"/>
          </w:tcPr>
          <w:p w14:paraId="266761CC" w14:textId="77777777" w:rsidR="00B65F3A" w:rsidRPr="000974A4" w:rsidRDefault="00B65F3A" w:rsidP="00B65F3A">
            <w:pPr>
              <w:suppressAutoHyphens w:val="0"/>
              <w:kinsoku w:val="0"/>
              <w:overflowPunct w:val="0"/>
              <w:autoSpaceDE w:val="0"/>
              <w:autoSpaceDN w:val="0"/>
              <w:adjustRightInd w:val="0"/>
              <w:spacing w:before="40" w:after="120" w:line="220" w:lineRule="exact"/>
              <w:ind w:right="113"/>
              <w:rPr>
                <w:rFonts w:eastAsia="Calibri"/>
                <w:szCs w:val="18"/>
                <w:lang w:val="de-DE"/>
              </w:rPr>
            </w:pPr>
            <w:r w:rsidRPr="000974A4">
              <w:rPr>
                <w:rFonts w:eastAsia="Calibri"/>
                <w:szCs w:val="18"/>
                <w:lang w:val="de-DE"/>
              </w:rPr>
              <w:t>sonstige Stoffe und Gegenstände der Klasse 8</w:t>
            </w:r>
          </w:p>
        </w:tc>
        <w:tc>
          <w:tcPr>
            <w:tcW w:w="820" w:type="dxa"/>
            <w:tcBorders>
              <w:top w:val="single" w:sz="4" w:space="0" w:color="auto"/>
              <w:bottom w:val="single" w:sz="4" w:space="0" w:color="auto"/>
            </w:tcBorders>
            <w:shd w:val="clear" w:color="auto" w:fill="auto"/>
          </w:tcPr>
          <w:p w14:paraId="671FA234" w14:textId="77777777" w:rsidR="00B65F3A" w:rsidRPr="000974A4" w:rsidRDefault="00B65F3A" w:rsidP="00B65F3A">
            <w:pPr>
              <w:suppressAutoHyphens w:val="0"/>
              <w:kinsoku w:val="0"/>
              <w:overflowPunct w:val="0"/>
              <w:autoSpaceDE w:val="0"/>
              <w:autoSpaceDN w:val="0"/>
              <w:adjustRightInd w:val="0"/>
              <w:spacing w:before="40" w:after="120" w:line="220" w:lineRule="exact"/>
              <w:ind w:right="113"/>
              <w:rPr>
                <w:rFonts w:eastAsia="Calibri"/>
                <w:szCs w:val="18"/>
                <w:lang w:val="de-DE"/>
              </w:rPr>
            </w:pPr>
            <w:r w:rsidRPr="000974A4">
              <w:rPr>
                <w:rFonts w:eastAsia="Calibri"/>
                <w:szCs w:val="18"/>
                <w:lang w:val="de-DE"/>
              </w:rPr>
              <w:t>3000</w:t>
            </w:r>
          </w:p>
        </w:tc>
        <w:tc>
          <w:tcPr>
            <w:tcW w:w="821" w:type="dxa"/>
            <w:tcBorders>
              <w:top w:val="single" w:sz="4" w:space="0" w:color="auto"/>
              <w:bottom w:val="single" w:sz="4" w:space="0" w:color="auto"/>
            </w:tcBorders>
            <w:shd w:val="clear" w:color="auto" w:fill="auto"/>
          </w:tcPr>
          <w:p w14:paraId="439E8F97" w14:textId="77777777" w:rsidR="00B65F3A" w:rsidRPr="000974A4" w:rsidRDefault="00B65F3A" w:rsidP="00B65F3A">
            <w:pPr>
              <w:suppressAutoHyphens w:val="0"/>
              <w:kinsoku w:val="0"/>
              <w:overflowPunct w:val="0"/>
              <w:autoSpaceDE w:val="0"/>
              <w:autoSpaceDN w:val="0"/>
              <w:adjustRightInd w:val="0"/>
              <w:spacing w:before="40" w:after="120" w:line="220" w:lineRule="exact"/>
              <w:ind w:right="113"/>
              <w:rPr>
                <w:rFonts w:eastAsia="Calibri"/>
                <w:szCs w:val="18"/>
                <w:lang w:val="de-DE"/>
              </w:rPr>
            </w:pPr>
          </w:p>
        </w:tc>
        <w:tc>
          <w:tcPr>
            <w:tcW w:w="701" w:type="dxa"/>
            <w:tcBorders>
              <w:top w:val="single" w:sz="4" w:space="0" w:color="auto"/>
              <w:bottom w:val="single" w:sz="4" w:space="0" w:color="auto"/>
            </w:tcBorders>
            <w:shd w:val="clear" w:color="auto" w:fill="auto"/>
          </w:tcPr>
          <w:p w14:paraId="34F76082" w14:textId="77777777" w:rsidR="00B65F3A" w:rsidRPr="000974A4" w:rsidRDefault="00B65F3A" w:rsidP="00B65F3A">
            <w:pPr>
              <w:suppressAutoHyphens w:val="0"/>
              <w:kinsoku w:val="0"/>
              <w:overflowPunct w:val="0"/>
              <w:autoSpaceDE w:val="0"/>
              <w:autoSpaceDN w:val="0"/>
              <w:adjustRightInd w:val="0"/>
              <w:spacing w:before="40" w:after="120" w:line="220" w:lineRule="exact"/>
              <w:ind w:right="113"/>
              <w:rPr>
                <w:rFonts w:eastAsia="Calibri"/>
                <w:szCs w:val="18"/>
                <w:lang w:val="de-DE"/>
              </w:rPr>
            </w:pPr>
          </w:p>
        </w:tc>
      </w:tr>
      <w:tr w:rsidR="00B65F3A" w:rsidRPr="000974A4" w14:paraId="4D4F388A" w14:textId="77777777" w:rsidTr="00B65F3A">
        <w:trPr>
          <w:trHeight w:val="57"/>
        </w:trPr>
        <w:tc>
          <w:tcPr>
            <w:tcW w:w="591" w:type="dxa"/>
            <w:gridSpan w:val="2"/>
            <w:tcBorders>
              <w:top w:val="single" w:sz="4" w:space="0" w:color="auto"/>
            </w:tcBorders>
            <w:shd w:val="clear" w:color="auto" w:fill="auto"/>
          </w:tcPr>
          <w:p w14:paraId="197B4AE1" w14:textId="77777777" w:rsidR="00B65F3A" w:rsidRPr="000974A4" w:rsidRDefault="00B65F3A" w:rsidP="00B65F3A">
            <w:pPr>
              <w:suppressAutoHyphens w:val="0"/>
              <w:kinsoku w:val="0"/>
              <w:overflowPunct w:val="0"/>
              <w:autoSpaceDE w:val="0"/>
              <w:autoSpaceDN w:val="0"/>
              <w:adjustRightInd w:val="0"/>
              <w:spacing w:before="40" w:after="120" w:line="220" w:lineRule="exact"/>
              <w:ind w:right="113"/>
              <w:rPr>
                <w:rFonts w:eastAsia="Calibri"/>
                <w:b/>
                <w:szCs w:val="18"/>
                <w:lang w:val="de-DE"/>
              </w:rPr>
            </w:pPr>
            <w:r w:rsidRPr="000974A4">
              <w:rPr>
                <w:rFonts w:eastAsia="Calibri"/>
                <w:b/>
                <w:szCs w:val="18"/>
                <w:lang w:val="de-DE"/>
              </w:rPr>
              <w:t>9</w:t>
            </w:r>
          </w:p>
        </w:tc>
        <w:tc>
          <w:tcPr>
            <w:tcW w:w="4437" w:type="dxa"/>
            <w:tcBorders>
              <w:top w:val="single" w:sz="4" w:space="0" w:color="auto"/>
            </w:tcBorders>
            <w:shd w:val="clear" w:color="auto" w:fill="auto"/>
          </w:tcPr>
          <w:p w14:paraId="29F44C64" w14:textId="77777777" w:rsidR="00B65F3A" w:rsidRPr="000974A4" w:rsidRDefault="00B65F3A" w:rsidP="00B65F3A">
            <w:pPr>
              <w:suppressAutoHyphens w:val="0"/>
              <w:kinsoku w:val="0"/>
              <w:overflowPunct w:val="0"/>
              <w:autoSpaceDE w:val="0"/>
              <w:autoSpaceDN w:val="0"/>
              <w:adjustRightInd w:val="0"/>
              <w:spacing w:before="40" w:after="120" w:line="220" w:lineRule="exact"/>
              <w:ind w:right="113"/>
              <w:rPr>
                <w:rFonts w:eastAsia="Calibri"/>
                <w:szCs w:val="18"/>
                <w:lang w:val="de-DE"/>
              </w:rPr>
            </w:pPr>
            <w:r w:rsidRPr="000974A4">
              <w:rPr>
                <w:rFonts w:eastAsia="Calibri"/>
                <w:szCs w:val="18"/>
                <w:lang w:val="de-DE"/>
              </w:rPr>
              <w:t>alle Stoffe und Gegenstände der Klasse 9</w:t>
            </w:r>
          </w:p>
        </w:tc>
        <w:tc>
          <w:tcPr>
            <w:tcW w:w="820" w:type="dxa"/>
            <w:tcBorders>
              <w:top w:val="single" w:sz="4" w:space="0" w:color="auto"/>
            </w:tcBorders>
            <w:shd w:val="clear" w:color="auto" w:fill="auto"/>
          </w:tcPr>
          <w:p w14:paraId="1C236A14" w14:textId="77777777" w:rsidR="00B65F3A" w:rsidRPr="000974A4" w:rsidRDefault="00B65F3A" w:rsidP="00B65F3A">
            <w:pPr>
              <w:suppressAutoHyphens w:val="0"/>
              <w:kinsoku w:val="0"/>
              <w:overflowPunct w:val="0"/>
              <w:autoSpaceDE w:val="0"/>
              <w:autoSpaceDN w:val="0"/>
              <w:adjustRightInd w:val="0"/>
              <w:spacing w:before="40" w:after="120" w:line="220" w:lineRule="exact"/>
              <w:ind w:right="113"/>
              <w:rPr>
                <w:rFonts w:eastAsia="Calibri"/>
                <w:szCs w:val="18"/>
                <w:lang w:val="de-DE"/>
              </w:rPr>
            </w:pPr>
            <w:r w:rsidRPr="000974A4">
              <w:rPr>
                <w:rFonts w:eastAsia="Calibri"/>
                <w:szCs w:val="18"/>
                <w:lang w:val="de-DE"/>
              </w:rPr>
              <w:t>3000</w:t>
            </w:r>
          </w:p>
        </w:tc>
        <w:tc>
          <w:tcPr>
            <w:tcW w:w="821" w:type="dxa"/>
            <w:tcBorders>
              <w:top w:val="single" w:sz="4" w:space="0" w:color="auto"/>
            </w:tcBorders>
            <w:shd w:val="clear" w:color="auto" w:fill="auto"/>
          </w:tcPr>
          <w:p w14:paraId="15A93B43" w14:textId="77777777" w:rsidR="00B65F3A" w:rsidRPr="000974A4" w:rsidRDefault="00B65F3A" w:rsidP="00B65F3A">
            <w:pPr>
              <w:suppressAutoHyphens w:val="0"/>
              <w:kinsoku w:val="0"/>
              <w:overflowPunct w:val="0"/>
              <w:autoSpaceDE w:val="0"/>
              <w:autoSpaceDN w:val="0"/>
              <w:adjustRightInd w:val="0"/>
              <w:spacing w:before="40" w:after="120" w:line="220" w:lineRule="exact"/>
              <w:ind w:right="113"/>
              <w:rPr>
                <w:rFonts w:eastAsia="Calibri"/>
                <w:szCs w:val="18"/>
                <w:lang w:val="de-DE"/>
              </w:rPr>
            </w:pPr>
          </w:p>
        </w:tc>
        <w:tc>
          <w:tcPr>
            <w:tcW w:w="701" w:type="dxa"/>
            <w:tcBorders>
              <w:top w:val="single" w:sz="4" w:space="0" w:color="auto"/>
            </w:tcBorders>
            <w:shd w:val="clear" w:color="auto" w:fill="auto"/>
          </w:tcPr>
          <w:p w14:paraId="18534372" w14:textId="77777777" w:rsidR="00B65F3A" w:rsidRPr="000974A4" w:rsidRDefault="00B65F3A" w:rsidP="00B65F3A">
            <w:pPr>
              <w:suppressAutoHyphens w:val="0"/>
              <w:kinsoku w:val="0"/>
              <w:overflowPunct w:val="0"/>
              <w:autoSpaceDE w:val="0"/>
              <w:autoSpaceDN w:val="0"/>
              <w:adjustRightInd w:val="0"/>
              <w:spacing w:before="40" w:after="120" w:line="220" w:lineRule="exact"/>
              <w:ind w:right="113"/>
              <w:rPr>
                <w:rFonts w:eastAsia="Calibri"/>
                <w:szCs w:val="18"/>
                <w:lang w:val="de-DE"/>
              </w:rPr>
            </w:pPr>
          </w:p>
        </w:tc>
      </w:tr>
    </w:tbl>
    <w:p w14:paraId="7338F4F3" w14:textId="77777777" w:rsidR="00B65F3A" w:rsidRPr="000974A4" w:rsidRDefault="00B65F3A" w:rsidP="004E750C">
      <w:pPr>
        <w:pStyle w:val="SingleTxtG"/>
        <w:spacing w:before="120" w:after="0"/>
        <w:rPr>
          <w:i/>
          <w:iCs/>
          <w:lang w:val="de-DE"/>
        </w:rPr>
      </w:pPr>
      <w:r w:rsidRPr="000974A4">
        <w:rPr>
          <w:lang w:val="de-DE"/>
        </w:rPr>
        <w:t>“</w:t>
      </w:r>
      <w:r w:rsidRPr="000974A4">
        <w:rPr>
          <w:i/>
          <w:iCs/>
          <w:lang w:val="de-DE"/>
        </w:rPr>
        <w:t>.</w:t>
      </w:r>
    </w:p>
    <w:p w14:paraId="6B1A00EA" w14:textId="77777777" w:rsidR="00B65F3A" w:rsidRPr="000974A4" w:rsidRDefault="00B65F3A" w:rsidP="004E750C">
      <w:pPr>
        <w:pStyle w:val="SingleTxtG"/>
        <w:rPr>
          <w:lang w:val="de-DE"/>
        </w:rPr>
      </w:pPr>
      <w:r w:rsidRPr="000974A4">
        <w:rPr>
          <w:i/>
          <w:iCs/>
          <w:lang w:val="de-DE"/>
        </w:rPr>
        <w:t>(Referenzdokument: ECE/TRANS/WP.15/AC.2/2019/10, wie geändert)</w:t>
      </w:r>
    </w:p>
    <w:p w14:paraId="5FA20DE9" w14:textId="77777777" w:rsidR="00B65F3A" w:rsidRPr="000974A4" w:rsidRDefault="00B65F3A" w:rsidP="00B65F3A">
      <w:pPr>
        <w:pStyle w:val="H1G"/>
        <w:rPr>
          <w:lang w:val="de-DE"/>
        </w:rPr>
      </w:pPr>
      <w:r w:rsidRPr="000974A4">
        <w:rPr>
          <w:lang w:val="de-DE"/>
        </w:rPr>
        <w:tab/>
      </w:r>
      <w:r w:rsidRPr="000974A4">
        <w:rPr>
          <w:lang w:val="de-DE"/>
        </w:rPr>
        <w:tab/>
        <w:t>Kapitel 1.2</w:t>
      </w:r>
    </w:p>
    <w:p w14:paraId="66FC9C0D" w14:textId="77777777" w:rsidR="00B65F3A" w:rsidRPr="000974A4" w:rsidRDefault="00B65F3A" w:rsidP="00B65F3A">
      <w:pPr>
        <w:pStyle w:val="SingleTxtG"/>
        <w:rPr>
          <w:lang w:val="de-DE"/>
        </w:rPr>
      </w:pPr>
      <w:r w:rsidRPr="000974A4">
        <w:rPr>
          <w:lang w:val="de-DE"/>
        </w:rPr>
        <w:t>1.2.1</w:t>
      </w:r>
      <w:r w:rsidRPr="000974A4">
        <w:rPr>
          <w:lang w:val="de-DE"/>
        </w:rPr>
        <w:tab/>
        <w:t>Begriffsbestimmung für „</w:t>
      </w:r>
      <w:r w:rsidRPr="000974A4">
        <w:rPr>
          <w:b/>
          <w:i/>
          <w:lang w:val="de-DE"/>
        </w:rPr>
        <w:t>Slops</w:t>
      </w:r>
      <w:bookmarkStart w:id="14" w:name="_Hlk2949648"/>
      <w:r w:rsidRPr="000974A4">
        <w:rPr>
          <w:lang w:val="de-DE"/>
        </w:rPr>
        <w:t>“</w:t>
      </w:r>
      <w:bookmarkEnd w:id="14"/>
    </w:p>
    <w:p w14:paraId="03FB9AF5" w14:textId="77777777" w:rsidR="00B65F3A" w:rsidRPr="000974A4" w:rsidRDefault="00B65F3A" w:rsidP="00B65F3A">
      <w:pPr>
        <w:pStyle w:val="SingleTxtG"/>
        <w:rPr>
          <w:iCs/>
          <w:lang w:val="de-DE"/>
        </w:rPr>
      </w:pPr>
      <w:r w:rsidRPr="000974A4">
        <w:rPr>
          <w:iCs/>
          <w:lang w:val="de-DE"/>
        </w:rPr>
        <w:t>[</w:t>
      </w:r>
      <w:r w:rsidRPr="000974A4">
        <w:rPr>
          <w:bCs/>
          <w:iCs/>
          <w:lang w:val="de-DE"/>
        </w:rPr>
        <w:t>Die Änderung</w:t>
      </w:r>
      <w:r w:rsidRPr="000974A4">
        <w:rPr>
          <w:iCs/>
          <w:lang w:val="de-DE"/>
        </w:rPr>
        <w:t xml:space="preserve"> </w:t>
      </w:r>
      <w:bookmarkStart w:id="15" w:name="_Hlk2863679"/>
      <w:r w:rsidRPr="000974A4">
        <w:rPr>
          <w:iCs/>
          <w:lang w:val="de-DE"/>
        </w:rPr>
        <w:t>in der englischen Fassung hat keine Auswirkungen auf den deutschen Text.]</w:t>
      </w:r>
    </w:p>
    <w:bookmarkEnd w:id="15"/>
    <w:p w14:paraId="6674629F" w14:textId="77777777" w:rsidR="00B65F3A" w:rsidRPr="000974A4" w:rsidRDefault="00B65F3A" w:rsidP="00B65F3A">
      <w:pPr>
        <w:pStyle w:val="SingleTxtG"/>
        <w:rPr>
          <w:lang w:val="de-DE"/>
        </w:rPr>
      </w:pPr>
      <w:r w:rsidRPr="000974A4">
        <w:rPr>
          <w:i/>
          <w:iCs/>
          <w:lang w:val="de-DE"/>
        </w:rPr>
        <w:t>(Referenzdokument: ECE/TRANS/WP.15/AC.2/2019/17)</w:t>
      </w:r>
    </w:p>
    <w:p w14:paraId="19F861C1" w14:textId="77777777" w:rsidR="00B65F3A" w:rsidRPr="000974A4" w:rsidRDefault="00B65F3A" w:rsidP="00B65F3A">
      <w:pPr>
        <w:pStyle w:val="H1G"/>
        <w:rPr>
          <w:lang w:val="de-DE"/>
        </w:rPr>
      </w:pPr>
      <w:r w:rsidRPr="000974A4">
        <w:rPr>
          <w:lang w:val="de-DE"/>
        </w:rPr>
        <w:tab/>
      </w:r>
      <w:r w:rsidRPr="000974A4">
        <w:rPr>
          <w:lang w:val="de-DE"/>
        </w:rPr>
        <w:tab/>
        <w:t>Kapitel 1.6</w:t>
      </w:r>
    </w:p>
    <w:p w14:paraId="68CAE37B" w14:textId="77777777" w:rsidR="00B65F3A" w:rsidRPr="000974A4" w:rsidRDefault="00B65F3A" w:rsidP="00B65F3A">
      <w:pPr>
        <w:tabs>
          <w:tab w:val="left" w:pos="2268"/>
        </w:tabs>
        <w:spacing w:after="120"/>
        <w:ind w:left="1134" w:right="1134"/>
        <w:rPr>
          <w:rFonts w:eastAsia="SimSun"/>
          <w:lang w:val="de-DE" w:eastAsia="zh-CN"/>
        </w:rPr>
      </w:pPr>
      <w:r w:rsidRPr="000974A4">
        <w:rPr>
          <w:lang w:val="de-DE"/>
        </w:rPr>
        <w:t>1.6.7.2.2.2</w:t>
      </w:r>
      <w:r w:rsidRPr="000974A4">
        <w:rPr>
          <w:lang w:val="de-DE"/>
        </w:rPr>
        <w:tab/>
      </w:r>
      <w:r w:rsidRPr="000974A4">
        <w:rPr>
          <w:rFonts w:eastAsia="SimSun"/>
          <w:lang w:val="de-DE" w:eastAsia="zh-CN"/>
        </w:rPr>
        <w:t>Die Übergangsvorschrift für 9.3.1.8.4, 9.3.2.8.4, 9.3.3.8.4 streichen.</w:t>
      </w:r>
    </w:p>
    <w:p w14:paraId="4A85D2A1" w14:textId="46DAC605" w:rsidR="00B65F3A" w:rsidRPr="000974A4" w:rsidRDefault="00B65F3A" w:rsidP="00B65F3A">
      <w:pPr>
        <w:pStyle w:val="SingleTxtG"/>
        <w:rPr>
          <w:lang w:val="de-DE"/>
        </w:rPr>
      </w:pPr>
      <w:r w:rsidRPr="000974A4">
        <w:rPr>
          <w:i/>
          <w:iCs/>
          <w:lang w:val="de-DE"/>
        </w:rPr>
        <w:t>(Referenzdokument: ECE/TRANS/WP.15/AC.2/2019/9)</w:t>
      </w:r>
    </w:p>
    <w:p w14:paraId="0AEE4861" w14:textId="77777777" w:rsidR="00B65F3A" w:rsidRPr="000974A4" w:rsidRDefault="00B65F3A" w:rsidP="00B65F3A">
      <w:pPr>
        <w:pStyle w:val="SingleTxtG"/>
        <w:rPr>
          <w:lang w:val="de-DE"/>
        </w:rPr>
      </w:pPr>
      <w:r w:rsidRPr="000974A4">
        <w:rPr>
          <w:lang w:val="de-DE"/>
        </w:rPr>
        <w:t>1.6.7.5</w:t>
      </w:r>
      <w:r w:rsidRPr="000974A4">
        <w:rPr>
          <w:lang w:val="de-DE"/>
        </w:rPr>
        <w:tab/>
      </w:r>
      <w:r w:rsidRPr="000974A4">
        <w:rPr>
          <w:lang w:val="de-DE"/>
        </w:rPr>
        <w:tab/>
        <w:t>Erhält folgenden Wortlaut:</w:t>
      </w:r>
    </w:p>
    <w:p w14:paraId="725B5533" w14:textId="77777777" w:rsidR="00B65F3A" w:rsidRPr="000974A4" w:rsidRDefault="00B65F3A" w:rsidP="00B65F3A">
      <w:pPr>
        <w:spacing w:after="120"/>
        <w:ind w:left="1134" w:right="1134"/>
        <w:jc w:val="both"/>
        <w:rPr>
          <w:lang w:val="de-DE"/>
        </w:rPr>
      </w:pPr>
      <w:r w:rsidRPr="000974A4">
        <w:rPr>
          <w:lang w:val="de-DE"/>
        </w:rPr>
        <w:t>„1.6.7.5</w:t>
      </w:r>
      <w:r w:rsidRPr="000974A4">
        <w:rPr>
          <w:lang w:val="de-DE"/>
        </w:rPr>
        <w:tab/>
        <w:t>Übergangsvorschriften im Falle von Umbauten von Tankschiffen</w:t>
      </w:r>
    </w:p>
    <w:p w14:paraId="34E08CEC" w14:textId="77777777" w:rsidR="00B65F3A" w:rsidRPr="000974A4" w:rsidRDefault="00B65F3A" w:rsidP="00B65F3A">
      <w:pPr>
        <w:spacing w:after="120"/>
        <w:ind w:left="1134" w:right="1134"/>
        <w:jc w:val="both"/>
        <w:rPr>
          <w:lang w:val="de-DE"/>
        </w:rPr>
      </w:pPr>
      <w:r w:rsidRPr="000974A4">
        <w:rPr>
          <w:lang w:val="de-DE"/>
        </w:rPr>
        <w:t>1.6.7.5.1</w:t>
      </w:r>
      <w:r w:rsidRPr="000974A4">
        <w:rPr>
          <w:lang w:val="de-DE"/>
        </w:rPr>
        <w:tab/>
        <w:t>Für Schiffe, bei denen ein Umbau im Bereich der Ladung zum Erreichen eines Schiffstyps N Doppelhülle bis zum 31. Dezember 2018 unter folgenden Bedingungen erfolgt ist, gelten folgende Bedingungen:</w:t>
      </w:r>
    </w:p>
    <w:p w14:paraId="258B1C44" w14:textId="77777777" w:rsidR="00B65F3A" w:rsidRPr="000974A4" w:rsidRDefault="00B65F3A" w:rsidP="00B65F3A">
      <w:pPr>
        <w:spacing w:after="120"/>
        <w:ind w:left="2835" w:right="1134" w:hanging="567"/>
        <w:jc w:val="both"/>
        <w:rPr>
          <w:rFonts w:cs="Arial"/>
          <w:lang w:val="de-DE"/>
        </w:rPr>
      </w:pPr>
      <w:r w:rsidRPr="000974A4">
        <w:rPr>
          <w:lang w:val="de-DE"/>
        </w:rPr>
        <w:t>a)</w:t>
      </w:r>
      <w:r w:rsidRPr="000974A4">
        <w:rPr>
          <w:lang w:val="de-DE"/>
        </w:rPr>
        <w:tab/>
        <w:t>Der umgebaute oder neue Bereich der Ladung muss den Vorschriften dieser Verordnung entsprechen. Übergangsvorschriften gemäß Absatz 1.6.7.2.2 dürfen für den Bereich der Ladung nicht in Anspruch genommen werden.</w:t>
      </w:r>
    </w:p>
    <w:p w14:paraId="57874AE2" w14:textId="77777777" w:rsidR="00A01F93" w:rsidRDefault="00A01F93">
      <w:pPr>
        <w:suppressAutoHyphens w:val="0"/>
        <w:spacing w:line="240" w:lineRule="auto"/>
        <w:rPr>
          <w:lang w:val="de-DE"/>
        </w:rPr>
      </w:pPr>
      <w:bookmarkStart w:id="16" w:name="_Hlk528743038"/>
      <w:r>
        <w:rPr>
          <w:lang w:val="de-DE"/>
        </w:rPr>
        <w:br w:type="page"/>
      </w:r>
    </w:p>
    <w:p w14:paraId="64C83112" w14:textId="70E33579" w:rsidR="00B65F3A" w:rsidRPr="000974A4" w:rsidRDefault="00B65F3A" w:rsidP="00B65F3A">
      <w:pPr>
        <w:spacing w:after="120"/>
        <w:ind w:left="2835" w:right="1134" w:hanging="567"/>
        <w:jc w:val="both"/>
        <w:rPr>
          <w:lang w:val="de-DE"/>
        </w:rPr>
      </w:pPr>
      <w:r w:rsidRPr="000974A4">
        <w:rPr>
          <w:lang w:val="de-DE"/>
        </w:rPr>
        <w:lastRenderedPageBreak/>
        <w:t>b)</w:t>
      </w:r>
      <w:r w:rsidRPr="000974A4">
        <w:rPr>
          <w:lang w:val="de-DE"/>
        </w:rPr>
        <w:tab/>
        <w:t>Auch die Bereiche des Schiffes außerhalb des Bereichs der Ladung müssen den Vorschriften dieser Verordnung entsprechen. Es dürfen aber folgende Übergangsvorschriften gemäß Absatz 1.6.7.2.2 zu 1.2.1, 9.3.3.0.3 d), 9.3.3.51.3, 9.3.3.52.4 letzter Satz in der bis zum 31. Dezember 2018 geltenden Fassung in Anspruch genommen werden.</w:t>
      </w:r>
    </w:p>
    <w:p w14:paraId="6F0F6D9B" w14:textId="77777777" w:rsidR="00B65F3A" w:rsidRPr="000974A4" w:rsidRDefault="00B65F3A" w:rsidP="00B65F3A">
      <w:pPr>
        <w:spacing w:after="120"/>
        <w:ind w:left="2835" w:right="1134" w:hanging="567"/>
        <w:jc w:val="both"/>
        <w:rPr>
          <w:rFonts w:cs="Arial"/>
          <w:lang w:val="de-DE"/>
        </w:rPr>
      </w:pPr>
      <w:r w:rsidRPr="000974A4">
        <w:rPr>
          <w:lang w:val="de-DE"/>
        </w:rPr>
        <w:t>c)</w:t>
      </w:r>
      <w:r w:rsidRPr="000974A4">
        <w:rPr>
          <w:lang w:val="de-DE"/>
        </w:rPr>
        <w:tab/>
        <w:t>Wenn die Stoffliste nach Absatz 1.16.1.2.5 Güter enthält, für die Explosionsschutz verlangt wird, müssen die Wohnungen und das Steuerhaus mit einem Feuermeldesystem nach Absatz 9.3.3.40.2.3 versehen sein.</w:t>
      </w:r>
    </w:p>
    <w:p w14:paraId="3DECCCFE" w14:textId="77777777" w:rsidR="00B65F3A" w:rsidRPr="000974A4" w:rsidRDefault="00B65F3A" w:rsidP="00B65F3A">
      <w:pPr>
        <w:spacing w:after="120"/>
        <w:ind w:left="2835" w:right="1134" w:hanging="567"/>
        <w:jc w:val="both"/>
        <w:rPr>
          <w:rFonts w:cs="Arial"/>
          <w:lang w:val="de-DE"/>
        </w:rPr>
      </w:pPr>
      <w:r w:rsidRPr="000974A4">
        <w:rPr>
          <w:lang w:val="de-DE"/>
        </w:rPr>
        <w:t>d)</w:t>
      </w:r>
      <w:r w:rsidRPr="000974A4">
        <w:rPr>
          <w:lang w:val="de-DE"/>
        </w:rPr>
        <w:tab/>
        <w:t>Die Inanspruchnahme dieses Unterabschnitts ist in das Zulassungszeugnis im Feld 13 (Zusätzliche Bemerkungen) einzutragen.</w:t>
      </w:r>
    </w:p>
    <w:bookmarkEnd w:id="16"/>
    <w:p w14:paraId="40810583" w14:textId="77777777" w:rsidR="00B65F3A" w:rsidRPr="000974A4" w:rsidRDefault="00B65F3A" w:rsidP="00B65F3A">
      <w:pPr>
        <w:spacing w:after="120"/>
        <w:ind w:left="1134" w:right="1134"/>
        <w:jc w:val="both"/>
        <w:rPr>
          <w:lang w:val="de-DE"/>
        </w:rPr>
      </w:pPr>
      <w:r w:rsidRPr="000974A4">
        <w:rPr>
          <w:lang w:val="de-DE"/>
        </w:rPr>
        <w:t>1.6.7.5.2</w:t>
      </w:r>
      <w:r w:rsidRPr="000974A4">
        <w:rPr>
          <w:lang w:val="de-DE"/>
        </w:rPr>
        <w:tab/>
        <w:t>Die umgebauten Schiffe dürfen über den 31. Dezember 2018 hinaus weiter betrieben werden. Die Fristen der in Anspruch genommenen Übergangsvorschriften gemäß Absatz 1.6.7.2.2 zu 1.2.1, 9.3.3.0.3 d), 9.3.3.51.3, 9.3.3.52.4 letzter Satz sind in der bis zum 31. Dezember 2018 geltenden Fassung einzuhalten.“.</w:t>
      </w:r>
    </w:p>
    <w:p w14:paraId="30BD593E" w14:textId="77777777" w:rsidR="00B65F3A" w:rsidRPr="000974A4" w:rsidRDefault="00B65F3A" w:rsidP="00B65F3A">
      <w:pPr>
        <w:pStyle w:val="SingleTxtG"/>
        <w:rPr>
          <w:i/>
          <w:iCs/>
          <w:lang w:val="de-DE"/>
        </w:rPr>
      </w:pPr>
      <w:r w:rsidRPr="000974A4">
        <w:rPr>
          <w:i/>
          <w:iCs/>
          <w:lang w:val="de-DE"/>
        </w:rPr>
        <w:t>(Referenzdokument: ECE/TRANS/WP.15/AC.2/2019/4, wie geändert)</w:t>
      </w:r>
    </w:p>
    <w:p w14:paraId="6B157384" w14:textId="77777777" w:rsidR="00B65F3A" w:rsidRPr="000974A4" w:rsidRDefault="00B65F3A" w:rsidP="00A01F93">
      <w:pPr>
        <w:pStyle w:val="H1G"/>
        <w:spacing w:before="240"/>
        <w:rPr>
          <w:lang w:val="de-DE"/>
        </w:rPr>
      </w:pPr>
      <w:r w:rsidRPr="000974A4">
        <w:rPr>
          <w:lang w:val="de-DE"/>
        </w:rPr>
        <w:tab/>
      </w:r>
      <w:r w:rsidRPr="000974A4">
        <w:rPr>
          <w:lang w:val="de-DE"/>
        </w:rPr>
        <w:tab/>
        <w:t>Kapitel 1.16</w:t>
      </w:r>
    </w:p>
    <w:p w14:paraId="30FD808C" w14:textId="77777777" w:rsidR="00B65F3A" w:rsidRPr="000974A4" w:rsidRDefault="00B65F3A" w:rsidP="00B65F3A">
      <w:pPr>
        <w:pStyle w:val="SingleTxtG"/>
        <w:rPr>
          <w:lang w:val="de-DE"/>
        </w:rPr>
      </w:pPr>
      <w:r w:rsidRPr="000974A4">
        <w:rPr>
          <w:lang w:val="de-DE"/>
        </w:rPr>
        <w:t>1.16.1.3.2</w:t>
      </w:r>
      <w:r w:rsidRPr="000974A4">
        <w:rPr>
          <w:lang w:val="de-DE"/>
        </w:rPr>
        <w:tab/>
        <w:t>Im letzten Satz „Nummer 12“ ändern in: „Nummer 13“.</w:t>
      </w:r>
    </w:p>
    <w:p w14:paraId="08393C6D" w14:textId="77777777" w:rsidR="00B65F3A" w:rsidRPr="000974A4" w:rsidRDefault="00B65F3A" w:rsidP="00B65F3A">
      <w:pPr>
        <w:pStyle w:val="SingleTxtG"/>
        <w:rPr>
          <w:lang w:val="de-DE"/>
        </w:rPr>
      </w:pPr>
      <w:r w:rsidRPr="000974A4">
        <w:rPr>
          <w:i/>
          <w:iCs/>
          <w:lang w:val="de-DE"/>
        </w:rPr>
        <w:t>(Referenzdokument: ECE/TRANS/WP.15/AC.2/2019/4)</w:t>
      </w:r>
    </w:p>
    <w:p w14:paraId="16CFD29B" w14:textId="77777777" w:rsidR="00B65F3A" w:rsidRPr="000974A4" w:rsidRDefault="00B65F3A" w:rsidP="00A01F93">
      <w:pPr>
        <w:pStyle w:val="H1G"/>
        <w:spacing w:before="240"/>
        <w:rPr>
          <w:lang w:val="de-DE"/>
        </w:rPr>
      </w:pPr>
      <w:r w:rsidRPr="000974A4">
        <w:rPr>
          <w:lang w:val="de-DE"/>
        </w:rPr>
        <w:tab/>
      </w:r>
      <w:r w:rsidRPr="000974A4">
        <w:rPr>
          <w:lang w:val="de-DE"/>
        </w:rPr>
        <w:tab/>
        <w:t>Kapitel 3.2</w:t>
      </w:r>
    </w:p>
    <w:p w14:paraId="3DCF2FD8" w14:textId="77777777" w:rsidR="00B65F3A" w:rsidRPr="000974A4" w:rsidRDefault="00B65F3A" w:rsidP="00B65F3A">
      <w:pPr>
        <w:pStyle w:val="SingleTxtG"/>
        <w:rPr>
          <w:lang w:val="de-DE"/>
        </w:rPr>
      </w:pPr>
      <w:r w:rsidRPr="000974A4">
        <w:rPr>
          <w:lang w:val="de-DE"/>
        </w:rPr>
        <w:t>3.2.3.1</w:t>
      </w:r>
      <w:r w:rsidRPr="000974A4">
        <w:rPr>
          <w:lang w:val="de-DE"/>
        </w:rPr>
        <w:tab/>
      </w:r>
      <w:r w:rsidRPr="000974A4">
        <w:rPr>
          <w:lang w:val="de-DE"/>
        </w:rPr>
        <w:tab/>
        <w:t>In der erläuternden Bemerkung zu Spalte (3b) im zweiten Spiegelstrich streichen: „, 8“.</w:t>
      </w:r>
    </w:p>
    <w:p w14:paraId="506B3966" w14:textId="77777777" w:rsidR="00B65F3A" w:rsidRPr="000974A4" w:rsidRDefault="00B65F3A" w:rsidP="00B65F3A">
      <w:pPr>
        <w:pStyle w:val="SingleTxtG"/>
        <w:ind w:firstLine="1134"/>
        <w:rPr>
          <w:lang w:val="de-DE"/>
        </w:rPr>
      </w:pPr>
      <w:r w:rsidRPr="000974A4">
        <w:rPr>
          <w:lang w:val="de-DE"/>
        </w:rPr>
        <w:t xml:space="preserve">In der erläuternden Bemerkung zu Spalte (3b) einen neuen dritten Spiegelstrich mit folgendem Wortlaut einfügen: </w:t>
      </w:r>
    </w:p>
    <w:p w14:paraId="3C85E648" w14:textId="77777777" w:rsidR="00B65F3A" w:rsidRPr="000974A4" w:rsidRDefault="00B65F3A" w:rsidP="00B65F3A">
      <w:pPr>
        <w:pStyle w:val="SingleTxtG"/>
        <w:tabs>
          <w:tab w:val="left" w:pos="2552"/>
        </w:tabs>
        <w:ind w:left="2552" w:hanging="284"/>
        <w:rPr>
          <w:lang w:val="de-DE"/>
        </w:rPr>
      </w:pPr>
      <w:r w:rsidRPr="000974A4">
        <w:rPr>
          <w:lang w:val="de-DE"/>
        </w:rPr>
        <w:t>„-</w:t>
      </w:r>
      <w:r w:rsidRPr="000974A4">
        <w:rPr>
          <w:lang w:val="de-DE"/>
        </w:rPr>
        <w:tab/>
        <w:t>Für gefährliche Stoffe oder Gegenstände der Klasse 8 werden die Codes in Absatz 2.2.8.1.4.1 erläutert.“.</w:t>
      </w:r>
    </w:p>
    <w:p w14:paraId="77E02508" w14:textId="77777777" w:rsidR="00B65F3A" w:rsidRPr="000974A4" w:rsidRDefault="00B65F3A" w:rsidP="00B65F3A">
      <w:pPr>
        <w:pStyle w:val="SingleTxtG"/>
        <w:rPr>
          <w:lang w:val="de-DE"/>
        </w:rPr>
      </w:pPr>
      <w:r w:rsidRPr="000974A4">
        <w:rPr>
          <w:i/>
          <w:iCs/>
          <w:lang w:val="de-DE"/>
        </w:rPr>
        <w:t>(Referenzdokument: ECE/TRANS/WP.15/AC.2/2019/17)</w:t>
      </w:r>
    </w:p>
    <w:p w14:paraId="3C708214" w14:textId="77777777" w:rsidR="00B65F3A" w:rsidRPr="000974A4" w:rsidRDefault="00B65F3A" w:rsidP="00B65F3A">
      <w:pPr>
        <w:pStyle w:val="H1G"/>
        <w:rPr>
          <w:lang w:val="de-DE"/>
        </w:rPr>
      </w:pPr>
      <w:r w:rsidRPr="000974A4">
        <w:rPr>
          <w:lang w:val="de-DE"/>
        </w:rPr>
        <w:tab/>
      </w:r>
      <w:r w:rsidRPr="000974A4">
        <w:rPr>
          <w:lang w:val="de-DE"/>
        </w:rPr>
        <w:tab/>
        <w:t>Kapitel 3.2, Tabelle C</w:t>
      </w:r>
    </w:p>
    <w:p w14:paraId="433B1A73" w14:textId="77777777" w:rsidR="00B65F3A" w:rsidRPr="000974A4" w:rsidRDefault="00B65F3A" w:rsidP="00B65F3A">
      <w:pPr>
        <w:pStyle w:val="SingleTxtG"/>
        <w:rPr>
          <w:lang w:val="de-DE"/>
        </w:rPr>
      </w:pPr>
      <w:r w:rsidRPr="000974A4">
        <w:rPr>
          <w:lang w:val="de-DE"/>
        </w:rPr>
        <w:t>In der Überschrift eine neue zweite Zeile mit folgendem Wortlaut hinzufügen:</w:t>
      </w:r>
    </w:p>
    <w:p w14:paraId="4D7277CE" w14:textId="77777777" w:rsidR="00B65F3A" w:rsidRPr="000974A4" w:rsidRDefault="00B65F3A" w:rsidP="00A01F93">
      <w:pPr>
        <w:pStyle w:val="SingleTxtG"/>
        <w:spacing w:after="0"/>
        <w:rPr>
          <w:lang w:val="de-DE"/>
        </w:rPr>
      </w:pPr>
      <w:r w:rsidRPr="000974A4">
        <w:rPr>
          <w:lang w:val="de-DE"/>
        </w:rPr>
        <w:t>„</w:t>
      </w:r>
    </w:p>
    <w:tbl>
      <w:tblPr>
        <w:tblW w:w="4636" w:type="pct"/>
        <w:jc w:val="center"/>
        <w:tblCellMar>
          <w:top w:w="28" w:type="dxa"/>
          <w:left w:w="28" w:type="dxa"/>
          <w:bottom w:w="28" w:type="dxa"/>
          <w:right w:w="28" w:type="dxa"/>
        </w:tblCellMar>
        <w:tblLook w:val="0000" w:firstRow="0" w:lastRow="0" w:firstColumn="0" w:lastColumn="0" w:noHBand="0" w:noVBand="0"/>
      </w:tblPr>
      <w:tblGrid>
        <w:gridCol w:w="993"/>
        <w:gridCol w:w="1306"/>
        <w:gridCol w:w="478"/>
        <w:gridCol w:w="651"/>
        <w:gridCol w:w="707"/>
        <w:gridCol w:w="1024"/>
        <w:gridCol w:w="864"/>
        <w:gridCol w:w="707"/>
        <w:gridCol w:w="707"/>
        <w:gridCol w:w="707"/>
        <w:gridCol w:w="778"/>
      </w:tblGrid>
      <w:tr w:rsidR="00B65F3A" w:rsidRPr="000974A4" w14:paraId="3D9D7345" w14:textId="77777777" w:rsidTr="00B65F3A">
        <w:trPr>
          <w:cantSplit/>
          <w:trHeight w:val="37"/>
          <w:tblHeader/>
          <w:jc w:val="center"/>
        </w:trPr>
        <w:tc>
          <w:tcPr>
            <w:tcW w:w="557" w:type="pct"/>
            <w:tcBorders>
              <w:top w:val="single" w:sz="6" w:space="0" w:color="auto"/>
              <w:left w:val="single" w:sz="6" w:space="0" w:color="auto"/>
              <w:bottom w:val="single" w:sz="6" w:space="0" w:color="auto"/>
              <w:right w:val="single" w:sz="6" w:space="0" w:color="auto"/>
            </w:tcBorders>
          </w:tcPr>
          <w:p w14:paraId="3B6B055C" w14:textId="77777777" w:rsidR="00B65F3A" w:rsidRPr="000974A4" w:rsidRDefault="00B65F3A" w:rsidP="00B65F3A">
            <w:pPr>
              <w:suppressAutoHyphens w:val="0"/>
              <w:autoSpaceDE w:val="0"/>
              <w:autoSpaceDN w:val="0"/>
              <w:adjustRightInd w:val="0"/>
              <w:spacing w:before="10" w:after="10" w:line="240" w:lineRule="auto"/>
              <w:jc w:val="center"/>
              <w:rPr>
                <w:color w:val="000000"/>
                <w:sz w:val="16"/>
                <w:szCs w:val="16"/>
                <w:lang w:val="de-DE" w:bidi="th-TH"/>
              </w:rPr>
            </w:pPr>
            <w:r w:rsidRPr="000974A4">
              <w:rPr>
                <w:color w:val="000000"/>
                <w:sz w:val="16"/>
                <w:szCs w:val="16"/>
                <w:lang w:val="de-DE" w:bidi="th-TH"/>
              </w:rPr>
              <w:t>(1)</w:t>
            </w:r>
          </w:p>
        </w:tc>
        <w:tc>
          <w:tcPr>
            <w:tcW w:w="732" w:type="pct"/>
            <w:tcBorders>
              <w:top w:val="single" w:sz="6" w:space="0" w:color="auto"/>
              <w:left w:val="single" w:sz="6" w:space="0" w:color="auto"/>
              <w:bottom w:val="single" w:sz="6" w:space="0" w:color="auto"/>
              <w:right w:val="single" w:sz="6" w:space="0" w:color="auto"/>
            </w:tcBorders>
          </w:tcPr>
          <w:p w14:paraId="13B96700" w14:textId="77777777" w:rsidR="00B65F3A" w:rsidRPr="000974A4" w:rsidRDefault="00B65F3A" w:rsidP="00B65F3A">
            <w:pPr>
              <w:suppressAutoHyphens w:val="0"/>
              <w:autoSpaceDE w:val="0"/>
              <w:autoSpaceDN w:val="0"/>
              <w:adjustRightInd w:val="0"/>
              <w:spacing w:before="10" w:after="10" w:line="240" w:lineRule="auto"/>
              <w:jc w:val="center"/>
              <w:rPr>
                <w:color w:val="000000"/>
                <w:sz w:val="16"/>
                <w:szCs w:val="16"/>
                <w:lang w:val="de-DE" w:bidi="th-TH"/>
              </w:rPr>
            </w:pPr>
            <w:r w:rsidRPr="000974A4">
              <w:rPr>
                <w:color w:val="000000"/>
                <w:sz w:val="16"/>
                <w:szCs w:val="16"/>
                <w:lang w:val="de-DE" w:bidi="th-TH"/>
              </w:rPr>
              <w:t>(2)</w:t>
            </w:r>
          </w:p>
        </w:tc>
        <w:tc>
          <w:tcPr>
            <w:tcW w:w="268" w:type="pct"/>
            <w:tcBorders>
              <w:top w:val="single" w:sz="6" w:space="0" w:color="auto"/>
              <w:left w:val="single" w:sz="6" w:space="0" w:color="auto"/>
              <w:bottom w:val="single" w:sz="6" w:space="0" w:color="auto"/>
              <w:right w:val="single" w:sz="4" w:space="0" w:color="auto"/>
            </w:tcBorders>
          </w:tcPr>
          <w:p w14:paraId="4AB136E7" w14:textId="77777777" w:rsidR="00B65F3A" w:rsidRPr="000974A4" w:rsidRDefault="00B65F3A" w:rsidP="00B65F3A">
            <w:pPr>
              <w:suppressAutoHyphens w:val="0"/>
              <w:autoSpaceDE w:val="0"/>
              <w:autoSpaceDN w:val="0"/>
              <w:adjustRightInd w:val="0"/>
              <w:spacing w:before="10" w:after="10" w:line="240" w:lineRule="auto"/>
              <w:jc w:val="center"/>
              <w:rPr>
                <w:color w:val="000000"/>
                <w:sz w:val="16"/>
                <w:szCs w:val="16"/>
                <w:lang w:val="de-DE" w:bidi="th-TH"/>
              </w:rPr>
            </w:pPr>
            <w:r w:rsidRPr="000974A4">
              <w:rPr>
                <w:color w:val="000000"/>
                <w:sz w:val="16"/>
                <w:szCs w:val="16"/>
                <w:lang w:val="de-DE" w:bidi="th-TH"/>
              </w:rPr>
              <w:t>(3a)</w:t>
            </w:r>
          </w:p>
        </w:tc>
        <w:tc>
          <w:tcPr>
            <w:tcW w:w="365" w:type="pct"/>
            <w:tcBorders>
              <w:top w:val="single" w:sz="6" w:space="0" w:color="auto"/>
              <w:left w:val="single" w:sz="4" w:space="0" w:color="auto"/>
              <w:bottom w:val="single" w:sz="6" w:space="0" w:color="auto"/>
              <w:right w:val="single" w:sz="6" w:space="0" w:color="auto"/>
            </w:tcBorders>
          </w:tcPr>
          <w:p w14:paraId="0B9415D6" w14:textId="77777777" w:rsidR="00B65F3A" w:rsidRPr="000974A4" w:rsidRDefault="00B65F3A" w:rsidP="00B65F3A">
            <w:pPr>
              <w:suppressAutoHyphens w:val="0"/>
              <w:autoSpaceDE w:val="0"/>
              <w:autoSpaceDN w:val="0"/>
              <w:adjustRightInd w:val="0"/>
              <w:spacing w:before="10" w:after="10" w:line="240" w:lineRule="auto"/>
              <w:jc w:val="center"/>
              <w:rPr>
                <w:color w:val="000000"/>
                <w:sz w:val="16"/>
                <w:szCs w:val="16"/>
                <w:lang w:val="de-DE" w:bidi="th-TH"/>
              </w:rPr>
            </w:pPr>
            <w:r w:rsidRPr="000974A4">
              <w:rPr>
                <w:color w:val="000000"/>
                <w:sz w:val="16"/>
                <w:szCs w:val="16"/>
                <w:lang w:val="de-DE" w:bidi="th-TH"/>
              </w:rPr>
              <w:t>(3b)</w:t>
            </w:r>
          </w:p>
        </w:tc>
        <w:tc>
          <w:tcPr>
            <w:tcW w:w="396" w:type="pct"/>
            <w:tcBorders>
              <w:top w:val="single" w:sz="6" w:space="0" w:color="auto"/>
              <w:left w:val="single" w:sz="6" w:space="0" w:color="auto"/>
              <w:bottom w:val="single" w:sz="6" w:space="0" w:color="auto"/>
              <w:right w:val="single" w:sz="6" w:space="0" w:color="auto"/>
            </w:tcBorders>
          </w:tcPr>
          <w:p w14:paraId="4B166505" w14:textId="77777777" w:rsidR="00B65F3A" w:rsidRPr="000974A4" w:rsidRDefault="00B65F3A" w:rsidP="00B65F3A">
            <w:pPr>
              <w:suppressAutoHyphens w:val="0"/>
              <w:autoSpaceDE w:val="0"/>
              <w:autoSpaceDN w:val="0"/>
              <w:adjustRightInd w:val="0"/>
              <w:spacing w:before="10" w:after="10" w:line="240" w:lineRule="auto"/>
              <w:jc w:val="center"/>
              <w:rPr>
                <w:color w:val="000000"/>
                <w:sz w:val="16"/>
                <w:szCs w:val="16"/>
                <w:lang w:val="de-DE" w:bidi="th-TH"/>
              </w:rPr>
            </w:pPr>
            <w:r w:rsidRPr="000974A4">
              <w:rPr>
                <w:color w:val="000000"/>
                <w:sz w:val="16"/>
                <w:szCs w:val="16"/>
                <w:lang w:val="de-DE" w:bidi="th-TH"/>
              </w:rPr>
              <w:t>(4)</w:t>
            </w:r>
          </w:p>
        </w:tc>
        <w:tc>
          <w:tcPr>
            <w:tcW w:w="574" w:type="pct"/>
            <w:tcBorders>
              <w:top w:val="single" w:sz="6" w:space="0" w:color="auto"/>
              <w:left w:val="single" w:sz="6" w:space="0" w:color="auto"/>
              <w:bottom w:val="single" w:sz="6" w:space="0" w:color="auto"/>
              <w:right w:val="single" w:sz="6" w:space="0" w:color="auto"/>
            </w:tcBorders>
            <w:noWrap/>
          </w:tcPr>
          <w:p w14:paraId="352E4616" w14:textId="77777777" w:rsidR="00B65F3A" w:rsidRPr="000974A4" w:rsidRDefault="00B65F3A" w:rsidP="00B65F3A">
            <w:pPr>
              <w:suppressAutoHyphens w:val="0"/>
              <w:autoSpaceDE w:val="0"/>
              <w:autoSpaceDN w:val="0"/>
              <w:adjustRightInd w:val="0"/>
              <w:spacing w:before="10" w:after="10" w:line="240" w:lineRule="auto"/>
              <w:jc w:val="center"/>
              <w:rPr>
                <w:color w:val="000000"/>
                <w:sz w:val="16"/>
                <w:szCs w:val="16"/>
                <w:lang w:val="de-DE" w:bidi="th-TH"/>
              </w:rPr>
            </w:pPr>
            <w:r w:rsidRPr="000974A4">
              <w:rPr>
                <w:color w:val="000000"/>
                <w:sz w:val="16"/>
                <w:szCs w:val="16"/>
                <w:lang w:val="de-DE" w:bidi="th-TH"/>
              </w:rPr>
              <w:t>(5)</w:t>
            </w:r>
          </w:p>
        </w:tc>
        <w:tc>
          <w:tcPr>
            <w:tcW w:w="484" w:type="pct"/>
            <w:tcBorders>
              <w:top w:val="single" w:sz="6" w:space="0" w:color="auto"/>
              <w:left w:val="single" w:sz="6" w:space="0" w:color="auto"/>
              <w:bottom w:val="single" w:sz="6" w:space="0" w:color="auto"/>
              <w:right w:val="single" w:sz="6" w:space="0" w:color="auto"/>
            </w:tcBorders>
          </w:tcPr>
          <w:p w14:paraId="4B438897" w14:textId="77777777" w:rsidR="00B65F3A" w:rsidRPr="000974A4" w:rsidRDefault="00B65F3A" w:rsidP="00B65F3A">
            <w:pPr>
              <w:suppressAutoHyphens w:val="0"/>
              <w:autoSpaceDE w:val="0"/>
              <w:autoSpaceDN w:val="0"/>
              <w:adjustRightInd w:val="0"/>
              <w:spacing w:before="10" w:after="10" w:line="240" w:lineRule="auto"/>
              <w:jc w:val="center"/>
              <w:rPr>
                <w:color w:val="000000"/>
                <w:sz w:val="16"/>
                <w:szCs w:val="16"/>
                <w:lang w:val="de-DE" w:bidi="th-TH"/>
              </w:rPr>
            </w:pPr>
            <w:r w:rsidRPr="000974A4">
              <w:rPr>
                <w:color w:val="000000"/>
                <w:sz w:val="16"/>
                <w:szCs w:val="16"/>
                <w:lang w:val="de-DE" w:bidi="th-TH"/>
              </w:rPr>
              <w:t>(6)</w:t>
            </w:r>
          </w:p>
        </w:tc>
        <w:tc>
          <w:tcPr>
            <w:tcW w:w="396" w:type="pct"/>
            <w:tcBorders>
              <w:top w:val="single" w:sz="6" w:space="0" w:color="auto"/>
              <w:left w:val="single" w:sz="6" w:space="0" w:color="auto"/>
              <w:bottom w:val="single" w:sz="6" w:space="0" w:color="auto"/>
              <w:right w:val="single" w:sz="6" w:space="0" w:color="auto"/>
            </w:tcBorders>
          </w:tcPr>
          <w:p w14:paraId="78DBF772" w14:textId="77777777" w:rsidR="00B65F3A" w:rsidRPr="000974A4" w:rsidRDefault="00B65F3A" w:rsidP="00B65F3A">
            <w:pPr>
              <w:suppressAutoHyphens w:val="0"/>
              <w:autoSpaceDE w:val="0"/>
              <w:autoSpaceDN w:val="0"/>
              <w:adjustRightInd w:val="0"/>
              <w:spacing w:before="10" w:after="10" w:line="240" w:lineRule="auto"/>
              <w:jc w:val="center"/>
              <w:rPr>
                <w:color w:val="000000"/>
                <w:sz w:val="16"/>
                <w:szCs w:val="16"/>
                <w:lang w:val="de-DE" w:bidi="th-TH"/>
              </w:rPr>
            </w:pPr>
            <w:r w:rsidRPr="000974A4">
              <w:rPr>
                <w:color w:val="000000"/>
                <w:sz w:val="16"/>
                <w:szCs w:val="16"/>
                <w:lang w:val="de-DE" w:bidi="th-TH"/>
              </w:rPr>
              <w:t>(7)</w:t>
            </w:r>
          </w:p>
        </w:tc>
        <w:tc>
          <w:tcPr>
            <w:tcW w:w="396" w:type="pct"/>
            <w:tcBorders>
              <w:top w:val="single" w:sz="6" w:space="0" w:color="auto"/>
              <w:left w:val="single" w:sz="6" w:space="0" w:color="auto"/>
              <w:bottom w:val="single" w:sz="6" w:space="0" w:color="auto"/>
              <w:right w:val="single" w:sz="6" w:space="0" w:color="auto"/>
            </w:tcBorders>
          </w:tcPr>
          <w:p w14:paraId="29B0D484" w14:textId="77777777" w:rsidR="00B65F3A" w:rsidRPr="000974A4" w:rsidRDefault="00B65F3A" w:rsidP="00B65F3A">
            <w:pPr>
              <w:suppressAutoHyphens w:val="0"/>
              <w:autoSpaceDE w:val="0"/>
              <w:autoSpaceDN w:val="0"/>
              <w:adjustRightInd w:val="0"/>
              <w:spacing w:before="10" w:after="10" w:line="240" w:lineRule="auto"/>
              <w:jc w:val="center"/>
              <w:rPr>
                <w:color w:val="000000"/>
                <w:sz w:val="16"/>
                <w:szCs w:val="16"/>
                <w:lang w:val="de-DE" w:bidi="th-TH"/>
              </w:rPr>
            </w:pPr>
            <w:r w:rsidRPr="000974A4">
              <w:rPr>
                <w:color w:val="000000"/>
                <w:sz w:val="16"/>
                <w:szCs w:val="16"/>
                <w:lang w:val="de-DE" w:bidi="th-TH"/>
              </w:rPr>
              <w:t>(8)</w:t>
            </w:r>
          </w:p>
        </w:tc>
        <w:tc>
          <w:tcPr>
            <w:tcW w:w="396" w:type="pct"/>
            <w:tcBorders>
              <w:top w:val="single" w:sz="6" w:space="0" w:color="auto"/>
              <w:left w:val="single" w:sz="6" w:space="0" w:color="auto"/>
              <w:bottom w:val="single" w:sz="6" w:space="0" w:color="auto"/>
              <w:right w:val="single" w:sz="6" w:space="0" w:color="auto"/>
            </w:tcBorders>
          </w:tcPr>
          <w:p w14:paraId="7FD5886B" w14:textId="77777777" w:rsidR="00B65F3A" w:rsidRPr="000974A4" w:rsidRDefault="00B65F3A" w:rsidP="00B65F3A">
            <w:pPr>
              <w:suppressAutoHyphens w:val="0"/>
              <w:autoSpaceDE w:val="0"/>
              <w:autoSpaceDN w:val="0"/>
              <w:adjustRightInd w:val="0"/>
              <w:spacing w:before="10" w:after="10" w:line="240" w:lineRule="auto"/>
              <w:jc w:val="center"/>
              <w:rPr>
                <w:color w:val="000000"/>
                <w:sz w:val="16"/>
                <w:szCs w:val="16"/>
                <w:lang w:val="de-DE" w:bidi="th-TH"/>
              </w:rPr>
            </w:pPr>
            <w:r w:rsidRPr="000974A4">
              <w:rPr>
                <w:color w:val="000000"/>
                <w:sz w:val="16"/>
                <w:szCs w:val="16"/>
                <w:lang w:val="de-DE" w:bidi="th-TH"/>
              </w:rPr>
              <w:t>(9)</w:t>
            </w:r>
          </w:p>
        </w:tc>
        <w:tc>
          <w:tcPr>
            <w:tcW w:w="437" w:type="pct"/>
            <w:tcBorders>
              <w:top w:val="single" w:sz="6" w:space="0" w:color="auto"/>
              <w:left w:val="single" w:sz="6" w:space="0" w:color="auto"/>
              <w:bottom w:val="single" w:sz="6" w:space="0" w:color="auto"/>
              <w:right w:val="single" w:sz="6" w:space="0" w:color="auto"/>
            </w:tcBorders>
          </w:tcPr>
          <w:p w14:paraId="3DDF611D" w14:textId="77777777" w:rsidR="00B65F3A" w:rsidRPr="000974A4" w:rsidRDefault="00B65F3A" w:rsidP="00B65F3A">
            <w:pPr>
              <w:suppressAutoHyphens w:val="0"/>
              <w:autoSpaceDE w:val="0"/>
              <w:autoSpaceDN w:val="0"/>
              <w:adjustRightInd w:val="0"/>
              <w:spacing w:before="10" w:after="10" w:line="240" w:lineRule="auto"/>
              <w:jc w:val="center"/>
              <w:rPr>
                <w:color w:val="000000"/>
                <w:sz w:val="16"/>
                <w:szCs w:val="16"/>
                <w:lang w:val="de-DE" w:bidi="th-TH"/>
              </w:rPr>
            </w:pPr>
            <w:r w:rsidRPr="000974A4">
              <w:rPr>
                <w:color w:val="000000"/>
                <w:sz w:val="16"/>
                <w:szCs w:val="16"/>
                <w:lang w:val="de-DE" w:bidi="th-TH"/>
              </w:rPr>
              <w:t>(10)</w:t>
            </w:r>
          </w:p>
        </w:tc>
      </w:tr>
      <w:tr w:rsidR="00B65F3A" w:rsidRPr="000974A4" w14:paraId="7D039BA2" w14:textId="77777777" w:rsidTr="00B65F3A">
        <w:trPr>
          <w:cantSplit/>
          <w:trHeight w:val="37"/>
          <w:tblHeader/>
          <w:jc w:val="center"/>
        </w:trPr>
        <w:tc>
          <w:tcPr>
            <w:tcW w:w="557" w:type="pct"/>
            <w:tcBorders>
              <w:top w:val="single" w:sz="6" w:space="0" w:color="auto"/>
              <w:left w:val="single" w:sz="6" w:space="0" w:color="auto"/>
              <w:bottom w:val="single" w:sz="6" w:space="0" w:color="auto"/>
              <w:right w:val="single" w:sz="6" w:space="0" w:color="auto"/>
            </w:tcBorders>
          </w:tcPr>
          <w:p w14:paraId="5C5C00D2" w14:textId="77777777" w:rsidR="00B65F3A" w:rsidRPr="000974A4" w:rsidRDefault="00B65F3A" w:rsidP="00B65F3A">
            <w:pPr>
              <w:suppressAutoHyphens w:val="0"/>
              <w:autoSpaceDE w:val="0"/>
              <w:autoSpaceDN w:val="0"/>
              <w:adjustRightInd w:val="0"/>
              <w:spacing w:before="10" w:after="10" w:line="240" w:lineRule="auto"/>
              <w:jc w:val="center"/>
              <w:rPr>
                <w:b/>
                <w:bCs/>
                <w:color w:val="000000"/>
                <w:sz w:val="16"/>
                <w:szCs w:val="16"/>
                <w:lang w:val="de-DE" w:bidi="th-TH"/>
              </w:rPr>
            </w:pPr>
          </w:p>
        </w:tc>
        <w:tc>
          <w:tcPr>
            <w:tcW w:w="732" w:type="pct"/>
            <w:tcBorders>
              <w:top w:val="single" w:sz="6" w:space="0" w:color="auto"/>
              <w:left w:val="single" w:sz="6" w:space="0" w:color="auto"/>
              <w:bottom w:val="single" w:sz="6" w:space="0" w:color="auto"/>
              <w:right w:val="single" w:sz="6" w:space="0" w:color="auto"/>
            </w:tcBorders>
          </w:tcPr>
          <w:p w14:paraId="50986190" w14:textId="77777777" w:rsidR="00B65F3A" w:rsidRPr="000974A4" w:rsidRDefault="00B65F3A" w:rsidP="00B65F3A">
            <w:pPr>
              <w:suppressAutoHyphens w:val="0"/>
              <w:autoSpaceDE w:val="0"/>
              <w:autoSpaceDN w:val="0"/>
              <w:adjustRightInd w:val="0"/>
              <w:spacing w:before="10" w:after="10" w:line="240" w:lineRule="auto"/>
              <w:jc w:val="center"/>
              <w:rPr>
                <w:b/>
                <w:bCs/>
                <w:color w:val="000000"/>
                <w:sz w:val="16"/>
                <w:szCs w:val="16"/>
                <w:lang w:val="de-DE" w:bidi="th-TH"/>
              </w:rPr>
            </w:pPr>
            <w:r w:rsidRPr="000974A4">
              <w:rPr>
                <w:b/>
                <w:bCs/>
                <w:color w:val="000000"/>
                <w:sz w:val="16"/>
                <w:szCs w:val="16"/>
                <w:lang w:val="de-DE" w:bidi="th-TH"/>
              </w:rPr>
              <w:t>3.1.2</w:t>
            </w:r>
          </w:p>
        </w:tc>
        <w:tc>
          <w:tcPr>
            <w:tcW w:w="268" w:type="pct"/>
            <w:tcBorders>
              <w:top w:val="single" w:sz="6" w:space="0" w:color="auto"/>
              <w:left w:val="single" w:sz="6" w:space="0" w:color="auto"/>
              <w:bottom w:val="single" w:sz="6" w:space="0" w:color="auto"/>
              <w:right w:val="single" w:sz="4" w:space="0" w:color="auto"/>
            </w:tcBorders>
          </w:tcPr>
          <w:p w14:paraId="00E3B306" w14:textId="77777777" w:rsidR="00B65F3A" w:rsidRPr="000974A4" w:rsidRDefault="00B65F3A" w:rsidP="00B65F3A">
            <w:pPr>
              <w:suppressAutoHyphens w:val="0"/>
              <w:autoSpaceDE w:val="0"/>
              <w:autoSpaceDN w:val="0"/>
              <w:adjustRightInd w:val="0"/>
              <w:spacing w:before="10" w:after="10" w:line="240" w:lineRule="auto"/>
              <w:jc w:val="center"/>
              <w:rPr>
                <w:b/>
                <w:bCs/>
                <w:color w:val="000000"/>
                <w:sz w:val="16"/>
                <w:szCs w:val="16"/>
                <w:lang w:val="de-DE" w:bidi="th-TH"/>
              </w:rPr>
            </w:pPr>
            <w:r w:rsidRPr="000974A4">
              <w:rPr>
                <w:b/>
                <w:bCs/>
                <w:color w:val="000000"/>
                <w:sz w:val="16"/>
                <w:szCs w:val="16"/>
                <w:lang w:val="de-DE" w:bidi="th-TH"/>
              </w:rPr>
              <w:t>2.2</w:t>
            </w:r>
          </w:p>
        </w:tc>
        <w:tc>
          <w:tcPr>
            <w:tcW w:w="365" w:type="pct"/>
            <w:tcBorders>
              <w:top w:val="single" w:sz="6" w:space="0" w:color="auto"/>
              <w:left w:val="single" w:sz="4" w:space="0" w:color="auto"/>
              <w:bottom w:val="single" w:sz="6" w:space="0" w:color="auto"/>
              <w:right w:val="single" w:sz="6" w:space="0" w:color="auto"/>
            </w:tcBorders>
          </w:tcPr>
          <w:p w14:paraId="3A579B43" w14:textId="77777777" w:rsidR="00B65F3A" w:rsidRPr="000974A4" w:rsidRDefault="00B65F3A" w:rsidP="00B65F3A">
            <w:pPr>
              <w:suppressAutoHyphens w:val="0"/>
              <w:autoSpaceDE w:val="0"/>
              <w:autoSpaceDN w:val="0"/>
              <w:adjustRightInd w:val="0"/>
              <w:spacing w:before="10" w:after="10" w:line="240" w:lineRule="auto"/>
              <w:jc w:val="center"/>
              <w:rPr>
                <w:b/>
                <w:bCs/>
                <w:color w:val="000000"/>
                <w:sz w:val="16"/>
                <w:szCs w:val="16"/>
                <w:lang w:val="de-DE" w:bidi="th-TH"/>
              </w:rPr>
            </w:pPr>
            <w:r w:rsidRPr="000974A4">
              <w:rPr>
                <w:b/>
                <w:bCs/>
                <w:color w:val="000000"/>
                <w:sz w:val="16"/>
                <w:szCs w:val="16"/>
                <w:lang w:val="de-DE" w:bidi="th-TH"/>
              </w:rPr>
              <w:t>2.2</w:t>
            </w:r>
          </w:p>
        </w:tc>
        <w:tc>
          <w:tcPr>
            <w:tcW w:w="396" w:type="pct"/>
            <w:tcBorders>
              <w:top w:val="single" w:sz="6" w:space="0" w:color="auto"/>
              <w:left w:val="single" w:sz="6" w:space="0" w:color="auto"/>
              <w:bottom w:val="single" w:sz="6" w:space="0" w:color="auto"/>
              <w:right w:val="single" w:sz="6" w:space="0" w:color="auto"/>
            </w:tcBorders>
          </w:tcPr>
          <w:p w14:paraId="4DEC2804" w14:textId="77777777" w:rsidR="00B65F3A" w:rsidRPr="000974A4" w:rsidRDefault="00B65F3A" w:rsidP="00B65F3A">
            <w:pPr>
              <w:suppressAutoHyphens w:val="0"/>
              <w:autoSpaceDE w:val="0"/>
              <w:autoSpaceDN w:val="0"/>
              <w:adjustRightInd w:val="0"/>
              <w:spacing w:before="10" w:after="10" w:line="240" w:lineRule="auto"/>
              <w:jc w:val="center"/>
              <w:rPr>
                <w:b/>
                <w:bCs/>
                <w:color w:val="000000"/>
                <w:sz w:val="16"/>
                <w:szCs w:val="16"/>
                <w:lang w:val="de-DE" w:bidi="th-TH"/>
              </w:rPr>
            </w:pPr>
            <w:r w:rsidRPr="000974A4">
              <w:rPr>
                <w:b/>
                <w:bCs/>
                <w:color w:val="000000"/>
                <w:sz w:val="16"/>
                <w:szCs w:val="16"/>
                <w:lang w:val="de-DE" w:bidi="th-TH"/>
              </w:rPr>
              <w:t>2.1.1.3</w:t>
            </w:r>
          </w:p>
        </w:tc>
        <w:tc>
          <w:tcPr>
            <w:tcW w:w="574" w:type="pct"/>
            <w:tcBorders>
              <w:top w:val="single" w:sz="6" w:space="0" w:color="auto"/>
              <w:left w:val="single" w:sz="6" w:space="0" w:color="auto"/>
              <w:bottom w:val="single" w:sz="6" w:space="0" w:color="auto"/>
              <w:right w:val="single" w:sz="6" w:space="0" w:color="auto"/>
            </w:tcBorders>
            <w:noWrap/>
          </w:tcPr>
          <w:p w14:paraId="77C7FC1D" w14:textId="77777777" w:rsidR="00B65F3A" w:rsidRPr="000974A4" w:rsidRDefault="00B65F3A" w:rsidP="00B65F3A">
            <w:pPr>
              <w:suppressAutoHyphens w:val="0"/>
              <w:autoSpaceDE w:val="0"/>
              <w:autoSpaceDN w:val="0"/>
              <w:adjustRightInd w:val="0"/>
              <w:spacing w:before="10" w:after="10" w:line="240" w:lineRule="auto"/>
              <w:jc w:val="center"/>
              <w:rPr>
                <w:b/>
                <w:bCs/>
                <w:color w:val="000000"/>
                <w:sz w:val="16"/>
                <w:szCs w:val="16"/>
                <w:lang w:val="de-DE" w:bidi="th-TH"/>
              </w:rPr>
            </w:pPr>
            <w:r w:rsidRPr="000974A4">
              <w:rPr>
                <w:b/>
                <w:bCs/>
                <w:color w:val="000000"/>
                <w:sz w:val="16"/>
                <w:szCs w:val="16"/>
                <w:lang w:val="de-DE" w:bidi="th-TH"/>
              </w:rPr>
              <w:t xml:space="preserve">5.2.2 </w:t>
            </w:r>
            <w:r w:rsidRPr="000974A4">
              <w:rPr>
                <w:b/>
                <w:bCs/>
                <w:color w:val="000000"/>
                <w:sz w:val="16"/>
                <w:szCs w:val="16"/>
                <w:lang w:val="de-DE" w:bidi="th-TH"/>
              </w:rPr>
              <w:br/>
              <w:t>/ 3.2.3.1</w:t>
            </w:r>
          </w:p>
        </w:tc>
        <w:tc>
          <w:tcPr>
            <w:tcW w:w="484" w:type="pct"/>
            <w:tcBorders>
              <w:top w:val="single" w:sz="6" w:space="0" w:color="auto"/>
              <w:left w:val="single" w:sz="6" w:space="0" w:color="auto"/>
              <w:bottom w:val="single" w:sz="6" w:space="0" w:color="auto"/>
              <w:right w:val="single" w:sz="6" w:space="0" w:color="auto"/>
            </w:tcBorders>
          </w:tcPr>
          <w:p w14:paraId="4E1FDC7F" w14:textId="77777777" w:rsidR="00B65F3A" w:rsidRPr="000974A4" w:rsidRDefault="00B65F3A" w:rsidP="00B65F3A">
            <w:pPr>
              <w:suppressAutoHyphens w:val="0"/>
              <w:autoSpaceDE w:val="0"/>
              <w:autoSpaceDN w:val="0"/>
              <w:adjustRightInd w:val="0"/>
              <w:spacing w:before="10" w:after="10" w:line="240" w:lineRule="auto"/>
              <w:jc w:val="center"/>
              <w:rPr>
                <w:b/>
                <w:bCs/>
                <w:color w:val="000000"/>
                <w:sz w:val="16"/>
                <w:szCs w:val="16"/>
                <w:lang w:val="de-DE" w:bidi="th-TH"/>
              </w:rPr>
            </w:pPr>
            <w:r w:rsidRPr="000974A4">
              <w:rPr>
                <w:b/>
                <w:bCs/>
                <w:color w:val="000000"/>
                <w:sz w:val="16"/>
                <w:szCs w:val="16"/>
                <w:lang w:val="de-DE" w:bidi="th-TH"/>
              </w:rPr>
              <w:t>1.2.1 / 7.2.2.0.1</w:t>
            </w:r>
          </w:p>
        </w:tc>
        <w:tc>
          <w:tcPr>
            <w:tcW w:w="396" w:type="pct"/>
            <w:tcBorders>
              <w:top w:val="single" w:sz="6" w:space="0" w:color="auto"/>
              <w:left w:val="single" w:sz="6" w:space="0" w:color="auto"/>
              <w:bottom w:val="single" w:sz="6" w:space="0" w:color="auto"/>
              <w:right w:val="single" w:sz="6" w:space="0" w:color="auto"/>
            </w:tcBorders>
          </w:tcPr>
          <w:p w14:paraId="375AC6A2" w14:textId="77777777" w:rsidR="00B65F3A" w:rsidRPr="000974A4" w:rsidRDefault="00B65F3A" w:rsidP="00B65F3A">
            <w:pPr>
              <w:suppressAutoHyphens w:val="0"/>
              <w:autoSpaceDE w:val="0"/>
              <w:autoSpaceDN w:val="0"/>
              <w:adjustRightInd w:val="0"/>
              <w:spacing w:before="10" w:after="10" w:line="240" w:lineRule="auto"/>
              <w:jc w:val="center"/>
              <w:rPr>
                <w:b/>
                <w:bCs/>
                <w:color w:val="000000"/>
                <w:sz w:val="16"/>
                <w:szCs w:val="16"/>
                <w:lang w:val="de-DE" w:bidi="th-TH"/>
              </w:rPr>
            </w:pPr>
            <w:r w:rsidRPr="000974A4">
              <w:rPr>
                <w:b/>
                <w:bCs/>
                <w:color w:val="000000"/>
                <w:sz w:val="16"/>
                <w:szCs w:val="16"/>
                <w:lang w:val="de-DE" w:bidi="th-TH"/>
              </w:rPr>
              <w:t>3.2.3.1 / 1.2.1</w:t>
            </w:r>
          </w:p>
        </w:tc>
        <w:tc>
          <w:tcPr>
            <w:tcW w:w="396" w:type="pct"/>
            <w:tcBorders>
              <w:top w:val="single" w:sz="6" w:space="0" w:color="auto"/>
              <w:left w:val="single" w:sz="6" w:space="0" w:color="auto"/>
              <w:bottom w:val="single" w:sz="6" w:space="0" w:color="auto"/>
              <w:right w:val="single" w:sz="6" w:space="0" w:color="auto"/>
            </w:tcBorders>
          </w:tcPr>
          <w:p w14:paraId="30830E2B" w14:textId="77777777" w:rsidR="00B65F3A" w:rsidRPr="000974A4" w:rsidRDefault="00B65F3A" w:rsidP="00B65F3A">
            <w:pPr>
              <w:suppressAutoHyphens w:val="0"/>
              <w:autoSpaceDE w:val="0"/>
              <w:autoSpaceDN w:val="0"/>
              <w:adjustRightInd w:val="0"/>
              <w:spacing w:before="10" w:after="10" w:line="240" w:lineRule="auto"/>
              <w:jc w:val="center"/>
              <w:rPr>
                <w:b/>
                <w:bCs/>
                <w:color w:val="000000"/>
                <w:sz w:val="16"/>
                <w:szCs w:val="16"/>
                <w:lang w:val="de-DE" w:bidi="th-TH"/>
              </w:rPr>
            </w:pPr>
            <w:r w:rsidRPr="000974A4">
              <w:rPr>
                <w:b/>
                <w:bCs/>
                <w:color w:val="000000"/>
                <w:sz w:val="16"/>
                <w:szCs w:val="16"/>
                <w:lang w:val="de-DE" w:bidi="th-TH"/>
              </w:rPr>
              <w:t>3.2.3.1 / 1.2.1</w:t>
            </w:r>
          </w:p>
        </w:tc>
        <w:tc>
          <w:tcPr>
            <w:tcW w:w="396" w:type="pct"/>
            <w:tcBorders>
              <w:top w:val="single" w:sz="6" w:space="0" w:color="auto"/>
              <w:left w:val="single" w:sz="6" w:space="0" w:color="auto"/>
              <w:bottom w:val="single" w:sz="6" w:space="0" w:color="auto"/>
              <w:right w:val="single" w:sz="6" w:space="0" w:color="auto"/>
            </w:tcBorders>
          </w:tcPr>
          <w:p w14:paraId="2EC34EE1" w14:textId="77777777" w:rsidR="00B65F3A" w:rsidRPr="000974A4" w:rsidRDefault="00B65F3A" w:rsidP="00B65F3A">
            <w:pPr>
              <w:suppressAutoHyphens w:val="0"/>
              <w:autoSpaceDE w:val="0"/>
              <w:autoSpaceDN w:val="0"/>
              <w:adjustRightInd w:val="0"/>
              <w:spacing w:before="10" w:after="10" w:line="240" w:lineRule="auto"/>
              <w:jc w:val="center"/>
              <w:rPr>
                <w:b/>
                <w:bCs/>
                <w:color w:val="000000"/>
                <w:sz w:val="16"/>
                <w:szCs w:val="16"/>
                <w:lang w:val="de-DE" w:bidi="th-TH"/>
              </w:rPr>
            </w:pPr>
            <w:r w:rsidRPr="000974A4">
              <w:rPr>
                <w:b/>
                <w:bCs/>
                <w:color w:val="000000"/>
                <w:sz w:val="16"/>
                <w:szCs w:val="16"/>
                <w:lang w:val="de-DE" w:bidi="th-TH"/>
              </w:rPr>
              <w:t>3.2.3.1 / 1.2.1</w:t>
            </w:r>
          </w:p>
        </w:tc>
        <w:tc>
          <w:tcPr>
            <w:tcW w:w="437" w:type="pct"/>
            <w:tcBorders>
              <w:top w:val="single" w:sz="6" w:space="0" w:color="auto"/>
              <w:left w:val="single" w:sz="6" w:space="0" w:color="auto"/>
              <w:bottom w:val="single" w:sz="6" w:space="0" w:color="auto"/>
              <w:right w:val="single" w:sz="6" w:space="0" w:color="auto"/>
            </w:tcBorders>
          </w:tcPr>
          <w:p w14:paraId="15B5DD9D" w14:textId="77777777" w:rsidR="00B65F3A" w:rsidRPr="000974A4" w:rsidRDefault="00B65F3A" w:rsidP="00B65F3A">
            <w:pPr>
              <w:suppressAutoHyphens w:val="0"/>
              <w:autoSpaceDE w:val="0"/>
              <w:autoSpaceDN w:val="0"/>
              <w:adjustRightInd w:val="0"/>
              <w:spacing w:before="10" w:after="10" w:line="240" w:lineRule="auto"/>
              <w:jc w:val="center"/>
              <w:rPr>
                <w:b/>
                <w:bCs/>
                <w:color w:val="000000"/>
                <w:sz w:val="16"/>
                <w:szCs w:val="16"/>
                <w:lang w:val="de-DE" w:bidi="th-TH"/>
              </w:rPr>
            </w:pPr>
            <w:r w:rsidRPr="000974A4">
              <w:rPr>
                <w:b/>
                <w:bCs/>
                <w:color w:val="000000"/>
                <w:sz w:val="16"/>
                <w:szCs w:val="16"/>
                <w:lang w:val="de-DE" w:bidi="th-TH"/>
              </w:rPr>
              <w:t>3.2.3.1 / 1.2.1</w:t>
            </w:r>
          </w:p>
        </w:tc>
      </w:tr>
    </w:tbl>
    <w:p w14:paraId="0E76A09F" w14:textId="77777777" w:rsidR="00B65F3A" w:rsidRPr="000974A4" w:rsidRDefault="00B65F3A" w:rsidP="00B65F3A">
      <w:pPr>
        <w:pStyle w:val="SingleTxtG"/>
        <w:rPr>
          <w:lang w:val="de-DE"/>
        </w:rPr>
      </w:pPr>
    </w:p>
    <w:tbl>
      <w:tblPr>
        <w:tblW w:w="4639" w:type="pct"/>
        <w:jc w:val="center"/>
        <w:tblCellMar>
          <w:top w:w="28" w:type="dxa"/>
          <w:left w:w="28" w:type="dxa"/>
          <w:bottom w:w="28" w:type="dxa"/>
          <w:right w:w="28" w:type="dxa"/>
        </w:tblCellMar>
        <w:tblLook w:val="0000" w:firstRow="0" w:lastRow="0" w:firstColumn="0" w:lastColumn="0" w:noHBand="0" w:noVBand="0"/>
      </w:tblPr>
      <w:tblGrid>
        <w:gridCol w:w="678"/>
        <w:gridCol w:w="1068"/>
        <w:gridCol w:w="773"/>
        <w:gridCol w:w="857"/>
        <w:gridCol w:w="711"/>
        <w:gridCol w:w="873"/>
        <w:gridCol w:w="1418"/>
        <w:gridCol w:w="900"/>
        <w:gridCol w:w="778"/>
        <w:gridCol w:w="871"/>
      </w:tblGrid>
      <w:tr w:rsidR="00B65F3A" w:rsidRPr="000974A4" w14:paraId="3AE262A7" w14:textId="77777777" w:rsidTr="00B65F3A">
        <w:trPr>
          <w:cantSplit/>
          <w:trHeight w:val="37"/>
          <w:tblHeader/>
          <w:jc w:val="center"/>
        </w:trPr>
        <w:tc>
          <w:tcPr>
            <w:tcW w:w="380" w:type="pct"/>
            <w:tcBorders>
              <w:top w:val="single" w:sz="6" w:space="0" w:color="auto"/>
              <w:left w:val="single" w:sz="6" w:space="0" w:color="auto"/>
              <w:bottom w:val="single" w:sz="6" w:space="0" w:color="auto"/>
              <w:right w:val="single" w:sz="6" w:space="0" w:color="auto"/>
            </w:tcBorders>
          </w:tcPr>
          <w:p w14:paraId="77FCB685" w14:textId="77777777" w:rsidR="00B65F3A" w:rsidRPr="000974A4" w:rsidRDefault="00B65F3A" w:rsidP="00B65F3A">
            <w:pPr>
              <w:suppressAutoHyphens w:val="0"/>
              <w:autoSpaceDE w:val="0"/>
              <w:autoSpaceDN w:val="0"/>
              <w:adjustRightInd w:val="0"/>
              <w:spacing w:before="10" w:after="10" w:line="240" w:lineRule="auto"/>
              <w:jc w:val="center"/>
              <w:rPr>
                <w:color w:val="000000"/>
                <w:sz w:val="16"/>
                <w:szCs w:val="16"/>
                <w:lang w:val="de-DE" w:bidi="th-TH"/>
              </w:rPr>
            </w:pPr>
            <w:r w:rsidRPr="000974A4">
              <w:rPr>
                <w:color w:val="000000"/>
                <w:sz w:val="16"/>
                <w:szCs w:val="16"/>
                <w:lang w:val="de-DE" w:bidi="th-TH"/>
              </w:rPr>
              <w:t>(11)</w:t>
            </w:r>
          </w:p>
        </w:tc>
        <w:tc>
          <w:tcPr>
            <w:tcW w:w="598" w:type="pct"/>
            <w:tcBorders>
              <w:top w:val="single" w:sz="6" w:space="0" w:color="auto"/>
              <w:left w:val="single" w:sz="6" w:space="0" w:color="auto"/>
              <w:bottom w:val="single" w:sz="6" w:space="0" w:color="auto"/>
              <w:right w:val="single" w:sz="6" w:space="0" w:color="auto"/>
            </w:tcBorders>
          </w:tcPr>
          <w:p w14:paraId="34F30673" w14:textId="77777777" w:rsidR="00B65F3A" w:rsidRPr="000974A4" w:rsidRDefault="00B65F3A" w:rsidP="00B65F3A">
            <w:pPr>
              <w:suppressAutoHyphens w:val="0"/>
              <w:autoSpaceDE w:val="0"/>
              <w:autoSpaceDN w:val="0"/>
              <w:adjustRightInd w:val="0"/>
              <w:spacing w:before="10" w:after="10" w:line="240" w:lineRule="auto"/>
              <w:jc w:val="center"/>
              <w:rPr>
                <w:color w:val="000000"/>
                <w:sz w:val="16"/>
                <w:szCs w:val="16"/>
                <w:lang w:val="de-DE" w:bidi="th-TH"/>
              </w:rPr>
            </w:pPr>
            <w:r w:rsidRPr="000974A4">
              <w:rPr>
                <w:color w:val="000000"/>
                <w:sz w:val="16"/>
                <w:szCs w:val="16"/>
                <w:lang w:val="de-DE" w:bidi="th-TH"/>
              </w:rPr>
              <w:t>(12)</w:t>
            </w:r>
          </w:p>
        </w:tc>
        <w:tc>
          <w:tcPr>
            <w:tcW w:w="433" w:type="pct"/>
            <w:tcBorders>
              <w:top w:val="single" w:sz="6" w:space="0" w:color="auto"/>
              <w:left w:val="single" w:sz="6" w:space="0" w:color="auto"/>
              <w:bottom w:val="single" w:sz="6" w:space="0" w:color="auto"/>
              <w:right w:val="single" w:sz="6" w:space="0" w:color="auto"/>
            </w:tcBorders>
          </w:tcPr>
          <w:p w14:paraId="6A4B469C" w14:textId="77777777" w:rsidR="00B65F3A" w:rsidRPr="000974A4" w:rsidRDefault="00B65F3A" w:rsidP="00B65F3A">
            <w:pPr>
              <w:suppressAutoHyphens w:val="0"/>
              <w:autoSpaceDE w:val="0"/>
              <w:autoSpaceDN w:val="0"/>
              <w:adjustRightInd w:val="0"/>
              <w:spacing w:before="10" w:after="10" w:line="240" w:lineRule="auto"/>
              <w:jc w:val="center"/>
              <w:rPr>
                <w:color w:val="000000"/>
                <w:sz w:val="16"/>
                <w:szCs w:val="16"/>
                <w:lang w:val="de-DE" w:bidi="th-TH"/>
              </w:rPr>
            </w:pPr>
            <w:r w:rsidRPr="000974A4">
              <w:rPr>
                <w:color w:val="000000"/>
                <w:sz w:val="16"/>
                <w:szCs w:val="16"/>
                <w:lang w:val="de-DE" w:bidi="th-TH"/>
              </w:rPr>
              <w:t>(13)</w:t>
            </w:r>
          </w:p>
        </w:tc>
        <w:tc>
          <w:tcPr>
            <w:tcW w:w="480" w:type="pct"/>
            <w:tcBorders>
              <w:top w:val="single" w:sz="6" w:space="0" w:color="auto"/>
              <w:left w:val="single" w:sz="6" w:space="0" w:color="auto"/>
              <w:bottom w:val="single" w:sz="6" w:space="0" w:color="auto"/>
              <w:right w:val="single" w:sz="6" w:space="0" w:color="auto"/>
            </w:tcBorders>
          </w:tcPr>
          <w:p w14:paraId="64E0D0E5" w14:textId="77777777" w:rsidR="00B65F3A" w:rsidRPr="000974A4" w:rsidRDefault="00B65F3A" w:rsidP="00B65F3A">
            <w:pPr>
              <w:suppressAutoHyphens w:val="0"/>
              <w:autoSpaceDE w:val="0"/>
              <w:autoSpaceDN w:val="0"/>
              <w:adjustRightInd w:val="0"/>
              <w:spacing w:before="10" w:after="10" w:line="240" w:lineRule="auto"/>
              <w:jc w:val="center"/>
              <w:rPr>
                <w:color w:val="000000"/>
                <w:sz w:val="16"/>
                <w:szCs w:val="16"/>
                <w:lang w:val="de-DE" w:bidi="th-TH"/>
              </w:rPr>
            </w:pPr>
            <w:r w:rsidRPr="000974A4">
              <w:rPr>
                <w:color w:val="000000"/>
                <w:sz w:val="16"/>
                <w:szCs w:val="16"/>
                <w:lang w:val="de-DE" w:bidi="th-TH"/>
              </w:rPr>
              <w:t>(14)</w:t>
            </w:r>
          </w:p>
        </w:tc>
        <w:tc>
          <w:tcPr>
            <w:tcW w:w="398" w:type="pct"/>
            <w:tcBorders>
              <w:top w:val="single" w:sz="6" w:space="0" w:color="auto"/>
              <w:left w:val="single" w:sz="6" w:space="0" w:color="auto"/>
              <w:bottom w:val="single" w:sz="6" w:space="0" w:color="auto"/>
              <w:right w:val="single" w:sz="6" w:space="0" w:color="auto"/>
            </w:tcBorders>
          </w:tcPr>
          <w:p w14:paraId="1FBAD58F" w14:textId="77777777" w:rsidR="00B65F3A" w:rsidRPr="000974A4" w:rsidRDefault="00B65F3A" w:rsidP="00B65F3A">
            <w:pPr>
              <w:suppressAutoHyphens w:val="0"/>
              <w:autoSpaceDE w:val="0"/>
              <w:autoSpaceDN w:val="0"/>
              <w:adjustRightInd w:val="0"/>
              <w:spacing w:before="10" w:after="10" w:line="240" w:lineRule="auto"/>
              <w:jc w:val="center"/>
              <w:rPr>
                <w:color w:val="000000"/>
                <w:sz w:val="16"/>
                <w:szCs w:val="16"/>
                <w:lang w:val="de-DE" w:bidi="th-TH"/>
              </w:rPr>
            </w:pPr>
            <w:r w:rsidRPr="000974A4">
              <w:rPr>
                <w:color w:val="000000"/>
                <w:sz w:val="16"/>
                <w:szCs w:val="16"/>
                <w:lang w:val="de-DE" w:bidi="th-TH"/>
              </w:rPr>
              <w:t>(15)</w:t>
            </w:r>
          </w:p>
        </w:tc>
        <w:tc>
          <w:tcPr>
            <w:tcW w:w="489" w:type="pct"/>
            <w:tcBorders>
              <w:top w:val="single" w:sz="6" w:space="0" w:color="auto"/>
              <w:left w:val="single" w:sz="6" w:space="0" w:color="auto"/>
              <w:bottom w:val="single" w:sz="6" w:space="0" w:color="auto"/>
              <w:right w:val="single" w:sz="6" w:space="0" w:color="auto"/>
            </w:tcBorders>
          </w:tcPr>
          <w:p w14:paraId="5D9F85CC" w14:textId="77777777" w:rsidR="00B65F3A" w:rsidRPr="000974A4" w:rsidRDefault="00B65F3A" w:rsidP="00B65F3A">
            <w:pPr>
              <w:suppressAutoHyphens w:val="0"/>
              <w:autoSpaceDE w:val="0"/>
              <w:autoSpaceDN w:val="0"/>
              <w:adjustRightInd w:val="0"/>
              <w:spacing w:before="10" w:after="10" w:line="240" w:lineRule="auto"/>
              <w:jc w:val="center"/>
              <w:rPr>
                <w:color w:val="000000"/>
                <w:sz w:val="16"/>
                <w:szCs w:val="16"/>
                <w:lang w:val="de-DE" w:bidi="th-TH"/>
              </w:rPr>
            </w:pPr>
            <w:r w:rsidRPr="000974A4">
              <w:rPr>
                <w:color w:val="000000"/>
                <w:sz w:val="16"/>
                <w:szCs w:val="16"/>
                <w:lang w:val="de-DE" w:bidi="th-TH"/>
              </w:rPr>
              <w:t>(16)</w:t>
            </w:r>
          </w:p>
        </w:tc>
        <w:tc>
          <w:tcPr>
            <w:tcW w:w="794" w:type="pct"/>
            <w:tcBorders>
              <w:top w:val="single" w:sz="6" w:space="0" w:color="auto"/>
              <w:left w:val="single" w:sz="6" w:space="0" w:color="auto"/>
              <w:bottom w:val="single" w:sz="6" w:space="0" w:color="auto"/>
              <w:right w:val="single" w:sz="6" w:space="0" w:color="auto"/>
            </w:tcBorders>
          </w:tcPr>
          <w:p w14:paraId="4BDCBB73" w14:textId="77777777" w:rsidR="00B65F3A" w:rsidRPr="000974A4" w:rsidRDefault="00B65F3A" w:rsidP="00B65F3A">
            <w:pPr>
              <w:suppressAutoHyphens w:val="0"/>
              <w:autoSpaceDE w:val="0"/>
              <w:autoSpaceDN w:val="0"/>
              <w:adjustRightInd w:val="0"/>
              <w:spacing w:before="10" w:after="10" w:line="240" w:lineRule="auto"/>
              <w:jc w:val="center"/>
              <w:rPr>
                <w:color w:val="000000"/>
                <w:sz w:val="16"/>
                <w:szCs w:val="16"/>
                <w:lang w:val="de-DE" w:bidi="th-TH"/>
              </w:rPr>
            </w:pPr>
            <w:r w:rsidRPr="000974A4">
              <w:rPr>
                <w:color w:val="000000"/>
                <w:sz w:val="16"/>
                <w:szCs w:val="16"/>
                <w:lang w:val="de-DE" w:bidi="th-TH"/>
              </w:rPr>
              <w:t>(17)</w:t>
            </w:r>
          </w:p>
        </w:tc>
        <w:tc>
          <w:tcPr>
            <w:tcW w:w="504" w:type="pct"/>
            <w:tcBorders>
              <w:top w:val="single" w:sz="6" w:space="0" w:color="auto"/>
              <w:left w:val="single" w:sz="6" w:space="0" w:color="auto"/>
              <w:bottom w:val="single" w:sz="6" w:space="0" w:color="auto"/>
              <w:right w:val="single" w:sz="6" w:space="0" w:color="auto"/>
            </w:tcBorders>
          </w:tcPr>
          <w:p w14:paraId="6E100A89" w14:textId="77777777" w:rsidR="00B65F3A" w:rsidRPr="000974A4" w:rsidRDefault="00B65F3A" w:rsidP="00B65F3A">
            <w:pPr>
              <w:suppressAutoHyphens w:val="0"/>
              <w:autoSpaceDE w:val="0"/>
              <w:autoSpaceDN w:val="0"/>
              <w:adjustRightInd w:val="0"/>
              <w:spacing w:before="10" w:after="10" w:line="240" w:lineRule="auto"/>
              <w:jc w:val="center"/>
              <w:rPr>
                <w:color w:val="000000"/>
                <w:sz w:val="16"/>
                <w:szCs w:val="16"/>
                <w:lang w:val="de-DE" w:bidi="th-TH"/>
              </w:rPr>
            </w:pPr>
            <w:r w:rsidRPr="000974A4">
              <w:rPr>
                <w:color w:val="000000"/>
                <w:sz w:val="16"/>
                <w:szCs w:val="16"/>
                <w:lang w:val="de-DE" w:bidi="th-TH"/>
              </w:rPr>
              <w:t>(18)</w:t>
            </w:r>
          </w:p>
        </w:tc>
        <w:tc>
          <w:tcPr>
            <w:tcW w:w="436" w:type="pct"/>
            <w:tcBorders>
              <w:top w:val="single" w:sz="6" w:space="0" w:color="auto"/>
              <w:left w:val="single" w:sz="6" w:space="0" w:color="auto"/>
              <w:bottom w:val="single" w:sz="6" w:space="0" w:color="auto"/>
              <w:right w:val="single" w:sz="6" w:space="0" w:color="auto"/>
            </w:tcBorders>
          </w:tcPr>
          <w:p w14:paraId="787108DA" w14:textId="77777777" w:rsidR="00B65F3A" w:rsidRPr="000974A4" w:rsidRDefault="00B65F3A" w:rsidP="00B65F3A">
            <w:pPr>
              <w:suppressAutoHyphens w:val="0"/>
              <w:autoSpaceDE w:val="0"/>
              <w:autoSpaceDN w:val="0"/>
              <w:adjustRightInd w:val="0"/>
              <w:spacing w:before="10" w:after="10" w:line="240" w:lineRule="auto"/>
              <w:jc w:val="center"/>
              <w:rPr>
                <w:color w:val="000000"/>
                <w:sz w:val="16"/>
                <w:szCs w:val="16"/>
                <w:lang w:val="de-DE" w:bidi="th-TH"/>
              </w:rPr>
            </w:pPr>
            <w:r w:rsidRPr="000974A4">
              <w:rPr>
                <w:color w:val="000000"/>
                <w:sz w:val="16"/>
                <w:szCs w:val="16"/>
                <w:lang w:val="de-DE" w:bidi="th-TH"/>
              </w:rPr>
              <w:t>(19)</w:t>
            </w:r>
          </w:p>
        </w:tc>
        <w:tc>
          <w:tcPr>
            <w:tcW w:w="488" w:type="pct"/>
            <w:tcBorders>
              <w:top w:val="single" w:sz="6" w:space="0" w:color="auto"/>
              <w:left w:val="single" w:sz="6" w:space="0" w:color="auto"/>
              <w:bottom w:val="single" w:sz="6" w:space="0" w:color="auto"/>
              <w:right w:val="single" w:sz="6" w:space="0" w:color="auto"/>
            </w:tcBorders>
          </w:tcPr>
          <w:p w14:paraId="236D805E" w14:textId="77777777" w:rsidR="00B65F3A" w:rsidRPr="000974A4" w:rsidRDefault="00B65F3A" w:rsidP="00B65F3A">
            <w:pPr>
              <w:suppressAutoHyphens w:val="0"/>
              <w:autoSpaceDE w:val="0"/>
              <w:autoSpaceDN w:val="0"/>
              <w:adjustRightInd w:val="0"/>
              <w:spacing w:before="10" w:after="10" w:line="240" w:lineRule="auto"/>
              <w:jc w:val="center"/>
              <w:rPr>
                <w:color w:val="000000"/>
                <w:sz w:val="16"/>
                <w:szCs w:val="16"/>
                <w:lang w:val="de-DE" w:bidi="th-TH"/>
              </w:rPr>
            </w:pPr>
            <w:r w:rsidRPr="000974A4">
              <w:rPr>
                <w:color w:val="000000"/>
                <w:sz w:val="16"/>
                <w:szCs w:val="16"/>
                <w:lang w:val="de-DE" w:bidi="th-TH"/>
              </w:rPr>
              <w:t>(20)</w:t>
            </w:r>
          </w:p>
        </w:tc>
      </w:tr>
      <w:tr w:rsidR="00B65F3A" w:rsidRPr="000974A4" w14:paraId="435FEF72" w14:textId="77777777" w:rsidTr="00B65F3A">
        <w:trPr>
          <w:cantSplit/>
          <w:trHeight w:val="37"/>
          <w:tblHeader/>
          <w:jc w:val="center"/>
        </w:trPr>
        <w:tc>
          <w:tcPr>
            <w:tcW w:w="380" w:type="pct"/>
            <w:tcBorders>
              <w:top w:val="single" w:sz="6" w:space="0" w:color="auto"/>
              <w:left w:val="single" w:sz="6" w:space="0" w:color="auto"/>
              <w:bottom w:val="single" w:sz="6" w:space="0" w:color="auto"/>
              <w:right w:val="single" w:sz="6" w:space="0" w:color="auto"/>
            </w:tcBorders>
          </w:tcPr>
          <w:p w14:paraId="19EF659B" w14:textId="77777777" w:rsidR="00B65F3A" w:rsidRPr="000974A4" w:rsidRDefault="00B65F3A" w:rsidP="00B65F3A">
            <w:pPr>
              <w:suppressAutoHyphens w:val="0"/>
              <w:autoSpaceDE w:val="0"/>
              <w:autoSpaceDN w:val="0"/>
              <w:adjustRightInd w:val="0"/>
              <w:spacing w:before="10" w:after="10" w:line="240" w:lineRule="auto"/>
              <w:jc w:val="center"/>
              <w:rPr>
                <w:b/>
                <w:bCs/>
                <w:color w:val="000000"/>
                <w:sz w:val="16"/>
                <w:szCs w:val="16"/>
                <w:lang w:val="de-DE" w:bidi="th-TH"/>
              </w:rPr>
            </w:pPr>
            <w:r w:rsidRPr="000974A4">
              <w:rPr>
                <w:b/>
                <w:bCs/>
                <w:color w:val="000000"/>
                <w:sz w:val="16"/>
                <w:szCs w:val="16"/>
                <w:lang w:val="de-DE" w:bidi="th-TH"/>
              </w:rPr>
              <w:t>7.2.4.21</w:t>
            </w:r>
          </w:p>
        </w:tc>
        <w:tc>
          <w:tcPr>
            <w:tcW w:w="598" w:type="pct"/>
            <w:tcBorders>
              <w:top w:val="single" w:sz="6" w:space="0" w:color="auto"/>
              <w:left w:val="single" w:sz="6" w:space="0" w:color="auto"/>
              <w:bottom w:val="single" w:sz="6" w:space="0" w:color="auto"/>
              <w:right w:val="single" w:sz="6" w:space="0" w:color="auto"/>
            </w:tcBorders>
          </w:tcPr>
          <w:p w14:paraId="1019A2FC" w14:textId="77777777" w:rsidR="00B65F3A" w:rsidRPr="000974A4" w:rsidRDefault="00B65F3A" w:rsidP="00B65F3A">
            <w:pPr>
              <w:suppressAutoHyphens w:val="0"/>
              <w:autoSpaceDE w:val="0"/>
              <w:autoSpaceDN w:val="0"/>
              <w:adjustRightInd w:val="0"/>
              <w:spacing w:before="10" w:after="10" w:line="240" w:lineRule="auto"/>
              <w:jc w:val="center"/>
              <w:rPr>
                <w:b/>
                <w:bCs/>
                <w:color w:val="000000"/>
                <w:sz w:val="16"/>
                <w:szCs w:val="16"/>
                <w:lang w:val="de-DE" w:bidi="th-TH"/>
              </w:rPr>
            </w:pPr>
            <w:r w:rsidRPr="000974A4">
              <w:rPr>
                <w:b/>
                <w:bCs/>
                <w:color w:val="000000"/>
                <w:sz w:val="16"/>
                <w:szCs w:val="16"/>
                <w:lang w:val="de-DE" w:bidi="th-TH"/>
              </w:rPr>
              <w:t>3.2.3.1</w:t>
            </w:r>
          </w:p>
        </w:tc>
        <w:tc>
          <w:tcPr>
            <w:tcW w:w="433" w:type="pct"/>
            <w:tcBorders>
              <w:top w:val="single" w:sz="6" w:space="0" w:color="auto"/>
              <w:left w:val="single" w:sz="6" w:space="0" w:color="auto"/>
              <w:bottom w:val="single" w:sz="6" w:space="0" w:color="auto"/>
              <w:right w:val="single" w:sz="6" w:space="0" w:color="auto"/>
            </w:tcBorders>
          </w:tcPr>
          <w:p w14:paraId="428E4F73" w14:textId="77777777" w:rsidR="00B65F3A" w:rsidRPr="000974A4" w:rsidRDefault="00B65F3A" w:rsidP="00B65F3A">
            <w:pPr>
              <w:suppressAutoHyphens w:val="0"/>
              <w:autoSpaceDE w:val="0"/>
              <w:autoSpaceDN w:val="0"/>
              <w:adjustRightInd w:val="0"/>
              <w:spacing w:before="10" w:after="10" w:line="240" w:lineRule="auto"/>
              <w:jc w:val="center"/>
              <w:rPr>
                <w:b/>
                <w:bCs/>
                <w:color w:val="000000"/>
                <w:sz w:val="16"/>
                <w:szCs w:val="16"/>
                <w:lang w:val="de-DE" w:bidi="th-TH"/>
              </w:rPr>
            </w:pPr>
            <w:r w:rsidRPr="000974A4">
              <w:rPr>
                <w:b/>
                <w:bCs/>
                <w:color w:val="000000"/>
                <w:sz w:val="16"/>
                <w:szCs w:val="16"/>
                <w:lang w:val="de-DE" w:bidi="th-TH"/>
              </w:rPr>
              <w:t>3.2.3.1 / 1.2.1</w:t>
            </w:r>
          </w:p>
        </w:tc>
        <w:tc>
          <w:tcPr>
            <w:tcW w:w="480" w:type="pct"/>
            <w:tcBorders>
              <w:top w:val="single" w:sz="6" w:space="0" w:color="auto"/>
              <w:left w:val="single" w:sz="6" w:space="0" w:color="auto"/>
              <w:bottom w:val="single" w:sz="6" w:space="0" w:color="auto"/>
              <w:right w:val="single" w:sz="6" w:space="0" w:color="auto"/>
            </w:tcBorders>
          </w:tcPr>
          <w:p w14:paraId="688AC791" w14:textId="77777777" w:rsidR="00B65F3A" w:rsidRPr="000974A4" w:rsidRDefault="00B65F3A" w:rsidP="00B65F3A">
            <w:pPr>
              <w:suppressAutoHyphens w:val="0"/>
              <w:autoSpaceDE w:val="0"/>
              <w:autoSpaceDN w:val="0"/>
              <w:adjustRightInd w:val="0"/>
              <w:spacing w:before="10" w:after="10" w:line="240" w:lineRule="auto"/>
              <w:jc w:val="center"/>
              <w:rPr>
                <w:b/>
                <w:bCs/>
                <w:color w:val="000000"/>
                <w:sz w:val="16"/>
                <w:szCs w:val="16"/>
                <w:lang w:val="de-DE" w:bidi="th-TH"/>
              </w:rPr>
            </w:pPr>
            <w:r w:rsidRPr="000974A4">
              <w:rPr>
                <w:b/>
                <w:bCs/>
                <w:color w:val="000000"/>
                <w:sz w:val="16"/>
                <w:szCs w:val="16"/>
                <w:lang w:val="de-DE" w:bidi="th-TH"/>
              </w:rPr>
              <w:t xml:space="preserve">3.2.3.1 / 1.2.1 </w:t>
            </w:r>
          </w:p>
        </w:tc>
        <w:tc>
          <w:tcPr>
            <w:tcW w:w="398" w:type="pct"/>
            <w:tcBorders>
              <w:top w:val="single" w:sz="6" w:space="0" w:color="auto"/>
              <w:left w:val="single" w:sz="6" w:space="0" w:color="auto"/>
              <w:bottom w:val="single" w:sz="6" w:space="0" w:color="auto"/>
              <w:right w:val="single" w:sz="6" w:space="0" w:color="auto"/>
            </w:tcBorders>
          </w:tcPr>
          <w:p w14:paraId="2F16E8E2" w14:textId="77777777" w:rsidR="00B65F3A" w:rsidRPr="000974A4" w:rsidRDefault="00B65F3A" w:rsidP="00B65F3A">
            <w:pPr>
              <w:suppressAutoHyphens w:val="0"/>
              <w:autoSpaceDE w:val="0"/>
              <w:autoSpaceDN w:val="0"/>
              <w:adjustRightInd w:val="0"/>
              <w:spacing w:before="10" w:after="10" w:line="240" w:lineRule="auto"/>
              <w:jc w:val="center"/>
              <w:rPr>
                <w:b/>
                <w:bCs/>
                <w:color w:val="000000"/>
                <w:sz w:val="16"/>
                <w:szCs w:val="16"/>
                <w:lang w:val="de-DE" w:bidi="th-TH"/>
              </w:rPr>
            </w:pPr>
            <w:r w:rsidRPr="000974A4">
              <w:rPr>
                <w:b/>
                <w:bCs/>
                <w:color w:val="000000"/>
                <w:sz w:val="16"/>
                <w:szCs w:val="16"/>
                <w:lang w:val="de-DE" w:bidi="th-TH"/>
              </w:rPr>
              <w:t>1.2.1</w:t>
            </w:r>
          </w:p>
        </w:tc>
        <w:tc>
          <w:tcPr>
            <w:tcW w:w="489" w:type="pct"/>
            <w:tcBorders>
              <w:top w:val="single" w:sz="6" w:space="0" w:color="auto"/>
              <w:left w:val="single" w:sz="6" w:space="0" w:color="auto"/>
              <w:bottom w:val="single" w:sz="6" w:space="0" w:color="auto"/>
              <w:right w:val="single" w:sz="6" w:space="0" w:color="auto"/>
            </w:tcBorders>
          </w:tcPr>
          <w:p w14:paraId="1CF0EC76" w14:textId="77777777" w:rsidR="00B65F3A" w:rsidRPr="000974A4" w:rsidRDefault="00B65F3A" w:rsidP="00B65F3A">
            <w:pPr>
              <w:suppressAutoHyphens w:val="0"/>
              <w:autoSpaceDE w:val="0"/>
              <w:autoSpaceDN w:val="0"/>
              <w:adjustRightInd w:val="0"/>
              <w:spacing w:before="10" w:after="10" w:line="240" w:lineRule="auto"/>
              <w:jc w:val="center"/>
              <w:rPr>
                <w:b/>
                <w:bCs/>
                <w:color w:val="000000"/>
                <w:sz w:val="16"/>
                <w:szCs w:val="16"/>
                <w:lang w:val="de-DE" w:bidi="th-TH"/>
              </w:rPr>
            </w:pPr>
            <w:r w:rsidRPr="000974A4">
              <w:rPr>
                <w:b/>
                <w:bCs/>
                <w:color w:val="000000"/>
                <w:sz w:val="16"/>
                <w:szCs w:val="16"/>
                <w:lang w:val="de-DE" w:bidi="th-TH"/>
              </w:rPr>
              <w:t xml:space="preserve">1.2.1 / 3.2.3.3 </w:t>
            </w:r>
          </w:p>
        </w:tc>
        <w:tc>
          <w:tcPr>
            <w:tcW w:w="794" w:type="pct"/>
            <w:tcBorders>
              <w:top w:val="single" w:sz="6" w:space="0" w:color="auto"/>
              <w:left w:val="single" w:sz="6" w:space="0" w:color="auto"/>
              <w:bottom w:val="single" w:sz="6" w:space="0" w:color="auto"/>
              <w:right w:val="single" w:sz="6" w:space="0" w:color="auto"/>
            </w:tcBorders>
          </w:tcPr>
          <w:p w14:paraId="61AC33D8" w14:textId="77777777" w:rsidR="00B65F3A" w:rsidRPr="000974A4" w:rsidRDefault="00B65F3A" w:rsidP="00B65F3A">
            <w:pPr>
              <w:suppressAutoHyphens w:val="0"/>
              <w:autoSpaceDE w:val="0"/>
              <w:autoSpaceDN w:val="0"/>
              <w:adjustRightInd w:val="0"/>
              <w:spacing w:before="10" w:after="10" w:line="240" w:lineRule="auto"/>
              <w:jc w:val="center"/>
              <w:rPr>
                <w:b/>
                <w:bCs/>
                <w:color w:val="000000"/>
                <w:sz w:val="16"/>
                <w:szCs w:val="16"/>
                <w:lang w:val="de-DE" w:bidi="th-TH"/>
              </w:rPr>
            </w:pPr>
            <w:r w:rsidRPr="000974A4">
              <w:rPr>
                <w:b/>
                <w:bCs/>
                <w:color w:val="000000"/>
                <w:sz w:val="16"/>
                <w:szCs w:val="16"/>
                <w:lang w:val="de-DE" w:bidi="th-TH"/>
              </w:rPr>
              <w:t>1.2.1 / 3.2.3.3</w:t>
            </w:r>
          </w:p>
        </w:tc>
        <w:tc>
          <w:tcPr>
            <w:tcW w:w="504" w:type="pct"/>
            <w:tcBorders>
              <w:top w:val="single" w:sz="6" w:space="0" w:color="auto"/>
              <w:left w:val="single" w:sz="6" w:space="0" w:color="auto"/>
              <w:bottom w:val="single" w:sz="6" w:space="0" w:color="auto"/>
              <w:right w:val="single" w:sz="6" w:space="0" w:color="auto"/>
            </w:tcBorders>
          </w:tcPr>
          <w:p w14:paraId="264DE287" w14:textId="77777777" w:rsidR="00B65F3A" w:rsidRPr="000974A4" w:rsidRDefault="00B65F3A" w:rsidP="00B65F3A">
            <w:pPr>
              <w:suppressAutoHyphens w:val="0"/>
              <w:autoSpaceDE w:val="0"/>
              <w:autoSpaceDN w:val="0"/>
              <w:adjustRightInd w:val="0"/>
              <w:spacing w:before="10" w:after="10" w:line="240" w:lineRule="auto"/>
              <w:jc w:val="center"/>
              <w:rPr>
                <w:b/>
                <w:bCs/>
                <w:color w:val="000000"/>
                <w:sz w:val="16"/>
                <w:szCs w:val="16"/>
                <w:lang w:val="de-DE" w:bidi="th-TH"/>
              </w:rPr>
            </w:pPr>
            <w:r w:rsidRPr="000974A4">
              <w:rPr>
                <w:b/>
                <w:bCs/>
                <w:color w:val="000000"/>
                <w:sz w:val="16"/>
                <w:szCs w:val="16"/>
                <w:lang w:val="de-DE" w:bidi="th-TH"/>
              </w:rPr>
              <w:t>8.1.5</w:t>
            </w:r>
          </w:p>
        </w:tc>
        <w:tc>
          <w:tcPr>
            <w:tcW w:w="436" w:type="pct"/>
            <w:tcBorders>
              <w:top w:val="single" w:sz="6" w:space="0" w:color="auto"/>
              <w:left w:val="single" w:sz="6" w:space="0" w:color="auto"/>
              <w:bottom w:val="single" w:sz="6" w:space="0" w:color="auto"/>
              <w:right w:val="single" w:sz="6" w:space="0" w:color="auto"/>
            </w:tcBorders>
          </w:tcPr>
          <w:p w14:paraId="14F80E97" w14:textId="77777777" w:rsidR="00B65F3A" w:rsidRPr="000974A4" w:rsidRDefault="00B65F3A" w:rsidP="00B65F3A">
            <w:pPr>
              <w:suppressAutoHyphens w:val="0"/>
              <w:autoSpaceDE w:val="0"/>
              <w:autoSpaceDN w:val="0"/>
              <w:adjustRightInd w:val="0"/>
              <w:spacing w:before="10" w:after="10" w:line="240" w:lineRule="auto"/>
              <w:jc w:val="center"/>
              <w:rPr>
                <w:b/>
                <w:bCs/>
                <w:color w:val="000000"/>
                <w:sz w:val="16"/>
                <w:szCs w:val="16"/>
                <w:lang w:val="de-DE" w:bidi="th-TH"/>
              </w:rPr>
            </w:pPr>
            <w:r w:rsidRPr="000974A4">
              <w:rPr>
                <w:b/>
                <w:bCs/>
                <w:color w:val="000000"/>
                <w:sz w:val="16"/>
                <w:szCs w:val="16"/>
                <w:lang w:val="de-DE" w:bidi="th-TH"/>
              </w:rPr>
              <w:t>7.2.5</w:t>
            </w:r>
          </w:p>
        </w:tc>
        <w:tc>
          <w:tcPr>
            <w:tcW w:w="488" w:type="pct"/>
            <w:tcBorders>
              <w:top w:val="single" w:sz="6" w:space="0" w:color="auto"/>
              <w:left w:val="single" w:sz="6" w:space="0" w:color="auto"/>
              <w:bottom w:val="single" w:sz="6" w:space="0" w:color="auto"/>
              <w:right w:val="single" w:sz="6" w:space="0" w:color="auto"/>
            </w:tcBorders>
          </w:tcPr>
          <w:p w14:paraId="0B547D84" w14:textId="77777777" w:rsidR="00B65F3A" w:rsidRPr="000974A4" w:rsidRDefault="00B65F3A" w:rsidP="00B65F3A">
            <w:pPr>
              <w:suppressAutoHyphens w:val="0"/>
              <w:autoSpaceDE w:val="0"/>
              <w:autoSpaceDN w:val="0"/>
              <w:adjustRightInd w:val="0"/>
              <w:spacing w:before="10" w:after="10" w:line="240" w:lineRule="auto"/>
              <w:jc w:val="center"/>
              <w:rPr>
                <w:b/>
                <w:bCs/>
                <w:color w:val="000000"/>
                <w:sz w:val="16"/>
                <w:szCs w:val="16"/>
                <w:lang w:val="de-DE" w:bidi="th-TH"/>
              </w:rPr>
            </w:pPr>
            <w:r w:rsidRPr="000974A4">
              <w:rPr>
                <w:b/>
                <w:bCs/>
                <w:color w:val="000000"/>
                <w:sz w:val="16"/>
                <w:szCs w:val="16"/>
                <w:lang w:val="de-DE" w:bidi="th-TH"/>
              </w:rPr>
              <w:t>3.2.3.1</w:t>
            </w:r>
          </w:p>
        </w:tc>
      </w:tr>
    </w:tbl>
    <w:p w14:paraId="5271AE9F" w14:textId="77777777" w:rsidR="00B65F3A" w:rsidRPr="000974A4" w:rsidRDefault="00B65F3A" w:rsidP="00A01F93">
      <w:pPr>
        <w:pStyle w:val="SingleTxtG"/>
        <w:spacing w:before="100" w:beforeAutospacing="1"/>
        <w:rPr>
          <w:lang w:val="de-DE"/>
        </w:rPr>
      </w:pPr>
      <w:r w:rsidRPr="000974A4">
        <w:rPr>
          <w:lang w:val="de-DE"/>
        </w:rPr>
        <w:t>“.</w:t>
      </w:r>
    </w:p>
    <w:p w14:paraId="6E44EB2A" w14:textId="77777777" w:rsidR="00B65F3A" w:rsidRPr="000974A4" w:rsidRDefault="00B65F3A" w:rsidP="00A01F93">
      <w:pPr>
        <w:pStyle w:val="SingleTxtG"/>
        <w:spacing w:after="0"/>
        <w:rPr>
          <w:iCs/>
          <w:lang w:val="de-DE"/>
        </w:rPr>
      </w:pPr>
      <w:r w:rsidRPr="000974A4">
        <w:rPr>
          <w:lang w:val="de-DE"/>
        </w:rPr>
        <w:t xml:space="preserve">[Die Änderungen der Beschreibungen von Spalte 3 (b) und Spalte (7) </w:t>
      </w:r>
      <w:r w:rsidRPr="000974A4">
        <w:rPr>
          <w:iCs/>
          <w:lang w:val="de-DE"/>
        </w:rPr>
        <w:t>in der französischen Fassung haben keine Auswirkungen auf den deutschen Text.]</w:t>
      </w:r>
    </w:p>
    <w:p w14:paraId="64FEAF8E" w14:textId="77777777" w:rsidR="00B65F3A" w:rsidRPr="000974A4" w:rsidRDefault="00B65F3A" w:rsidP="00B65F3A">
      <w:pPr>
        <w:pStyle w:val="SingleTxtG"/>
        <w:spacing w:before="240"/>
        <w:rPr>
          <w:lang w:val="de-DE"/>
        </w:rPr>
      </w:pPr>
      <w:r w:rsidRPr="000974A4">
        <w:rPr>
          <w:i/>
          <w:iCs/>
          <w:lang w:val="de-DE"/>
        </w:rPr>
        <w:t>(Referenzdokument: ECE/TRANS/WP.15/AC.2/2019/13, wie durch informelles Dokument INF.20 geändert)</w:t>
      </w:r>
    </w:p>
    <w:p w14:paraId="19A1B9D3" w14:textId="77777777" w:rsidR="00B65F3A" w:rsidRPr="000974A4" w:rsidRDefault="00B65F3A" w:rsidP="00B65F3A">
      <w:pPr>
        <w:pStyle w:val="H1G"/>
        <w:rPr>
          <w:lang w:val="de-DE"/>
        </w:rPr>
      </w:pPr>
      <w:r w:rsidRPr="000974A4">
        <w:rPr>
          <w:lang w:val="de-DE"/>
        </w:rPr>
        <w:lastRenderedPageBreak/>
        <w:tab/>
      </w:r>
      <w:r w:rsidRPr="000974A4">
        <w:rPr>
          <w:lang w:val="de-DE"/>
        </w:rPr>
        <w:tab/>
        <w:t>Kapitel 7.2</w:t>
      </w:r>
    </w:p>
    <w:p w14:paraId="6C6281F5" w14:textId="77777777" w:rsidR="00B65F3A" w:rsidRPr="000974A4" w:rsidRDefault="00B65F3A" w:rsidP="00B65F3A">
      <w:pPr>
        <w:pStyle w:val="SingleTxtG"/>
        <w:keepNext/>
        <w:keepLines/>
        <w:rPr>
          <w:lang w:val="de-DE"/>
        </w:rPr>
      </w:pPr>
      <w:r w:rsidRPr="000974A4">
        <w:rPr>
          <w:lang w:val="de-DE"/>
        </w:rPr>
        <w:t>7.2.3.7</w:t>
      </w:r>
      <w:r w:rsidRPr="000974A4">
        <w:rPr>
          <w:lang w:val="de-DE"/>
        </w:rPr>
        <w:tab/>
      </w:r>
      <w:r w:rsidRPr="000974A4">
        <w:rPr>
          <w:lang w:val="de-DE"/>
        </w:rPr>
        <w:tab/>
        <w:t>Streichen: 7.2.3.7.3 bis 7.2.3.7.6 und einfügen: „7.2.3.7.3 - 7.2.3.7.6 (gestrichen)“.</w:t>
      </w:r>
    </w:p>
    <w:p w14:paraId="1A207796" w14:textId="77777777" w:rsidR="00B65F3A" w:rsidRPr="000974A4" w:rsidRDefault="00B65F3A" w:rsidP="00B65F3A">
      <w:pPr>
        <w:pStyle w:val="SingleTxtG"/>
        <w:keepNext/>
        <w:keepLines/>
        <w:rPr>
          <w:lang w:val="de-DE"/>
        </w:rPr>
      </w:pPr>
      <w:r w:rsidRPr="000974A4">
        <w:rPr>
          <w:i/>
          <w:iCs/>
          <w:lang w:val="de-DE"/>
        </w:rPr>
        <w:t>(Referenzdokument: ECE/TRANS/WP.15/AC.2/2019/17)</w:t>
      </w:r>
    </w:p>
    <w:p w14:paraId="6A987867" w14:textId="77777777" w:rsidR="00B65F3A" w:rsidRPr="000974A4" w:rsidRDefault="00B65F3A" w:rsidP="00B65F3A">
      <w:pPr>
        <w:pStyle w:val="SingleTxtG"/>
        <w:keepNext/>
        <w:keepLines/>
        <w:rPr>
          <w:lang w:val="de-DE"/>
        </w:rPr>
      </w:pPr>
      <w:r w:rsidRPr="000974A4">
        <w:rPr>
          <w:lang w:val="de-DE"/>
        </w:rPr>
        <w:t>7.2.4.16.4</w:t>
      </w:r>
      <w:r w:rsidRPr="000974A4">
        <w:rPr>
          <w:lang w:val="de-DE"/>
        </w:rPr>
        <w:tab/>
      </w:r>
      <w:r w:rsidRPr="000974A4">
        <w:rPr>
          <w:lang w:val="de-DE" w:eastAsia="fr-FR"/>
        </w:rPr>
        <w:t>Erhält folgenden Wortlaut: „(gestrichen)“.</w:t>
      </w:r>
    </w:p>
    <w:p w14:paraId="764FE91F" w14:textId="77777777" w:rsidR="00B65F3A" w:rsidRPr="000974A4" w:rsidRDefault="00B65F3A" w:rsidP="00B65F3A">
      <w:pPr>
        <w:pStyle w:val="SingleTxtG"/>
        <w:rPr>
          <w:lang w:val="de-DE"/>
        </w:rPr>
      </w:pPr>
      <w:r w:rsidRPr="000974A4">
        <w:rPr>
          <w:i/>
          <w:iCs/>
          <w:lang w:val="de-DE"/>
        </w:rPr>
        <w:t>(Referenzdokument: ECE/TRANS/WP.15/AC.2/2019/4)</w:t>
      </w:r>
    </w:p>
    <w:p w14:paraId="72AF4511" w14:textId="77777777" w:rsidR="00B65F3A" w:rsidRPr="000974A4" w:rsidRDefault="00B65F3A" w:rsidP="00B65F3A">
      <w:pPr>
        <w:pStyle w:val="SingleTxtG"/>
        <w:rPr>
          <w:lang w:val="de-DE"/>
        </w:rPr>
      </w:pPr>
      <w:bookmarkStart w:id="17" w:name="_Hlk2864274"/>
      <w:r w:rsidRPr="000974A4">
        <w:rPr>
          <w:lang w:val="de-DE"/>
        </w:rPr>
        <w:t>7.2.4.17.3</w:t>
      </w:r>
      <w:r w:rsidRPr="000974A4">
        <w:rPr>
          <w:lang w:val="de-DE"/>
        </w:rPr>
        <w:tab/>
        <w:t>Einen neuen letzten Satz mit folgendem Wortlaut hinzufügen: „Die Vorschriften der Absätze 7.2.4.17.1 und 7.2.4.17.2 gelten jedoch bei der Übergabe von verflüssigtem Erdgas (LNG) für den Betrieb von Schiffen“.</w:t>
      </w:r>
    </w:p>
    <w:bookmarkEnd w:id="17"/>
    <w:p w14:paraId="48F9924A" w14:textId="77777777" w:rsidR="00B65F3A" w:rsidRPr="000974A4" w:rsidRDefault="00B65F3A" w:rsidP="00B65F3A">
      <w:pPr>
        <w:pStyle w:val="SingleTxtG"/>
        <w:rPr>
          <w:i/>
          <w:iCs/>
          <w:lang w:val="de-DE"/>
        </w:rPr>
      </w:pPr>
      <w:r w:rsidRPr="000974A4">
        <w:rPr>
          <w:i/>
          <w:iCs/>
          <w:lang w:val="de-DE"/>
        </w:rPr>
        <w:t>(Referenzdokument: ECE/TRANS/WP.15/AC.2/2019/15, Absatz 5, wie geändert)</w:t>
      </w:r>
    </w:p>
    <w:p w14:paraId="296DF721" w14:textId="77777777" w:rsidR="00B65F3A" w:rsidRPr="000974A4" w:rsidRDefault="00B65F3A" w:rsidP="00B65F3A">
      <w:pPr>
        <w:pStyle w:val="H1G"/>
        <w:rPr>
          <w:lang w:val="de-DE"/>
        </w:rPr>
      </w:pPr>
      <w:r w:rsidRPr="000974A4">
        <w:rPr>
          <w:lang w:val="de-DE"/>
        </w:rPr>
        <w:tab/>
      </w:r>
      <w:r w:rsidRPr="000974A4">
        <w:rPr>
          <w:lang w:val="de-DE"/>
        </w:rPr>
        <w:tab/>
        <w:t>Kapitel 8.1</w:t>
      </w:r>
    </w:p>
    <w:p w14:paraId="7AAE6315" w14:textId="77777777" w:rsidR="00B65F3A" w:rsidRPr="000974A4" w:rsidRDefault="00B65F3A" w:rsidP="00B65F3A">
      <w:pPr>
        <w:pStyle w:val="SingleTxtG"/>
        <w:rPr>
          <w:lang w:val="de-DE"/>
        </w:rPr>
      </w:pPr>
      <w:r w:rsidRPr="000974A4">
        <w:rPr>
          <w:lang w:val="de-DE"/>
        </w:rPr>
        <w:t>8.1.7.2</w:t>
      </w:r>
      <w:r w:rsidRPr="000974A4">
        <w:rPr>
          <w:lang w:val="de-DE"/>
        </w:rPr>
        <w:tab/>
      </w:r>
      <w:r w:rsidRPr="000974A4">
        <w:rPr>
          <w:lang w:val="de-DE"/>
        </w:rPr>
        <w:tab/>
        <w:t>Der erste Absatz erhält folgenden Wortlaut:</w:t>
      </w:r>
    </w:p>
    <w:p w14:paraId="0F1C2261" w14:textId="77777777" w:rsidR="00B65F3A" w:rsidRPr="000974A4" w:rsidRDefault="00B65F3A" w:rsidP="00B65F3A">
      <w:pPr>
        <w:pStyle w:val="SingleTxtG"/>
        <w:rPr>
          <w:lang w:val="de-DE"/>
        </w:rPr>
      </w:pPr>
      <w:r w:rsidRPr="000974A4">
        <w:rPr>
          <w:lang w:val="de-DE"/>
        </w:rPr>
        <w:t>„Diese Anlagen und Geräte und autonomen Schutzsysteme sowie die Übereinstimmung der nach Absatz 8.1.2.2 e) bis h) bzw. 8.1.2.3 Buchstabe r) bis v) geforderten Unterlagen mit den Gegebenheiten an Bord müssen bei jeder Erneuerung des Zulassungszeugnisses sowie innerhalb des dritten Jahres der Gültigkeit des Zulassungszeugnisses von der Klassifikationsgesellschaft, die das Schiff klassifiziert hat oder einer der zuständigen Behörde zugelassenen Person, geprüft werden. Eine Bescheinigung über diese Prüfung muss sich an Bord befinden.“.</w:t>
      </w:r>
    </w:p>
    <w:p w14:paraId="455F9F8E" w14:textId="77777777" w:rsidR="00B65F3A" w:rsidRPr="000974A4" w:rsidRDefault="00B65F3A" w:rsidP="00B65F3A">
      <w:pPr>
        <w:pStyle w:val="SingleTxtG"/>
        <w:rPr>
          <w:i/>
          <w:iCs/>
          <w:lang w:val="de-DE"/>
        </w:rPr>
      </w:pPr>
      <w:r w:rsidRPr="000974A4">
        <w:rPr>
          <w:i/>
          <w:iCs/>
          <w:lang w:val="de-DE"/>
        </w:rPr>
        <w:t>(Referenzdokument: ECE/TRANS/WP.15/AC.2/2019/9, wie geändert)</w:t>
      </w:r>
    </w:p>
    <w:p w14:paraId="0078ECE5" w14:textId="77777777" w:rsidR="00B65F3A" w:rsidRPr="000974A4" w:rsidRDefault="00B65F3A" w:rsidP="00B65F3A">
      <w:pPr>
        <w:pStyle w:val="H1G"/>
        <w:rPr>
          <w:lang w:val="de-DE"/>
        </w:rPr>
      </w:pPr>
      <w:r w:rsidRPr="000974A4">
        <w:rPr>
          <w:lang w:val="de-DE"/>
        </w:rPr>
        <w:tab/>
      </w:r>
      <w:r w:rsidRPr="000974A4">
        <w:rPr>
          <w:lang w:val="de-DE"/>
        </w:rPr>
        <w:tab/>
        <w:t>Kapitel 9.3</w:t>
      </w:r>
    </w:p>
    <w:p w14:paraId="3A24CCA8" w14:textId="77777777" w:rsidR="00B65F3A" w:rsidRPr="000974A4" w:rsidRDefault="00B65F3A" w:rsidP="00B65F3A">
      <w:pPr>
        <w:pStyle w:val="SingleTxtG"/>
        <w:rPr>
          <w:lang w:val="de-DE"/>
        </w:rPr>
      </w:pPr>
      <w:r w:rsidRPr="000974A4">
        <w:rPr>
          <w:lang w:val="de-DE"/>
        </w:rPr>
        <w:t>9.3.1.8.4, 9.3.2.8.4, 9.3.3.8.4</w:t>
      </w:r>
      <w:r w:rsidRPr="000974A4">
        <w:rPr>
          <w:lang w:val="de-DE"/>
        </w:rPr>
        <w:tab/>
        <w:t>Erhalten folgenden Wortlaut: „(gestrichen)“.</w:t>
      </w:r>
    </w:p>
    <w:p w14:paraId="30CC1D1A" w14:textId="77777777" w:rsidR="00B65F3A" w:rsidRPr="000974A4" w:rsidRDefault="00B65F3A" w:rsidP="00B65F3A">
      <w:pPr>
        <w:pStyle w:val="SingleTxtG"/>
        <w:rPr>
          <w:i/>
          <w:iCs/>
          <w:lang w:val="de-DE"/>
        </w:rPr>
      </w:pPr>
      <w:r w:rsidRPr="000974A4">
        <w:rPr>
          <w:i/>
          <w:iCs/>
          <w:lang w:val="de-DE"/>
        </w:rPr>
        <w:t>(Referenzdokument: ECE/TRANS/WP.15/AC.2/2019/9)</w:t>
      </w:r>
    </w:p>
    <w:p w14:paraId="21854C1C" w14:textId="77777777" w:rsidR="00B65F3A" w:rsidRPr="000974A4" w:rsidRDefault="00B65F3A" w:rsidP="00B65F3A">
      <w:pPr>
        <w:pStyle w:val="SingleTxtG"/>
        <w:rPr>
          <w:lang w:val="de-DE"/>
        </w:rPr>
      </w:pPr>
      <w:r w:rsidRPr="000974A4">
        <w:rPr>
          <w:lang w:val="de-DE"/>
        </w:rPr>
        <w:t>9.3.2.42.4</w:t>
      </w:r>
      <w:r w:rsidRPr="000974A4">
        <w:rPr>
          <w:lang w:val="de-DE"/>
        </w:rPr>
        <w:tab/>
        <w:t>„9.3.2.52.3“ ändern in: „9.3.2.52.1“.</w:t>
      </w:r>
    </w:p>
    <w:p w14:paraId="11C58399" w14:textId="77777777" w:rsidR="00B65F3A" w:rsidRPr="000974A4" w:rsidRDefault="00B65F3A" w:rsidP="00B65F3A">
      <w:pPr>
        <w:pStyle w:val="SingleTxtG"/>
        <w:rPr>
          <w:lang w:val="de-DE"/>
        </w:rPr>
      </w:pPr>
      <w:r w:rsidRPr="000974A4">
        <w:rPr>
          <w:i/>
          <w:iCs/>
          <w:lang w:val="de-DE"/>
        </w:rPr>
        <w:t>(Referenzdokument: ECE/TRANS/WP.15/AC.2/2019/4)</w:t>
      </w:r>
    </w:p>
    <w:p w14:paraId="61564B9D" w14:textId="77777777" w:rsidR="00B65F3A" w:rsidRPr="000974A4" w:rsidRDefault="00B65F3A" w:rsidP="00B65F3A">
      <w:pPr>
        <w:spacing w:after="120"/>
        <w:ind w:left="1134" w:right="1134"/>
        <w:jc w:val="both"/>
        <w:rPr>
          <w:lang w:val="de-DE"/>
        </w:rPr>
      </w:pPr>
      <w:r w:rsidRPr="000974A4">
        <w:rPr>
          <w:lang w:val="de-DE"/>
        </w:rPr>
        <w:t xml:space="preserve">9.3.3.42.4 </w:t>
      </w:r>
      <w:r w:rsidRPr="000974A4">
        <w:rPr>
          <w:lang w:val="de-DE"/>
        </w:rPr>
        <w:tab/>
        <w:t>„9.3.3.52.3“ ändern in: „9.3.3.52.1“.</w:t>
      </w:r>
    </w:p>
    <w:p w14:paraId="469FA75E" w14:textId="77777777" w:rsidR="00B65F3A" w:rsidRPr="000974A4" w:rsidRDefault="00B65F3A" w:rsidP="00B65F3A">
      <w:pPr>
        <w:pStyle w:val="SingleTxtG"/>
        <w:rPr>
          <w:b/>
          <w:lang w:val="de-DE"/>
        </w:rPr>
      </w:pPr>
      <w:r w:rsidRPr="000974A4">
        <w:rPr>
          <w:i/>
          <w:iCs/>
          <w:lang w:val="de-DE"/>
        </w:rPr>
        <w:t>(Referenzdokument: ECE/TRANS/WP.15/AC.2/2019/4)</w:t>
      </w:r>
    </w:p>
    <w:p w14:paraId="75E4991C" w14:textId="77777777" w:rsidR="00B65F3A" w:rsidRPr="000974A4" w:rsidRDefault="00B65F3A" w:rsidP="00B65F3A">
      <w:pPr>
        <w:suppressAutoHyphens w:val="0"/>
        <w:spacing w:line="240" w:lineRule="auto"/>
        <w:rPr>
          <w:lang w:val="de-DE"/>
        </w:rPr>
      </w:pPr>
      <w:r w:rsidRPr="000974A4">
        <w:rPr>
          <w:lang w:val="de-DE"/>
        </w:rPr>
        <w:br w:type="page"/>
      </w:r>
    </w:p>
    <w:p w14:paraId="5DD2D0D0" w14:textId="2CFDCDB1" w:rsidR="00B65F3A" w:rsidRPr="000974A4" w:rsidRDefault="00B65F3A" w:rsidP="00B65F3A">
      <w:pPr>
        <w:pStyle w:val="HChG"/>
        <w:spacing w:before="240"/>
        <w:rPr>
          <w:lang w:val="de-DE"/>
        </w:rPr>
      </w:pPr>
      <w:r w:rsidRPr="000974A4">
        <w:rPr>
          <w:lang w:val="de-DE"/>
        </w:rPr>
        <w:lastRenderedPageBreak/>
        <w:t>Anlage II</w:t>
      </w:r>
    </w:p>
    <w:p w14:paraId="7BA1AF53" w14:textId="77777777" w:rsidR="00B65F3A" w:rsidRPr="000974A4" w:rsidRDefault="00B65F3A" w:rsidP="00B65F3A">
      <w:pPr>
        <w:jc w:val="right"/>
        <w:rPr>
          <w:lang w:val="de-DE"/>
        </w:rPr>
      </w:pPr>
      <w:bookmarkStart w:id="18" w:name="_Hlk2849274"/>
      <w:r w:rsidRPr="000974A4">
        <w:rPr>
          <w:lang w:val="de-DE"/>
        </w:rPr>
        <w:t>[Original: Englisch und Französisch]</w:t>
      </w:r>
    </w:p>
    <w:bookmarkEnd w:id="18"/>
    <w:p w14:paraId="04CFF559" w14:textId="1F2859D7" w:rsidR="00B65F3A" w:rsidRPr="000974A4" w:rsidRDefault="00B65F3A" w:rsidP="00B65F3A">
      <w:pPr>
        <w:keepNext/>
        <w:keepLines/>
        <w:tabs>
          <w:tab w:val="right" w:pos="851"/>
        </w:tabs>
        <w:spacing w:before="360" w:after="240" w:line="270" w:lineRule="exact"/>
        <w:ind w:left="1134" w:right="1134" w:hanging="1134"/>
        <w:rPr>
          <w:sz w:val="22"/>
          <w:szCs w:val="22"/>
          <w:lang w:val="de-DE"/>
        </w:rPr>
      </w:pPr>
      <w:r w:rsidRPr="000974A4">
        <w:rPr>
          <w:rStyle w:val="HChGChar"/>
          <w:lang w:val="de-DE"/>
        </w:rPr>
        <w:tab/>
      </w:r>
      <w:r w:rsidRPr="000974A4">
        <w:rPr>
          <w:rStyle w:val="HChGChar"/>
          <w:lang w:val="de-DE"/>
        </w:rPr>
        <w:tab/>
      </w:r>
      <w:r w:rsidR="00B613AF" w:rsidRPr="000974A4">
        <w:rPr>
          <w:b/>
          <w:bCs/>
          <w:sz w:val="28"/>
          <w:lang w:val="de-DE"/>
        </w:rPr>
        <w:t>Berichtigungen am Dokument ECE/TRANS/276 (ADN-Ausgabe 2019)</w:t>
      </w:r>
      <w:r w:rsidRPr="000974A4">
        <w:rPr>
          <w:b/>
          <w:sz w:val="28"/>
          <w:lang w:val="de-DE"/>
        </w:rPr>
        <w:t xml:space="preserve"> </w:t>
      </w:r>
      <w:r w:rsidRPr="000974A4">
        <w:rPr>
          <w:sz w:val="22"/>
          <w:szCs w:val="22"/>
          <w:lang w:val="de-DE"/>
        </w:rPr>
        <w:t>(</w:t>
      </w:r>
      <w:r w:rsidR="00B613AF" w:rsidRPr="000974A4">
        <w:rPr>
          <w:bCs/>
          <w:sz w:val="22"/>
          <w:szCs w:val="22"/>
          <w:lang w:val="de-DE"/>
        </w:rPr>
        <w:t>bedürfen nicht der Zustimmung der Vertragsparteien</w:t>
      </w:r>
      <w:r w:rsidRPr="000974A4">
        <w:rPr>
          <w:sz w:val="22"/>
          <w:szCs w:val="22"/>
          <w:lang w:val="de-DE"/>
        </w:rPr>
        <w:t>)</w:t>
      </w:r>
    </w:p>
    <w:p w14:paraId="390403EA" w14:textId="77777777" w:rsidR="00B65F3A" w:rsidRPr="000974A4" w:rsidRDefault="00B65F3A" w:rsidP="00B65F3A">
      <w:pPr>
        <w:keepNext/>
        <w:keepLines/>
        <w:tabs>
          <w:tab w:val="right" w:pos="851"/>
        </w:tabs>
        <w:spacing w:before="360" w:after="240" w:line="270" w:lineRule="exact"/>
        <w:ind w:left="1134" w:right="1134" w:hanging="1134"/>
        <w:rPr>
          <w:b/>
          <w:sz w:val="28"/>
          <w:lang w:val="de-DE"/>
        </w:rPr>
      </w:pPr>
    </w:p>
    <w:p w14:paraId="6A1704C4" w14:textId="77777777" w:rsidR="00B65F3A" w:rsidRPr="000974A4" w:rsidRDefault="00B65F3A" w:rsidP="00B65F3A">
      <w:pPr>
        <w:pStyle w:val="H23G"/>
        <w:numPr>
          <w:ilvl w:val="0"/>
          <w:numId w:val="21"/>
        </w:numPr>
        <w:rPr>
          <w:lang w:val="de-DE"/>
        </w:rPr>
      </w:pPr>
      <w:r w:rsidRPr="000974A4">
        <w:rPr>
          <w:lang w:val="de-DE"/>
        </w:rPr>
        <w:t xml:space="preserve">Kapitel 1.2, </w:t>
      </w:r>
      <w:bookmarkStart w:id="19" w:name="_Hlk2082933"/>
      <w:r w:rsidRPr="000974A4">
        <w:rPr>
          <w:lang w:val="de-DE"/>
        </w:rPr>
        <w:t xml:space="preserve">Begriffsbestimmung für </w:t>
      </w:r>
      <w:bookmarkEnd w:id="19"/>
      <w:r w:rsidRPr="000974A4">
        <w:rPr>
          <w:lang w:val="de-DE"/>
        </w:rPr>
        <w:t>„Explosionsschutz“, unter „Sowie technische Anforderungen wie z.B.“ in b)</w:t>
      </w:r>
    </w:p>
    <w:p w14:paraId="101ECE77" w14:textId="77777777" w:rsidR="00B65F3A" w:rsidRPr="000974A4" w:rsidRDefault="00B65F3A" w:rsidP="00B65F3A">
      <w:pPr>
        <w:spacing w:after="120"/>
        <w:ind w:left="1134" w:right="1134"/>
        <w:jc w:val="both"/>
        <w:rPr>
          <w:i/>
          <w:lang w:val="de-DE"/>
        </w:rPr>
      </w:pPr>
      <w:bookmarkStart w:id="20" w:name="_Hlk2082423"/>
      <w:r w:rsidRPr="000974A4">
        <w:rPr>
          <w:rFonts w:eastAsia="SimSun"/>
          <w:lang w:val="de-DE" w:eastAsia="zh-CN"/>
        </w:rPr>
        <w:t>[Die Änderung in der englischen Fassung hat keine Auswirkungen auf den deutschen Text.]</w:t>
      </w:r>
    </w:p>
    <w:bookmarkEnd w:id="20"/>
    <w:p w14:paraId="08E356FE" w14:textId="77777777" w:rsidR="00B65F3A" w:rsidRPr="000974A4" w:rsidRDefault="00B65F3A" w:rsidP="00B65F3A">
      <w:pPr>
        <w:pStyle w:val="SingleTxtG"/>
        <w:rPr>
          <w:i/>
          <w:iCs/>
          <w:lang w:val="de-DE"/>
        </w:rPr>
      </w:pPr>
      <w:r w:rsidRPr="000974A4">
        <w:rPr>
          <w:i/>
          <w:iCs/>
          <w:lang w:val="de-DE"/>
        </w:rPr>
        <w:t>(Referenzdokument: ECE/TRANS/WP.15/AC.2/2019/4)</w:t>
      </w:r>
    </w:p>
    <w:p w14:paraId="148D04C0" w14:textId="77777777" w:rsidR="00B65F3A" w:rsidRPr="000974A4" w:rsidRDefault="00B65F3A" w:rsidP="00B65F3A">
      <w:pPr>
        <w:pStyle w:val="H23G"/>
        <w:numPr>
          <w:ilvl w:val="0"/>
          <w:numId w:val="21"/>
        </w:numPr>
        <w:rPr>
          <w:lang w:val="de-DE"/>
        </w:rPr>
      </w:pPr>
      <w:r w:rsidRPr="000974A4">
        <w:rPr>
          <w:lang w:val="de-DE"/>
        </w:rPr>
        <w:t>Kapitel 1.2, Begriffsbestimmung für „Autonome Schutzsysteme“</w:t>
      </w:r>
    </w:p>
    <w:p w14:paraId="00FBEF41" w14:textId="77777777" w:rsidR="00B65F3A" w:rsidRPr="000974A4" w:rsidRDefault="00B65F3A" w:rsidP="00B65F3A">
      <w:pPr>
        <w:spacing w:after="120"/>
        <w:ind w:left="1134" w:right="1134"/>
        <w:jc w:val="both"/>
        <w:rPr>
          <w:i/>
          <w:lang w:val="de-DE"/>
        </w:rPr>
      </w:pPr>
      <w:r w:rsidRPr="000974A4">
        <w:rPr>
          <w:rFonts w:eastAsia="SimSun"/>
          <w:lang w:val="de-DE" w:eastAsia="zh-CN"/>
        </w:rPr>
        <w:t>[Die Änderung in der englischen Fassung hat keine Auswirkungen auf den deutschen Text.]</w:t>
      </w:r>
    </w:p>
    <w:p w14:paraId="5C163840" w14:textId="77777777" w:rsidR="00B65F3A" w:rsidRPr="000974A4" w:rsidRDefault="00B65F3A" w:rsidP="00B65F3A">
      <w:pPr>
        <w:pStyle w:val="SingleTxtG"/>
        <w:rPr>
          <w:i/>
          <w:iCs/>
          <w:lang w:val="de-DE"/>
        </w:rPr>
      </w:pPr>
      <w:r w:rsidRPr="000974A4">
        <w:rPr>
          <w:i/>
          <w:iCs/>
          <w:lang w:val="de-DE"/>
        </w:rPr>
        <w:t>(Referenzdokument: ECE/TRANS/WP.15/AC.2/2019/4)</w:t>
      </w:r>
    </w:p>
    <w:p w14:paraId="5B78CC76" w14:textId="77777777" w:rsidR="00B65F3A" w:rsidRPr="000974A4" w:rsidRDefault="00B65F3A" w:rsidP="00B65F3A">
      <w:pPr>
        <w:pStyle w:val="H23G"/>
        <w:rPr>
          <w:lang w:val="de-DE"/>
        </w:rPr>
      </w:pPr>
      <w:r w:rsidRPr="000974A4">
        <w:rPr>
          <w:lang w:val="de-DE"/>
        </w:rPr>
        <w:tab/>
        <w:t>3.</w:t>
      </w:r>
      <w:r w:rsidRPr="000974A4">
        <w:rPr>
          <w:lang w:val="de-DE"/>
        </w:rPr>
        <w:tab/>
        <w:t xml:space="preserve">Kapitel 1.6, 1.6.7.2.2.2, </w:t>
      </w:r>
      <w:bookmarkStart w:id="21" w:name="_Hlk2085704"/>
      <w:r w:rsidRPr="000974A4">
        <w:rPr>
          <w:lang w:val="de-DE"/>
        </w:rPr>
        <w:t xml:space="preserve">Übergangsvorschrift </w:t>
      </w:r>
      <w:bookmarkEnd w:id="21"/>
      <w:r w:rsidRPr="000974A4">
        <w:rPr>
          <w:lang w:val="de-DE"/>
        </w:rPr>
        <w:t>für 8.1.7.2 (dreimal)</w:t>
      </w:r>
    </w:p>
    <w:p w14:paraId="4448AEAC" w14:textId="77777777" w:rsidR="00B65F3A" w:rsidRPr="000974A4" w:rsidRDefault="00B65F3A" w:rsidP="00B65F3A">
      <w:pPr>
        <w:spacing w:after="120"/>
        <w:ind w:left="1134" w:right="1134"/>
        <w:jc w:val="both"/>
        <w:rPr>
          <w:i/>
          <w:lang w:val="de-DE"/>
        </w:rPr>
      </w:pPr>
      <w:bookmarkStart w:id="22" w:name="_Hlk2083727"/>
      <w:r w:rsidRPr="000974A4">
        <w:rPr>
          <w:rFonts w:eastAsia="SimSun"/>
          <w:lang w:val="de-DE" w:eastAsia="zh-CN"/>
        </w:rPr>
        <w:t>[Die Änderung in der englischen Fassung hat keine Auswirkungen auf den deutschen Text.]</w:t>
      </w:r>
    </w:p>
    <w:bookmarkEnd w:id="22"/>
    <w:p w14:paraId="3361D43A" w14:textId="77777777" w:rsidR="00B65F3A" w:rsidRPr="000974A4" w:rsidRDefault="00B65F3A" w:rsidP="00B65F3A">
      <w:pPr>
        <w:pStyle w:val="SingleTxtG"/>
        <w:rPr>
          <w:i/>
          <w:iCs/>
          <w:lang w:val="de-DE"/>
        </w:rPr>
      </w:pPr>
      <w:r w:rsidRPr="000974A4">
        <w:rPr>
          <w:i/>
          <w:iCs/>
          <w:lang w:val="de-DE"/>
        </w:rPr>
        <w:t>(Referenzdokument: ECE/TRANS/WP.15/AC.2/2019/4)</w:t>
      </w:r>
    </w:p>
    <w:p w14:paraId="4B178372" w14:textId="77777777" w:rsidR="00B65F3A" w:rsidRPr="000974A4" w:rsidRDefault="00B65F3A" w:rsidP="00B65F3A">
      <w:pPr>
        <w:pStyle w:val="H23G"/>
        <w:rPr>
          <w:lang w:val="de-DE"/>
        </w:rPr>
      </w:pPr>
      <w:r w:rsidRPr="000974A4">
        <w:rPr>
          <w:bCs/>
          <w:lang w:val="de-DE"/>
        </w:rPr>
        <w:tab/>
        <w:t>4.</w:t>
      </w:r>
      <w:r w:rsidRPr="000974A4">
        <w:rPr>
          <w:bCs/>
          <w:lang w:val="de-DE"/>
        </w:rPr>
        <w:tab/>
        <w:t xml:space="preserve">Kapitel 1.8, 1.8.3.3, </w:t>
      </w:r>
      <w:bookmarkStart w:id="23" w:name="_Hlk2084694"/>
      <w:r w:rsidRPr="000974A4">
        <w:rPr>
          <w:bCs/>
          <w:lang w:val="de-DE"/>
        </w:rPr>
        <w:t>sechster Spiegelstrich des zweiten Absatzes</w:t>
      </w:r>
      <w:bookmarkEnd w:id="23"/>
    </w:p>
    <w:p w14:paraId="601A861A" w14:textId="77777777" w:rsidR="00B65F3A" w:rsidRPr="000974A4" w:rsidRDefault="00B65F3A" w:rsidP="00B65F3A">
      <w:pPr>
        <w:spacing w:after="120"/>
        <w:ind w:left="1134" w:right="1134"/>
        <w:jc w:val="both"/>
        <w:rPr>
          <w:i/>
          <w:lang w:val="de-DE"/>
        </w:rPr>
      </w:pPr>
      <w:r w:rsidRPr="000974A4">
        <w:rPr>
          <w:rFonts w:eastAsia="SimSun"/>
          <w:lang w:val="de-DE" w:eastAsia="zh-CN"/>
        </w:rPr>
        <w:t>[Die Änderung in der englischen Fassung hat keine Auswirkungen auf den deutschen Text.]</w:t>
      </w:r>
    </w:p>
    <w:p w14:paraId="74977D8A" w14:textId="77777777" w:rsidR="00B65F3A" w:rsidRPr="000974A4" w:rsidRDefault="00B65F3A" w:rsidP="00B65F3A">
      <w:pPr>
        <w:pStyle w:val="SingleTxtG"/>
        <w:rPr>
          <w:i/>
          <w:iCs/>
          <w:lang w:val="de-DE"/>
        </w:rPr>
      </w:pPr>
      <w:r w:rsidRPr="000974A4">
        <w:rPr>
          <w:i/>
          <w:iCs/>
          <w:lang w:val="de-DE"/>
        </w:rPr>
        <w:t>(Referenzdokument: ECE/TRANS/WP.15/AC.2/2019/17)</w:t>
      </w:r>
    </w:p>
    <w:p w14:paraId="72B81F20" w14:textId="77777777" w:rsidR="00B65F3A" w:rsidRPr="000974A4" w:rsidRDefault="00B65F3A" w:rsidP="00B65F3A">
      <w:pPr>
        <w:pStyle w:val="H23G"/>
        <w:rPr>
          <w:lang w:val="de-DE"/>
        </w:rPr>
      </w:pPr>
      <w:r w:rsidRPr="000974A4">
        <w:rPr>
          <w:bCs/>
          <w:lang w:val="de-DE"/>
        </w:rPr>
        <w:tab/>
        <w:t>5.</w:t>
      </w:r>
      <w:r w:rsidRPr="000974A4">
        <w:rPr>
          <w:bCs/>
          <w:lang w:val="de-DE"/>
        </w:rPr>
        <w:tab/>
        <w:t>Kapitel 1.8, 1.8.3.3, neunter Spiegelstrich des zweiten Absatzes</w:t>
      </w:r>
    </w:p>
    <w:p w14:paraId="1C8F028B" w14:textId="77777777" w:rsidR="00B65F3A" w:rsidRPr="000974A4" w:rsidRDefault="00B65F3A" w:rsidP="00B65F3A">
      <w:pPr>
        <w:spacing w:after="120"/>
        <w:ind w:left="1134" w:right="1134"/>
        <w:jc w:val="both"/>
        <w:rPr>
          <w:i/>
          <w:lang w:val="de-DE"/>
        </w:rPr>
      </w:pPr>
      <w:r w:rsidRPr="000974A4">
        <w:rPr>
          <w:rFonts w:eastAsia="SimSun"/>
          <w:lang w:val="de-DE" w:eastAsia="zh-CN"/>
        </w:rPr>
        <w:t>[Die Änderung in der englischen Fassung hat keine Auswirkungen auf den deutschen Text.]</w:t>
      </w:r>
    </w:p>
    <w:p w14:paraId="356141F9" w14:textId="77777777" w:rsidR="00B65F3A" w:rsidRPr="000974A4" w:rsidRDefault="00B65F3A" w:rsidP="00B65F3A">
      <w:pPr>
        <w:pStyle w:val="SingleTxtG"/>
        <w:rPr>
          <w:i/>
          <w:iCs/>
          <w:lang w:val="de-DE"/>
        </w:rPr>
      </w:pPr>
      <w:r w:rsidRPr="000974A4">
        <w:rPr>
          <w:i/>
          <w:iCs/>
          <w:lang w:val="de-DE"/>
        </w:rPr>
        <w:t>(Referenzdokument: ECE/TRANS/WP.15/AC.2/2019/17)</w:t>
      </w:r>
    </w:p>
    <w:p w14:paraId="6F2CBF20" w14:textId="77777777" w:rsidR="00B65F3A" w:rsidRPr="000974A4" w:rsidRDefault="00B65F3A" w:rsidP="00B65F3A">
      <w:pPr>
        <w:pStyle w:val="H23G"/>
        <w:rPr>
          <w:lang w:val="de-DE"/>
        </w:rPr>
      </w:pPr>
      <w:r w:rsidRPr="000974A4">
        <w:rPr>
          <w:lang w:val="de-DE"/>
        </w:rPr>
        <w:tab/>
        <w:t>6.</w:t>
      </w:r>
      <w:r w:rsidRPr="000974A4">
        <w:rPr>
          <w:lang w:val="de-DE"/>
        </w:rPr>
        <w:tab/>
        <w:t xml:space="preserve">Kapitel 3.2, 3.2.3.1, </w:t>
      </w:r>
      <w:r w:rsidRPr="000974A4">
        <w:rPr>
          <w:bCs/>
          <w:iCs/>
          <w:lang w:val="de-DE"/>
        </w:rPr>
        <w:t>Erläuterungen zur Tabelle C, Spalte (16) und Bem.</w:t>
      </w:r>
      <w:r w:rsidRPr="000974A4">
        <w:rPr>
          <w:lang w:val="de-DE"/>
        </w:rPr>
        <w:t xml:space="preserve"> (fünfmal)</w:t>
      </w:r>
    </w:p>
    <w:p w14:paraId="22AD2E61" w14:textId="77777777" w:rsidR="00B65F3A" w:rsidRPr="000974A4" w:rsidRDefault="00B65F3A" w:rsidP="00B65F3A">
      <w:pPr>
        <w:spacing w:after="120"/>
        <w:ind w:left="1134" w:right="1134"/>
        <w:jc w:val="both"/>
        <w:rPr>
          <w:i/>
          <w:lang w:val="de-DE"/>
        </w:rPr>
      </w:pPr>
      <w:bookmarkStart w:id="24" w:name="_Hlk2084906"/>
      <w:r w:rsidRPr="000974A4">
        <w:rPr>
          <w:rFonts w:eastAsia="SimSun"/>
          <w:lang w:val="de-DE" w:eastAsia="zh-CN"/>
        </w:rPr>
        <w:t>[Die Änderung in der englischen Fassung hat keine Auswirkungen auf den deutschen Text.]</w:t>
      </w:r>
    </w:p>
    <w:bookmarkEnd w:id="24"/>
    <w:p w14:paraId="68D90D89" w14:textId="77777777" w:rsidR="00B65F3A" w:rsidRPr="000974A4" w:rsidRDefault="00B65F3A" w:rsidP="00B65F3A">
      <w:pPr>
        <w:pStyle w:val="SingleTxtG"/>
        <w:rPr>
          <w:i/>
          <w:iCs/>
          <w:lang w:val="de-DE"/>
        </w:rPr>
      </w:pPr>
      <w:r w:rsidRPr="000974A4">
        <w:rPr>
          <w:i/>
          <w:iCs/>
          <w:lang w:val="de-DE"/>
        </w:rPr>
        <w:t>(Referenzdokument: ECE/TRANS/WP.15/AC.2/2019/4)</w:t>
      </w:r>
    </w:p>
    <w:p w14:paraId="69E939DA" w14:textId="77777777" w:rsidR="00B65F3A" w:rsidRPr="000974A4" w:rsidRDefault="00B65F3A" w:rsidP="00B65F3A">
      <w:pPr>
        <w:pStyle w:val="H23G"/>
        <w:rPr>
          <w:b w:val="0"/>
          <w:bCs/>
          <w:lang w:val="de-DE"/>
        </w:rPr>
      </w:pPr>
      <w:r w:rsidRPr="000974A4">
        <w:rPr>
          <w:bCs/>
          <w:lang w:val="de-DE"/>
        </w:rPr>
        <w:tab/>
        <w:t>7.</w:t>
      </w:r>
      <w:r w:rsidRPr="000974A4">
        <w:rPr>
          <w:bCs/>
          <w:lang w:val="de-DE"/>
        </w:rPr>
        <w:tab/>
        <w:t>Kapitel 3.2, 3.2.4.3 B, Absatz 4 am Anfang</w:t>
      </w:r>
    </w:p>
    <w:p w14:paraId="335D4E6A" w14:textId="77777777" w:rsidR="00B65F3A" w:rsidRPr="000974A4" w:rsidRDefault="00B65F3A" w:rsidP="00B65F3A">
      <w:pPr>
        <w:spacing w:after="120"/>
        <w:ind w:left="1134" w:right="1134"/>
        <w:jc w:val="both"/>
        <w:rPr>
          <w:i/>
          <w:lang w:val="de-DE"/>
        </w:rPr>
      </w:pPr>
      <w:bookmarkStart w:id="25" w:name="_Hlk2085004"/>
      <w:r w:rsidRPr="000974A4">
        <w:rPr>
          <w:rFonts w:eastAsia="SimSun"/>
          <w:lang w:val="de-DE" w:eastAsia="zh-CN"/>
        </w:rPr>
        <w:t>[Die Änderung in der englischen Fassung hat keine Auswirkungen auf den deutschen Text.]</w:t>
      </w:r>
    </w:p>
    <w:bookmarkEnd w:id="25"/>
    <w:p w14:paraId="1D9619C4" w14:textId="77777777" w:rsidR="00B65F3A" w:rsidRPr="000974A4" w:rsidRDefault="00B65F3A" w:rsidP="00B65F3A">
      <w:pPr>
        <w:pStyle w:val="SingleTxtG"/>
        <w:rPr>
          <w:lang w:val="de-DE"/>
        </w:rPr>
      </w:pPr>
      <w:r w:rsidRPr="000974A4">
        <w:rPr>
          <w:i/>
          <w:iCs/>
          <w:lang w:val="de-DE"/>
        </w:rPr>
        <w:t>(Referenzdokument: ECE/TRANS/WP.15/AC.2/2019/17)</w:t>
      </w:r>
    </w:p>
    <w:p w14:paraId="22674534" w14:textId="77777777" w:rsidR="00B65F3A" w:rsidRPr="000974A4" w:rsidRDefault="00B65F3A" w:rsidP="00B65F3A">
      <w:pPr>
        <w:pStyle w:val="H23G"/>
        <w:rPr>
          <w:lang w:val="de-DE"/>
        </w:rPr>
      </w:pPr>
      <w:r w:rsidRPr="000974A4">
        <w:rPr>
          <w:lang w:val="de-DE"/>
        </w:rPr>
        <w:tab/>
        <w:t>8.</w:t>
      </w:r>
      <w:r w:rsidRPr="000974A4">
        <w:rPr>
          <w:lang w:val="de-DE"/>
        </w:rPr>
        <w:tab/>
        <w:t>Kapitel 7.2, 7.2.3.29.1</w:t>
      </w:r>
    </w:p>
    <w:p w14:paraId="6ED69CED" w14:textId="77777777" w:rsidR="00B65F3A" w:rsidRPr="000974A4" w:rsidRDefault="00B65F3A" w:rsidP="00B65F3A">
      <w:pPr>
        <w:spacing w:after="120"/>
        <w:ind w:left="1134" w:right="1134"/>
        <w:jc w:val="both"/>
        <w:rPr>
          <w:i/>
          <w:lang w:val="de-DE"/>
        </w:rPr>
      </w:pPr>
      <w:r w:rsidRPr="000974A4">
        <w:rPr>
          <w:rFonts w:eastAsia="SimSun"/>
          <w:lang w:val="de-DE" w:eastAsia="zh-CN"/>
        </w:rPr>
        <w:t>[Die Änderung in der englischen Fassung hat keine Auswirkungen auf den deutschen Text.]</w:t>
      </w:r>
    </w:p>
    <w:p w14:paraId="3A4F236A" w14:textId="77777777" w:rsidR="00B65F3A" w:rsidRPr="000974A4" w:rsidRDefault="00B65F3A" w:rsidP="00B65F3A">
      <w:pPr>
        <w:suppressAutoHyphens w:val="0"/>
        <w:spacing w:line="240" w:lineRule="auto"/>
        <w:rPr>
          <w:b/>
          <w:lang w:val="de-DE"/>
        </w:rPr>
      </w:pPr>
      <w:r w:rsidRPr="000974A4">
        <w:rPr>
          <w:lang w:val="de-DE"/>
        </w:rPr>
        <w:br w:type="page"/>
      </w:r>
    </w:p>
    <w:p w14:paraId="090E61F8" w14:textId="77777777" w:rsidR="00B65F3A" w:rsidRPr="000974A4" w:rsidRDefault="00B65F3A" w:rsidP="00B65F3A">
      <w:pPr>
        <w:pStyle w:val="H23G"/>
        <w:rPr>
          <w:lang w:val="de-DE"/>
        </w:rPr>
      </w:pPr>
      <w:r w:rsidRPr="000974A4">
        <w:rPr>
          <w:lang w:val="de-DE"/>
        </w:rPr>
        <w:lastRenderedPageBreak/>
        <w:tab/>
        <w:t>9.</w:t>
      </w:r>
      <w:r w:rsidRPr="000974A4">
        <w:rPr>
          <w:lang w:val="de-DE"/>
        </w:rPr>
        <w:tab/>
        <w:t>Kapitel 8.1, 8.1.2.1 e)</w:t>
      </w:r>
    </w:p>
    <w:p w14:paraId="07D10D03" w14:textId="77777777" w:rsidR="00B65F3A" w:rsidRPr="000974A4" w:rsidRDefault="00B65F3A" w:rsidP="00B65F3A">
      <w:pPr>
        <w:spacing w:after="120"/>
        <w:ind w:left="1134" w:right="1134"/>
        <w:jc w:val="both"/>
        <w:rPr>
          <w:i/>
          <w:lang w:val="de-DE"/>
        </w:rPr>
      </w:pPr>
      <w:r w:rsidRPr="000974A4">
        <w:rPr>
          <w:rFonts w:eastAsia="SimSun"/>
          <w:lang w:val="de-DE" w:eastAsia="zh-CN"/>
        </w:rPr>
        <w:t>[Die Änderung in der englischen Fassung hat keine Auswirkungen auf den deutschen Text.]</w:t>
      </w:r>
    </w:p>
    <w:p w14:paraId="79ECDC1E" w14:textId="77777777" w:rsidR="00B65F3A" w:rsidRPr="000974A4" w:rsidRDefault="00B65F3A" w:rsidP="00B65F3A">
      <w:pPr>
        <w:pStyle w:val="SingleTxtG"/>
        <w:keepNext/>
        <w:keepLines/>
        <w:rPr>
          <w:i/>
          <w:iCs/>
          <w:lang w:val="de-DE"/>
        </w:rPr>
      </w:pPr>
      <w:r w:rsidRPr="000974A4">
        <w:rPr>
          <w:i/>
          <w:iCs/>
          <w:lang w:val="de-DE"/>
        </w:rPr>
        <w:t>(Referenzdokument: ECE/TRANS/WP.15/AC.2/2019/4)</w:t>
      </w:r>
    </w:p>
    <w:p w14:paraId="0EC5554D" w14:textId="77777777" w:rsidR="00B65F3A" w:rsidRPr="000974A4" w:rsidRDefault="00B65F3A" w:rsidP="00B65F3A">
      <w:pPr>
        <w:pStyle w:val="H23G"/>
        <w:rPr>
          <w:lang w:val="de-DE"/>
        </w:rPr>
      </w:pPr>
      <w:r w:rsidRPr="000974A4">
        <w:rPr>
          <w:lang w:val="de-DE"/>
        </w:rPr>
        <w:tab/>
        <w:t>10.</w:t>
      </w:r>
      <w:r w:rsidRPr="000974A4">
        <w:rPr>
          <w:lang w:val="de-DE"/>
        </w:rPr>
        <w:tab/>
        <w:t>Kapitel 8.1, 8.1.2.3 t)</w:t>
      </w:r>
    </w:p>
    <w:p w14:paraId="43661BC0" w14:textId="77777777" w:rsidR="00B65F3A" w:rsidRPr="000974A4" w:rsidRDefault="00B65F3A" w:rsidP="00B65F3A">
      <w:pPr>
        <w:spacing w:after="120"/>
        <w:ind w:left="1134" w:right="1134"/>
        <w:jc w:val="both"/>
        <w:rPr>
          <w:i/>
          <w:lang w:val="de-DE"/>
        </w:rPr>
      </w:pPr>
      <w:r w:rsidRPr="000974A4">
        <w:rPr>
          <w:rFonts w:eastAsia="SimSun"/>
          <w:lang w:val="de-DE" w:eastAsia="zh-CN"/>
        </w:rPr>
        <w:t>[Die Änderung in der englischen Fassung hat keine Auswirkungen auf den deutschen Text.]</w:t>
      </w:r>
    </w:p>
    <w:p w14:paraId="3F43781B" w14:textId="77777777" w:rsidR="00B65F3A" w:rsidRPr="000974A4" w:rsidRDefault="00B65F3A" w:rsidP="00B65F3A">
      <w:pPr>
        <w:pStyle w:val="SingleTxtG"/>
        <w:rPr>
          <w:i/>
          <w:iCs/>
          <w:lang w:val="de-DE"/>
        </w:rPr>
      </w:pPr>
      <w:r w:rsidRPr="000974A4">
        <w:rPr>
          <w:i/>
          <w:iCs/>
          <w:lang w:val="de-DE"/>
        </w:rPr>
        <w:t>(Referenzdokument: ECE/TRANS/WP.15/AC.2/2019/4)</w:t>
      </w:r>
    </w:p>
    <w:p w14:paraId="1A63781B" w14:textId="77777777" w:rsidR="00B65F3A" w:rsidRPr="000974A4" w:rsidRDefault="00B65F3A" w:rsidP="00B65F3A">
      <w:pPr>
        <w:pStyle w:val="H23G"/>
        <w:rPr>
          <w:lang w:val="de-DE"/>
        </w:rPr>
      </w:pPr>
      <w:r w:rsidRPr="000974A4">
        <w:rPr>
          <w:lang w:val="de-DE"/>
        </w:rPr>
        <w:tab/>
        <w:t>11.</w:t>
      </w:r>
      <w:r w:rsidRPr="000974A4">
        <w:rPr>
          <w:lang w:val="de-DE"/>
        </w:rPr>
        <w:tab/>
        <w:t>Kapitel 8.1, 8.1.2.3 u)</w:t>
      </w:r>
    </w:p>
    <w:p w14:paraId="7503648B" w14:textId="77777777" w:rsidR="00B65F3A" w:rsidRPr="000974A4" w:rsidRDefault="00B65F3A" w:rsidP="00B65F3A">
      <w:pPr>
        <w:spacing w:after="120"/>
        <w:ind w:left="1134" w:right="1134"/>
        <w:jc w:val="both"/>
        <w:rPr>
          <w:i/>
          <w:lang w:val="de-DE"/>
        </w:rPr>
      </w:pPr>
      <w:r w:rsidRPr="000974A4">
        <w:rPr>
          <w:rFonts w:eastAsia="SimSun"/>
          <w:lang w:val="de-DE" w:eastAsia="zh-CN"/>
        </w:rPr>
        <w:t>[Die Änderung in der englischen Fassung hat keine Auswirkungen auf den deutschen Text.]</w:t>
      </w:r>
    </w:p>
    <w:p w14:paraId="1E35264E" w14:textId="77777777" w:rsidR="00B65F3A" w:rsidRPr="000974A4" w:rsidRDefault="00B65F3A" w:rsidP="00B65F3A">
      <w:pPr>
        <w:pStyle w:val="SingleTxtG"/>
        <w:rPr>
          <w:i/>
          <w:iCs/>
          <w:lang w:val="de-DE"/>
        </w:rPr>
      </w:pPr>
      <w:r w:rsidRPr="000974A4">
        <w:rPr>
          <w:i/>
          <w:iCs/>
          <w:lang w:val="de-DE"/>
        </w:rPr>
        <w:t xml:space="preserve"> (Referenzdokument: ECE/TRANS/WP.15/AC.2/2019/4)</w:t>
      </w:r>
    </w:p>
    <w:p w14:paraId="780B30E9" w14:textId="77777777" w:rsidR="00B65F3A" w:rsidRPr="000974A4" w:rsidRDefault="00B65F3A" w:rsidP="00B65F3A">
      <w:pPr>
        <w:pStyle w:val="H23G"/>
        <w:rPr>
          <w:lang w:val="de-DE"/>
        </w:rPr>
      </w:pPr>
      <w:r w:rsidRPr="000974A4">
        <w:rPr>
          <w:lang w:val="de-DE"/>
        </w:rPr>
        <w:tab/>
        <w:t>12.</w:t>
      </w:r>
      <w:r w:rsidRPr="000974A4">
        <w:rPr>
          <w:lang w:val="de-DE"/>
        </w:rPr>
        <w:tab/>
        <w:t>Kapitel 8.1, 8.1.7, Überschrift</w:t>
      </w:r>
    </w:p>
    <w:p w14:paraId="60604BC9" w14:textId="77777777" w:rsidR="00B65F3A" w:rsidRPr="000974A4" w:rsidRDefault="00B65F3A" w:rsidP="00B65F3A">
      <w:pPr>
        <w:spacing w:after="120"/>
        <w:ind w:left="1134" w:right="1134"/>
        <w:jc w:val="both"/>
        <w:rPr>
          <w:i/>
          <w:lang w:val="de-DE"/>
        </w:rPr>
      </w:pPr>
      <w:bookmarkStart w:id="26" w:name="_Hlk2087013"/>
      <w:r w:rsidRPr="000974A4">
        <w:rPr>
          <w:rFonts w:eastAsia="SimSun"/>
          <w:lang w:val="de-DE" w:eastAsia="zh-CN"/>
        </w:rPr>
        <w:t>[Die Änderung in der englischen Fassung hat keine Auswirkungen auf den deutschen Text.]</w:t>
      </w:r>
    </w:p>
    <w:bookmarkEnd w:id="26"/>
    <w:p w14:paraId="694842A5" w14:textId="77777777" w:rsidR="00B65F3A" w:rsidRPr="000974A4" w:rsidRDefault="00B65F3A" w:rsidP="00B65F3A">
      <w:pPr>
        <w:pStyle w:val="SingleTxtG"/>
        <w:rPr>
          <w:i/>
          <w:iCs/>
          <w:lang w:val="de-DE"/>
        </w:rPr>
      </w:pPr>
      <w:r w:rsidRPr="000974A4">
        <w:rPr>
          <w:i/>
          <w:iCs/>
          <w:lang w:val="de-DE"/>
        </w:rPr>
        <w:t>(Referenzdokument: ECE/TRANS/WP.15/AC.2/2019/4)</w:t>
      </w:r>
    </w:p>
    <w:p w14:paraId="1431B1F9" w14:textId="77777777" w:rsidR="00B65F3A" w:rsidRPr="000974A4" w:rsidRDefault="00B65F3A" w:rsidP="00B65F3A">
      <w:pPr>
        <w:pStyle w:val="H23G"/>
        <w:rPr>
          <w:lang w:val="de-DE"/>
        </w:rPr>
      </w:pPr>
      <w:r w:rsidRPr="000974A4">
        <w:rPr>
          <w:lang w:val="de-DE"/>
        </w:rPr>
        <w:tab/>
        <w:t>13.</w:t>
      </w:r>
      <w:r w:rsidRPr="000974A4">
        <w:rPr>
          <w:lang w:val="de-DE"/>
        </w:rPr>
        <w:tab/>
        <w:t>Kapitel 8.1, 8.1.7.2, zweiter Absatz</w:t>
      </w:r>
    </w:p>
    <w:p w14:paraId="518564DD" w14:textId="77777777" w:rsidR="00B65F3A" w:rsidRPr="000974A4" w:rsidRDefault="00B65F3A" w:rsidP="00B65F3A">
      <w:pPr>
        <w:spacing w:after="120"/>
        <w:ind w:left="1134" w:right="1134"/>
        <w:jc w:val="both"/>
        <w:rPr>
          <w:i/>
          <w:lang w:val="de-DE"/>
        </w:rPr>
      </w:pPr>
      <w:r w:rsidRPr="000974A4">
        <w:rPr>
          <w:rFonts w:eastAsia="SimSun"/>
          <w:lang w:val="de-DE" w:eastAsia="zh-CN"/>
        </w:rPr>
        <w:t>[Die Änderung in der englischen Fassung hat keine Auswirkungen auf den deutschen Text.]</w:t>
      </w:r>
    </w:p>
    <w:p w14:paraId="057B5019" w14:textId="77777777" w:rsidR="00B65F3A" w:rsidRPr="000974A4" w:rsidRDefault="00B65F3A" w:rsidP="00B65F3A">
      <w:pPr>
        <w:pStyle w:val="SingleTxtG"/>
        <w:rPr>
          <w:i/>
          <w:iCs/>
          <w:lang w:val="de-DE"/>
        </w:rPr>
      </w:pPr>
      <w:r w:rsidRPr="000974A4">
        <w:rPr>
          <w:i/>
          <w:iCs/>
          <w:lang w:val="de-DE"/>
        </w:rPr>
        <w:t>(Referenzdokument: ECE/TRANS/WP.15/AC.2/2019/4)</w:t>
      </w:r>
    </w:p>
    <w:p w14:paraId="66BC9271" w14:textId="77777777" w:rsidR="00B65F3A" w:rsidRPr="000974A4" w:rsidRDefault="00B65F3A" w:rsidP="00B65F3A">
      <w:pPr>
        <w:suppressAutoHyphens w:val="0"/>
        <w:spacing w:line="240" w:lineRule="auto"/>
        <w:rPr>
          <w:b/>
          <w:sz w:val="28"/>
          <w:lang w:val="de-DE"/>
        </w:rPr>
      </w:pPr>
      <w:r w:rsidRPr="000974A4">
        <w:rPr>
          <w:b/>
          <w:sz w:val="28"/>
          <w:lang w:val="de-DE"/>
        </w:rPr>
        <w:br w:type="page"/>
      </w:r>
    </w:p>
    <w:p w14:paraId="6B4ADE34" w14:textId="3A18AB4F" w:rsidR="00B65F3A" w:rsidRPr="000974A4" w:rsidRDefault="00B65F3A" w:rsidP="00B65F3A">
      <w:pPr>
        <w:pStyle w:val="HChG"/>
        <w:spacing w:before="240"/>
        <w:rPr>
          <w:lang w:val="de-DE"/>
        </w:rPr>
      </w:pPr>
      <w:r w:rsidRPr="000974A4">
        <w:rPr>
          <w:lang w:val="de-DE"/>
        </w:rPr>
        <w:lastRenderedPageBreak/>
        <w:t>Anlage III</w:t>
      </w:r>
    </w:p>
    <w:p w14:paraId="323B52F9" w14:textId="77777777" w:rsidR="00B65F3A" w:rsidRPr="000974A4" w:rsidRDefault="00B65F3A" w:rsidP="00B65F3A">
      <w:pPr>
        <w:jc w:val="right"/>
        <w:rPr>
          <w:lang w:val="de-DE"/>
        </w:rPr>
      </w:pPr>
      <w:r w:rsidRPr="000974A4">
        <w:rPr>
          <w:lang w:val="de-DE"/>
        </w:rPr>
        <w:t>[Original: Englisch und Französisch]</w:t>
      </w:r>
    </w:p>
    <w:p w14:paraId="28EAEB75" w14:textId="09C23E59" w:rsidR="00B65F3A" w:rsidRPr="000974A4" w:rsidRDefault="00B65F3A" w:rsidP="00B65F3A">
      <w:pPr>
        <w:pStyle w:val="HChG"/>
        <w:rPr>
          <w:b w:val="0"/>
          <w:sz w:val="22"/>
          <w:szCs w:val="22"/>
          <w:lang w:val="de-DE"/>
        </w:rPr>
      </w:pPr>
      <w:r w:rsidRPr="000974A4">
        <w:rPr>
          <w:lang w:val="de-DE"/>
        </w:rPr>
        <w:tab/>
      </w:r>
      <w:r w:rsidRPr="000974A4">
        <w:rPr>
          <w:lang w:val="de-DE"/>
        </w:rPr>
        <w:tab/>
      </w:r>
      <w:r w:rsidR="00B613AF" w:rsidRPr="000974A4">
        <w:rPr>
          <w:lang w:val="de-DE"/>
        </w:rPr>
        <w:t>Berichtigungsvorschläge zu der dem ADN beigefügten Verordnung</w:t>
      </w:r>
      <w:r w:rsidR="00B613AF" w:rsidRPr="000974A4">
        <w:rPr>
          <w:b w:val="0"/>
          <w:bCs/>
          <w:sz w:val="22"/>
          <w:szCs w:val="16"/>
          <w:lang w:val="de-DE"/>
        </w:rPr>
        <w:t xml:space="preserve"> </w:t>
      </w:r>
      <w:r w:rsidRPr="000974A4">
        <w:rPr>
          <w:b w:val="0"/>
          <w:bCs/>
          <w:sz w:val="22"/>
          <w:szCs w:val="16"/>
          <w:lang w:val="de-DE"/>
        </w:rPr>
        <w:t>(</w:t>
      </w:r>
      <w:r w:rsidR="00B613AF" w:rsidRPr="000974A4">
        <w:rPr>
          <w:b w:val="0"/>
          <w:bCs/>
          <w:sz w:val="22"/>
          <w:szCs w:val="16"/>
          <w:lang w:val="de-DE"/>
        </w:rPr>
        <w:t>bedürfen der Zustimmung der Vertragsparteien</w:t>
      </w:r>
      <w:r w:rsidRPr="000974A4">
        <w:rPr>
          <w:b w:val="0"/>
          <w:bCs/>
          <w:sz w:val="22"/>
          <w:szCs w:val="16"/>
          <w:lang w:val="de-DE"/>
        </w:rPr>
        <w:t>)</w:t>
      </w:r>
    </w:p>
    <w:p w14:paraId="5757A88A" w14:textId="77777777" w:rsidR="00B65F3A" w:rsidRPr="000974A4" w:rsidRDefault="00B65F3A" w:rsidP="00B65F3A">
      <w:pPr>
        <w:pStyle w:val="H23G"/>
        <w:rPr>
          <w:lang w:val="de-DE"/>
        </w:rPr>
      </w:pPr>
      <w:r w:rsidRPr="000974A4">
        <w:rPr>
          <w:lang w:val="de-DE"/>
        </w:rPr>
        <w:tab/>
        <w:t>1.</w:t>
      </w:r>
      <w:r w:rsidRPr="000974A4">
        <w:rPr>
          <w:lang w:val="de-DE"/>
        </w:rPr>
        <w:tab/>
        <w:t>Kapitel 1.2, Begriffsbestimmung für „Elektrische Einrichtung vom Typ „begrenzte Explosionsgefahr““</w:t>
      </w:r>
    </w:p>
    <w:p w14:paraId="58E9A972" w14:textId="68854FF0" w:rsidR="00B65F3A" w:rsidRPr="000974A4" w:rsidRDefault="007A0BF5" w:rsidP="00B65F3A">
      <w:pPr>
        <w:pStyle w:val="SingleTxtG"/>
        <w:rPr>
          <w:iCs/>
          <w:lang w:val="de-DE"/>
        </w:rPr>
      </w:pPr>
      <w:bookmarkStart w:id="27" w:name="_Hlk2085853"/>
      <w:r>
        <w:rPr>
          <w:iCs/>
          <w:lang w:val="de-DE"/>
        </w:rPr>
        <w:t>e</w:t>
      </w:r>
      <w:r w:rsidR="00B65F3A" w:rsidRPr="000974A4">
        <w:rPr>
          <w:iCs/>
          <w:lang w:val="de-DE"/>
        </w:rPr>
        <w:t xml:space="preserve">lektrische Einrichtung </w:t>
      </w:r>
      <w:r w:rsidR="00B65F3A" w:rsidRPr="000974A4">
        <w:rPr>
          <w:i/>
          <w:iCs/>
          <w:lang w:val="de-DE"/>
        </w:rPr>
        <w:t>ändern in:</w:t>
      </w:r>
      <w:r w:rsidR="00B65F3A" w:rsidRPr="000974A4">
        <w:rPr>
          <w:iCs/>
          <w:lang w:val="de-DE"/>
        </w:rPr>
        <w:t xml:space="preserve"> Elektrische Anlagen und Geräte</w:t>
      </w:r>
    </w:p>
    <w:bookmarkEnd w:id="27"/>
    <w:p w14:paraId="17166929" w14:textId="77777777" w:rsidR="00B65F3A" w:rsidRPr="000974A4" w:rsidRDefault="00B65F3A" w:rsidP="00B65F3A">
      <w:pPr>
        <w:pStyle w:val="SingleTxtG"/>
        <w:rPr>
          <w:i/>
          <w:iCs/>
          <w:lang w:val="de-DE"/>
        </w:rPr>
      </w:pPr>
      <w:r w:rsidRPr="000974A4">
        <w:rPr>
          <w:i/>
          <w:iCs/>
          <w:lang w:val="de-DE"/>
        </w:rPr>
        <w:t>(Referenzdokument: ECE/TRANS/WP.15/AC.2/2019/4)</w:t>
      </w:r>
    </w:p>
    <w:p w14:paraId="51CD0F34" w14:textId="77777777" w:rsidR="00B65F3A" w:rsidRPr="000974A4" w:rsidRDefault="00B65F3A" w:rsidP="00B65F3A">
      <w:pPr>
        <w:pStyle w:val="H23G"/>
        <w:rPr>
          <w:lang w:val="de-DE"/>
        </w:rPr>
      </w:pPr>
      <w:r w:rsidRPr="000974A4">
        <w:rPr>
          <w:lang w:val="de-DE"/>
        </w:rPr>
        <w:tab/>
        <w:t>2.</w:t>
      </w:r>
      <w:r w:rsidRPr="000974A4">
        <w:rPr>
          <w:lang w:val="de-DE"/>
        </w:rPr>
        <w:tab/>
        <w:t>Kapitel 1.6, 1.6.7.2.2.2, Übergangsvorschrift für 9.3.3.52.1</w:t>
      </w:r>
    </w:p>
    <w:p w14:paraId="42CD1867" w14:textId="77777777" w:rsidR="00B65F3A" w:rsidRPr="000974A4" w:rsidRDefault="00B65F3A" w:rsidP="00B65F3A">
      <w:pPr>
        <w:pStyle w:val="SingleTxtG"/>
        <w:rPr>
          <w:iCs/>
          <w:lang w:val="de-DE"/>
        </w:rPr>
      </w:pPr>
      <w:r w:rsidRPr="000974A4">
        <w:rPr>
          <w:iCs/>
          <w:lang w:val="de-DE"/>
        </w:rPr>
        <w:t xml:space="preserve">Elektrische Einrichtungen </w:t>
      </w:r>
      <w:r w:rsidRPr="000974A4">
        <w:rPr>
          <w:i/>
          <w:iCs/>
          <w:lang w:val="de-DE"/>
        </w:rPr>
        <w:t>ändern in:</w:t>
      </w:r>
      <w:r w:rsidRPr="000974A4">
        <w:rPr>
          <w:iCs/>
          <w:lang w:val="de-DE"/>
        </w:rPr>
        <w:t xml:space="preserve"> Elektrische Anlagen und Geräte</w:t>
      </w:r>
    </w:p>
    <w:p w14:paraId="512E1171" w14:textId="77777777" w:rsidR="00B65F3A" w:rsidRPr="000974A4" w:rsidRDefault="00B65F3A" w:rsidP="00B65F3A">
      <w:pPr>
        <w:pStyle w:val="SingleTxtG"/>
        <w:rPr>
          <w:i/>
          <w:iCs/>
          <w:lang w:val="de-DE"/>
        </w:rPr>
      </w:pPr>
      <w:r w:rsidRPr="000974A4">
        <w:rPr>
          <w:i/>
          <w:iCs/>
          <w:lang w:val="de-DE"/>
        </w:rPr>
        <w:t>(Referenzdokument: ECE/TRANS/WP.15/AC.2/2019/4)</w:t>
      </w:r>
    </w:p>
    <w:p w14:paraId="6F5FF6B6" w14:textId="77777777" w:rsidR="00B65F3A" w:rsidRPr="000974A4" w:rsidRDefault="00B65F3A" w:rsidP="00B65F3A">
      <w:pPr>
        <w:pStyle w:val="H23G"/>
        <w:rPr>
          <w:lang w:val="de-DE"/>
        </w:rPr>
      </w:pPr>
      <w:r w:rsidRPr="000974A4">
        <w:rPr>
          <w:lang w:val="de-DE"/>
        </w:rPr>
        <w:tab/>
        <w:t>3.</w:t>
      </w:r>
      <w:r w:rsidRPr="000974A4">
        <w:rPr>
          <w:lang w:val="de-DE"/>
        </w:rPr>
        <w:tab/>
        <w:t>Kapitel 1.6, 1.6.7.2.2.2, Übergangsvorschrift für 9.3.3.52.2</w:t>
      </w:r>
    </w:p>
    <w:p w14:paraId="4F889C14" w14:textId="2CC9638E" w:rsidR="00B65F3A" w:rsidRPr="000974A4" w:rsidRDefault="00B65F3A" w:rsidP="00B65F3A">
      <w:pPr>
        <w:pStyle w:val="SingleTxtG"/>
        <w:rPr>
          <w:iCs/>
          <w:lang w:val="de-DE"/>
        </w:rPr>
      </w:pPr>
      <w:r w:rsidRPr="000974A4">
        <w:rPr>
          <w:iCs/>
          <w:lang w:val="de-DE"/>
        </w:rPr>
        <w:t xml:space="preserve">Elektrische Einrichtungen / Echolotschwinger </w:t>
      </w:r>
      <w:r w:rsidRPr="000974A4">
        <w:rPr>
          <w:i/>
          <w:iCs/>
          <w:lang w:val="de-DE"/>
        </w:rPr>
        <w:t>ändern in:</w:t>
      </w:r>
      <w:r w:rsidRPr="000974A4">
        <w:rPr>
          <w:iCs/>
          <w:lang w:val="de-DE"/>
        </w:rPr>
        <w:t xml:space="preserve"> Elektrische Anlagen und Geräte</w:t>
      </w:r>
      <w:r w:rsidR="007A0BF5">
        <w:rPr>
          <w:iCs/>
          <w:lang w:val="de-DE"/>
        </w:rPr>
        <w:t xml:space="preserve"> </w:t>
      </w:r>
      <w:r w:rsidRPr="000974A4">
        <w:rPr>
          <w:iCs/>
          <w:lang w:val="de-DE"/>
        </w:rPr>
        <w:t>/</w:t>
      </w:r>
      <w:r w:rsidR="007A0BF5">
        <w:rPr>
          <w:iCs/>
          <w:lang w:val="de-DE"/>
        </w:rPr>
        <w:t xml:space="preserve"> </w:t>
      </w:r>
      <w:r w:rsidRPr="000974A4">
        <w:rPr>
          <w:iCs/>
          <w:lang w:val="de-DE"/>
        </w:rPr>
        <w:t>Echolotschwinger.</w:t>
      </w:r>
    </w:p>
    <w:p w14:paraId="46D87DC3" w14:textId="77777777" w:rsidR="00B65F3A" w:rsidRPr="000974A4" w:rsidRDefault="00B65F3A" w:rsidP="00B65F3A">
      <w:pPr>
        <w:pStyle w:val="SingleTxtG"/>
        <w:rPr>
          <w:lang w:val="de-DE"/>
        </w:rPr>
      </w:pPr>
      <w:r w:rsidRPr="000974A4">
        <w:rPr>
          <w:i/>
          <w:iCs/>
          <w:lang w:val="de-DE"/>
        </w:rPr>
        <w:t>(Referenzdokument: ECE/TRANS/WP.15/AC.2/2019/4)</w:t>
      </w:r>
    </w:p>
    <w:p w14:paraId="7A5D7B27" w14:textId="77777777" w:rsidR="00B65F3A" w:rsidRPr="000974A4" w:rsidRDefault="00B65F3A" w:rsidP="00B65F3A">
      <w:pPr>
        <w:pStyle w:val="H23G"/>
        <w:rPr>
          <w:lang w:val="de-DE"/>
        </w:rPr>
      </w:pPr>
      <w:r w:rsidRPr="000974A4">
        <w:rPr>
          <w:lang w:val="de-DE"/>
        </w:rPr>
        <w:tab/>
        <w:t>4.</w:t>
      </w:r>
      <w:r w:rsidRPr="000974A4">
        <w:rPr>
          <w:lang w:val="de-DE"/>
        </w:rPr>
        <w:tab/>
        <w:t xml:space="preserve">Kapitel 1.6, 1.6.7.2.2.2, </w:t>
      </w:r>
      <w:bookmarkStart w:id="28" w:name="_Hlk2086567"/>
      <w:r w:rsidRPr="000974A4">
        <w:rPr>
          <w:lang w:val="de-DE"/>
        </w:rPr>
        <w:t xml:space="preserve">Übergangsvorschrift </w:t>
      </w:r>
      <w:bookmarkEnd w:id="28"/>
      <w:r w:rsidRPr="000974A4">
        <w:rPr>
          <w:lang w:val="de-DE"/>
        </w:rPr>
        <w:t>für 9.3.x.52.3, letzter Satz</w:t>
      </w:r>
    </w:p>
    <w:p w14:paraId="6F4A74C9" w14:textId="77777777" w:rsidR="00B65F3A" w:rsidRPr="000974A4" w:rsidRDefault="00B65F3A" w:rsidP="00B65F3A">
      <w:pPr>
        <w:pStyle w:val="SingleTxtG"/>
        <w:rPr>
          <w:iCs/>
          <w:lang w:val="de-DE"/>
        </w:rPr>
      </w:pPr>
      <w:bookmarkStart w:id="29" w:name="_Hlk2086429"/>
      <w:r w:rsidRPr="000974A4">
        <w:rPr>
          <w:iCs/>
          <w:lang w:val="de-DE"/>
        </w:rPr>
        <w:t xml:space="preserve">Abschalten dieser Einrichtungen an einer zentralen Stelle </w:t>
      </w:r>
      <w:bookmarkEnd w:id="29"/>
      <w:r w:rsidRPr="000974A4">
        <w:rPr>
          <w:i/>
          <w:iCs/>
          <w:lang w:val="de-DE"/>
        </w:rPr>
        <w:t>ändern in:</w:t>
      </w:r>
      <w:r w:rsidRPr="000974A4">
        <w:rPr>
          <w:iCs/>
          <w:lang w:val="de-DE"/>
        </w:rPr>
        <w:t xml:space="preserve"> Abschalten dieser </w:t>
      </w:r>
      <w:r w:rsidRPr="000974A4">
        <w:rPr>
          <w:lang w:val="de-DE" w:eastAsia="fr-FR"/>
        </w:rPr>
        <w:t>elektrischen Anlagen und Geräte</w:t>
      </w:r>
      <w:r w:rsidRPr="000974A4">
        <w:rPr>
          <w:iCs/>
          <w:lang w:val="de-DE"/>
        </w:rPr>
        <w:t xml:space="preserve"> an einer zentralen Stelle.</w:t>
      </w:r>
    </w:p>
    <w:p w14:paraId="166F3956" w14:textId="77777777" w:rsidR="00B65F3A" w:rsidRPr="000974A4" w:rsidRDefault="00B65F3A" w:rsidP="00B65F3A">
      <w:pPr>
        <w:pStyle w:val="SingleTxtG"/>
        <w:rPr>
          <w:lang w:val="de-DE"/>
        </w:rPr>
      </w:pPr>
      <w:r w:rsidRPr="000974A4">
        <w:rPr>
          <w:i/>
          <w:iCs/>
          <w:lang w:val="de-DE"/>
        </w:rPr>
        <w:t>(Referenzdokument: ECE/TRANS/WP.15/AC.2/2019/4)</w:t>
      </w:r>
    </w:p>
    <w:p w14:paraId="43F74486" w14:textId="77777777" w:rsidR="00B65F3A" w:rsidRPr="000974A4" w:rsidRDefault="00B65F3A" w:rsidP="00B65F3A">
      <w:pPr>
        <w:pStyle w:val="H23G"/>
        <w:rPr>
          <w:lang w:val="de-DE"/>
        </w:rPr>
      </w:pPr>
      <w:r w:rsidRPr="000974A4">
        <w:rPr>
          <w:lang w:val="de-DE"/>
        </w:rPr>
        <w:tab/>
        <w:t>5.</w:t>
      </w:r>
      <w:r w:rsidRPr="000974A4">
        <w:rPr>
          <w:lang w:val="de-DE"/>
        </w:rPr>
        <w:tab/>
        <w:t>Kapitel 1.6, 1.6.7.2.2.2, Übergangsvorschrift für 9.3.1.53.1, 9.3.2.53.1, 9.3.3.53.1, d)</w:t>
      </w:r>
    </w:p>
    <w:p w14:paraId="000CAFEF" w14:textId="4BF0A023" w:rsidR="00B65F3A" w:rsidRPr="000974A4" w:rsidRDefault="00B65F3A" w:rsidP="00B65F3A">
      <w:pPr>
        <w:spacing w:after="120"/>
        <w:ind w:left="1134" w:right="1134"/>
        <w:jc w:val="both"/>
        <w:rPr>
          <w:i/>
          <w:lang w:val="de-DE"/>
        </w:rPr>
      </w:pPr>
      <w:bookmarkStart w:id="30" w:name="_Hlk2087269"/>
      <w:r w:rsidRPr="000974A4">
        <w:rPr>
          <w:rFonts w:eastAsia="SimSun"/>
          <w:lang w:val="de-DE" w:eastAsia="zh-CN"/>
        </w:rPr>
        <w:t xml:space="preserve">[Die Änderung in der englischen </w:t>
      </w:r>
      <w:r w:rsidR="003661BE">
        <w:rPr>
          <w:rFonts w:eastAsia="SimSun"/>
          <w:lang w:val="de-DE" w:eastAsia="zh-CN"/>
        </w:rPr>
        <w:t xml:space="preserve">und französischen </w:t>
      </w:r>
      <w:r w:rsidRPr="000974A4">
        <w:rPr>
          <w:rFonts w:eastAsia="SimSun"/>
          <w:lang w:val="de-DE" w:eastAsia="zh-CN"/>
        </w:rPr>
        <w:t>Fassung hat keine Auswirkungen auf den deutschen Text.]</w:t>
      </w:r>
    </w:p>
    <w:bookmarkEnd w:id="30"/>
    <w:p w14:paraId="01C622D8" w14:textId="77777777" w:rsidR="00B65F3A" w:rsidRPr="000974A4" w:rsidRDefault="00B65F3A" w:rsidP="00B65F3A">
      <w:pPr>
        <w:pStyle w:val="SingleTxtG"/>
        <w:rPr>
          <w:lang w:val="de-DE"/>
        </w:rPr>
      </w:pPr>
      <w:r w:rsidRPr="000974A4">
        <w:rPr>
          <w:i/>
          <w:iCs/>
          <w:lang w:val="de-DE"/>
        </w:rPr>
        <w:t xml:space="preserve"> (Referenzdokument: ECE/TRANS/WP.15/AC.2/2019/4)</w:t>
      </w:r>
    </w:p>
    <w:p w14:paraId="293362BB" w14:textId="77777777" w:rsidR="00B65F3A" w:rsidRPr="000974A4" w:rsidRDefault="00B65F3A" w:rsidP="00B65F3A">
      <w:pPr>
        <w:pStyle w:val="H23G"/>
        <w:rPr>
          <w:lang w:val="de-DE"/>
        </w:rPr>
      </w:pPr>
      <w:r w:rsidRPr="000974A4">
        <w:rPr>
          <w:lang w:val="de-DE"/>
        </w:rPr>
        <w:tab/>
        <w:t>6.</w:t>
      </w:r>
      <w:r w:rsidRPr="000974A4">
        <w:rPr>
          <w:lang w:val="de-DE"/>
        </w:rPr>
        <w:tab/>
        <w:t>Kapitel 3.2, 3.2.3.3 Schema A, Überschrift der dritten Spalte</w:t>
      </w:r>
    </w:p>
    <w:p w14:paraId="335F7226" w14:textId="30194BFF" w:rsidR="00B65F3A" w:rsidRPr="000974A4" w:rsidRDefault="00B65F3A" w:rsidP="00B65F3A">
      <w:pPr>
        <w:spacing w:after="120"/>
        <w:ind w:left="1134" w:right="1134"/>
        <w:jc w:val="both"/>
        <w:rPr>
          <w:i/>
          <w:lang w:val="de-DE"/>
        </w:rPr>
      </w:pPr>
      <w:r w:rsidRPr="000974A4">
        <w:rPr>
          <w:rFonts w:eastAsia="SimSun"/>
          <w:lang w:val="de-DE" w:eastAsia="zh-CN"/>
        </w:rPr>
        <w:t xml:space="preserve">[Die Änderung in der englischen </w:t>
      </w:r>
      <w:r w:rsidR="003661BE">
        <w:rPr>
          <w:rFonts w:eastAsia="SimSun"/>
          <w:lang w:val="de-DE" w:eastAsia="zh-CN"/>
        </w:rPr>
        <w:t xml:space="preserve">und französischen </w:t>
      </w:r>
      <w:r w:rsidRPr="000974A4">
        <w:rPr>
          <w:rFonts w:eastAsia="SimSun"/>
          <w:lang w:val="de-DE" w:eastAsia="zh-CN"/>
        </w:rPr>
        <w:t>Fassung hat keine Auswirkungen auf den deutschen Text.]</w:t>
      </w:r>
    </w:p>
    <w:p w14:paraId="6FAAF7BD" w14:textId="291E146E" w:rsidR="00B65F3A" w:rsidRPr="000974A4" w:rsidRDefault="00B65F3A" w:rsidP="00B65F3A">
      <w:pPr>
        <w:pStyle w:val="SingleTxtG"/>
        <w:rPr>
          <w:lang w:val="de-DE"/>
        </w:rPr>
      </w:pPr>
      <w:r w:rsidRPr="000974A4">
        <w:rPr>
          <w:i/>
          <w:lang w:val="de-DE"/>
        </w:rPr>
        <w:t xml:space="preserve">(Referenzdokument: </w:t>
      </w:r>
      <w:r w:rsidR="00965101" w:rsidRPr="000974A4">
        <w:rPr>
          <w:i/>
          <w:lang w:val="de-DE"/>
        </w:rPr>
        <w:t>informelles Dokument</w:t>
      </w:r>
      <w:r w:rsidRPr="000974A4">
        <w:rPr>
          <w:i/>
          <w:lang w:val="de-DE"/>
        </w:rPr>
        <w:t xml:space="preserve"> INF.10)</w:t>
      </w:r>
    </w:p>
    <w:p w14:paraId="0CEF08FF" w14:textId="77777777" w:rsidR="00B65F3A" w:rsidRPr="000974A4" w:rsidRDefault="00B65F3A" w:rsidP="00B65F3A">
      <w:pPr>
        <w:pStyle w:val="H23G"/>
        <w:rPr>
          <w:lang w:val="de-DE"/>
        </w:rPr>
      </w:pPr>
      <w:r w:rsidRPr="000974A4">
        <w:rPr>
          <w:lang w:val="de-DE"/>
        </w:rPr>
        <w:tab/>
        <w:t>7.</w:t>
      </w:r>
      <w:r w:rsidRPr="000974A4">
        <w:rPr>
          <w:lang w:val="de-DE"/>
        </w:rPr>
        <w:tab/>
        <w:t>Kapitel 8.1, 8.1.2.1 e)</w:t>
      </w:r>
    </w:p>
    <w:p w14:paraId="4938D183" w14:textId="77777777" w:rsidR="00B65F3A" w:rsidRPr="000974A4" w:rsidRDefault="00B65F3A" w:rsidP="00B65F3A">
      <w:pPr>
        <w:pStyle w:val="SingleTxtG"/>
        <w:rPr>
          <w:iCs/>
          <w:lang w:val="de-DE"/>
        </w:rPr>
      </w:pPr>
      <w:r w:rsidRPr="000974A4">
        <w:rPr>
          <w:iCs/>
          <w:lang w:val="de-DE"/>
        </w:rPr>
        <w:t xml:space="preserve">Einrichtungen </w:t>
      </w:r>
      <w:r w:rsidRPr="000974A4">
        <w:rPr>
          <w:i/>
          <w:iCs/>
          <w:lang w:val="de-DE"/>
        </w:rPr>
        <w:t>ändern in:</w:t>
      </w:r>
      <w:r w:rsidRPr="000974A4">
        <w:rPr>
          <w:iCs/>
          <w:lang w:val="de-DE"/>
        </w:rPr>
        <w:t xml:space="preserve"> Anlagen und Geräte</w:t>
      </w:r>
    </w:p>
    <w:p w14:paraId="23CA753E" w14:textId="77777777" w:rsidR="00B65F3A" w:rsidRPr="000974A4" w:rsidRDefault="00B65F3A" w:rsidP="00B65F3A">
      <w:pPr>
        <w:pStyle w:val="SingleTxtG"/>
        <w:rPr>
          <w:i/>
          <w:iCs/>
          <w:lang w:val="de-DE"/>
        </w:rPr>
      </w:pPr>
      <w:r w:rsidRPr="000974A4">
        <w:rPr>
          <w:i/>
          <w:iCs/>
          <w:lang w:val="de-DE"/>
        </w:rPr>
        <w:t>(Referenzdokument: ECE/TRANS/WP.15/AC.2/2019/4)</w:t>
      </w:r>
    </w:p>
    <w:p w14:paraId="10C2DC94" w14:textId="77777777" w:rsidR="007532E5" w:rsidRPr="000974A4" w:rsidRDefault="007532E5">
      <w:pPr>
        <w:suppressAutoHyphens w:val="0"/>
        <w:spacing w:line="240" w:lineRule="auto"/>
        <w:rPr>
          <w:b/>
          <w:lang w:val="de-DE"/>
        </w:rPr>
      </w:pPr>
      <w:r w:rsidRPr="000974A4">
        <w:rPr>
          <w:lang w:val="de-DE"/>
        </w:rPr>
        <w:br w:type="page"/>
      </w:r>
    </w:p>
    <w:p w14:paraId="29009F85" w14:textId="4B5ED94B" w:rsidR="00B65F3A" w:rsidRPr="000974A4" w:rsidRDefault="00B65F3A" w:rsidP="00B65F3A">
      <w:pPr>
        <w:pStyle w:val="H23G"/>
        <w:rPr>
          <w:lang w:val="de-DE"/>
        </w:rPr>
      </w:pPr>
      <w:r w:rsidRPr="000974A4">
        <w:rPr>
          <w:lang w:val="de-DE"/>
        </w:rPr>
        <w:lastRenderedPageBreak/>
        <w:tab/>
        <w:t>8.</w:t>
      </w:r>
      <w:r w:rsidRPr="000974A4">
        <w:rPr>
          <w:lang w:val="de-DE"/>
        </w:rPr>
        <w:tab/>
        <w:t xml:space="preserve">Kapitel 8.6, 8.6.1.1 </w:t>
      </w:r>
      <w:r w:rsidRPr="000974A4">
        <w:rPr>
          <w:bCs/>
          <w:lang w:val="de-DE"/>
        </w:rPr>
        <w:t>Muster für das Zulassungszeugnis</w:t>
      </w:r>
      <w:r w:rsidRPr="000974A4">
        <w:rPr>
          <w:lang w:val="de-DE"/>
        </w:rPr>
        <w:t>, Nr. 4</w:t>
      </w:r>
    </w:p>
    <w:p w14:paraId="17F47C8C" w14:textId="77777777" w:rsidR="00B65F3A" w:rsidRPr="000974A4" w:rsidRDefault="00B65F3A" w:rsidP="00B65F3A">
      <w:pPr>
        <w:pStyle w:val="SingleTxtG"/>
        <w:keepNext/>
        <w:keepLines/>
        <w:rPr>
          <w:iCs/>
          <w:lang w:val="de-DE"/>
        </w:rPr>
      </w:pPr>
      <w:bookmarkStart w:id="31" w:name="_Hlk2088227"/>
      <w:r w:rsidRPr="000974A4">
        <w:rPr>
          <w:iCs/>
          <w:lang w:val="de-DE"/>
        </w:rPr>
        <w:t>Elektrische und nicht-elektrische Anlagen und Geräte für den Einsatz in geschützten Bereichen:</w:t>
      </w:r>
    </w:p>
    <w:p w14:paraId="195AC86D" w14:textId="77777777" w:rsidR="00B65F3A" w:rsidRPr="000974A4" w:rsidRDefault="00B65F3A" w:rsidP="00B65F3A">
      <w:pPr>
        <w:pStyle w:val="SingleTxtG"/>
        <w:keepNext/>
        <w:keepLines/>
        <w:rPr>
          <w:i/>
          <w:iCs/>
          <w:lang w:val="de-DE"/>
        </w:rPr>
      </w:pPr>
      <w:r w:rsidRPr="000974A4">
        <w:rPr>
          <w:i/>
          <w:iCs/>
          <w:lang w:val="de-DE"/>
        </w:rPr>
        <w:t>ändern in:</w:t>
      </w:r>
    </w:p>
    <w:p w14:paraId="4AC7AE9A" w14:textId="77777777" w:rsidR="00B65F3A" w:rsidRPr="000974A4" w:rsidRDefault="00B65F3A" w:rsidP="00B65F3A">
      <w:pPr>
        <w:spacing w:after="120"/>
        <w:ind w:left="1134" w:right="1134"/>
        <w:jc w:val="both"/>
        <w:rPr>
          <w:lang w:val="de-DE"/>
        </w:rPr>
      </w:pPr>
      <w:r w:rsidRPr="000974A4">
        <w:rPr>
          <w:lang w:val="de-DE"/>
        </w:rPr>
        <w:t>Stationäre elektrische und nicht-elektrische Anlagen und Geräte für den Einsatz in geschützten Bereichen:</w:t>
      </w:r>
    </w:p>
    <w:bookmarkEnd w:id="31"/>
    <w:p w14:paraId="69821BD7" w14:textId="77777777" w:rsidR="00B65F3A" w:rsidRPr="000974A4" w:rsidRDefault="00B65F3A" w:rsidP="00B65F3A">
      <w:pPr>
        <w:pStyle w:val="SingleTxtG"/>
        <w:keepNext/>
        <w:keepLines/>
        <w:rPr>
          <w:i/>
          <w:iCs/>
          <w:lang w:val="de-DE"/>
        </w:rPr>
      </w:pPr>
      <w:r w:rsidRPr="000974A4">
        <w:rPr>
          <w:i/>
          <w:iCs/>
          <w:lang w:val="de-DE"/>
        </w:rPr>
        <w:t>(Referenzdokument: ECE/TRANS/WP.15/AC.2/2019/4)</w:t>
      </w:r>
    </w:p>
    <w:p w14:paraId="3F72F566" w14:textId="77777777" w:rsidR="00B65F3A" w:rsidRPr="000974A4" w:rsidRDefault="00B65F3A" w:rsidP="00B65F3A">
      <w:pPr>
        <w:pStyle w:val="H23G"/>
        <w:rPr>
          <w:lang w:val="de-DE"/>
        </w:rPr>
      </w:pPr>
      <w:r w:rsidRPr="000974A4">
        <w:rPr>
          <w:lang w:val="de-DE"/>
        </w:rPr>
        <w:tab/>
        <w:t>9.</w:t>
      </w:r>
      <w:r w:rsidRPr="000974A4">
        <w:rPr>
          <w:lang w:val="de-DE"/>
        </w:rPr>
        <w:tab/>
        <w:t xml:space="preserve">Kapitel 8.6, 8.6.1.2 </w:t>
      </w:r>
      <w:r w:rsidRPr="000974A4">
        <w:rPr>
          <w:bCs/>
          <w:lang w:val="de-DE"/>
        </w:rPr>
        <w:t>Muster des vorläufigen Zulassungszeugnisses</w:t>
      </w:r>
      <w:r w:rsidRPr="000974A4">
        <w:rPr>
          <w:lang w:val="de-DE"/>
        </w:rPr>
        <w:t>, Nr. 4</w:t>
      </w:r>
    </w:p>
    <w:p w14:paraId="383D3248" w14:textId="77777777" w:rsidR="00B65F3A" w:rsidRPr="000974A4" w:rsidRDefault="00B65F3A" w:rsidP="00B65F3A">
      <w:pPr>
        <w:pStyle w:val="SingleTxtG"/>
        <w:keepNext/>
        <w:keepLines/>
        <w:rPr>
          <w:iCs/>
          <w:lang w:val="de-DE"/>
        </w:rPr>
      </w:pPr>
      <w:r w:rsidRPr="000974A4">
        <w:rPr>
          <w:iCs/>
          <w:lang w:val="de-DE"/>
        </w:rPr>
        <w:t>Elektrische und nicht-elektrische Anlagen und Geräte für den Einsatz in geschützten Bereichen:</w:t>
      </w:r>
    </w:p>
    <w:p w14:paraId="1EBEC109" w14:textId="77777777" w:rsidR="00B65F3A" w:rsidRPr="000974A4" w:rsidRDefault="00B65F3A" w:rsidP="00B65F3A">
      <w:pPr>
        <w:pStyle w:val="SingleTxtG"/>
        <w:keepNext/>
        <w:keepLines/>
        <w:rPr>
          <w:i/>
          <w:iCs/>
          <w:lang w:val="de-DE"/>
        </w:rPr>
      </w:pPr>
      <w:r w:rsidRPr="000974A4">
        <w:rPr>
          <w:i/>
          <w:iCs/>
          <w:lang w:val="de-DE"/>
        </w:rPr>
        <w:t>ändern in:</w:t>
      </w:r>
    </w:p>
    <w:p w14:paraId="170037AF" w14:textId="77777777" w:rsidR="00B65F3A" w:rsidRPr="000974A4" w:rsidRDefault="00B65F3A" w:rsidP="00B65F3A">
      <w:pPr>
        <w:spacing w:after="120"/>
        <w:ind w:left="1134" w:right="1134"/>
        <w:jc w:val="both"/>
        <w:rPr>
          <w:lang w:val="de-DE"/>
        </w:rPr>
      </w:pPr>
      <w:r w:rsidRPr="000974A4">
        <w:rPr>
          <w:lang w:val="de-DE"/>
        </w:rPr>
        <w:t>Stationäre elektrische und nicht-elektrische Anlagen und Geräte für den Einsatz in geschützten Bereichen:</w:t>
      </w:r>
    </w:p>
    <w:p w14:paraId="7E64FE00" w14:textId="77777777" w:rsidR="00B65F3A" w:rsidRPr="000974A4" w:rsidRDefault="00B65F3A" w:rsidP="00B65F3A">
      <w:pPr>
        <w:pStyle w:val="SingleTxtG"/>
        <w:rPr>
          <w:i/>
          <w:iCs/>
          <w:lang w:val="de-DE"/>
        </w:rPr>
      </w:pPr>
      <w:r w:rsidRPr="000974A4">
        <w:rPr>
          <w:i/>
          <w:iCs/>
          <w:lang w:val="de-DE"/>
        </w:rPr>
        <w:t>(Referenzdokument: ECE/TRANS/WP.15/AC.2/2019/4)</w:t>
      </w:r>
    </w:p>
    <w:p w14:paraId="03714682" w14:textId="77777777" w:rsidR="00B65F3A" w:rsidRPr="000974A4" w:rsidRDefault="00B65F3A" w:rsidP="00B65F3A">
      <w:pPr>
        <w:pStyle w:val="H23G"/>
        <w:rPr>
          <w:lang w:val="de-DE"/>
        </w:rPr>
      </w:pPr>
      <w:r w:rsidRPr="000974A4">
        <w:rPr>
          <w:lang w:val="de-DE"/>
        </w:rPr>
        <w:tab/>
        <w:t>10.</w:t>
      </w:r>
      <w:r w:rsidRPr="000974A4">
        <w:rPr>
          <w:lang w:val="de-DE"/>
        </w:rPr>
        <w:tab/>
        <w:t xml:space="preserve">Kapitel 8.6, 8.6.1.3 </w:t>
      </w:r>
      <w:r w:rsidRPr="000974A4">
        <w:rPr>
          <w:bCs/>
          <w:lang w:val="de-DE"/>
        </w:rPr>
        <w:t>Muster des Zulassungszeugnisses</w:t>
      </w:r>
      <w:r w:rsidRPr="000974A4">
        <w:rPr>
          <w:lang w:val="de-DE"/>
        </w:rPr>
        <w:t>, Nr. 9</w:t>
      </w:r>
    </w:p>
    <w:p w14:paraId="2BAA8A1F" w14:textId="77777777" w:rsidR="00B65F3A" w:rsidRPr="000974A4" w:rsidRDefault="00B65F3A" w:rsidP="00B65F3A">
      <w:pPr>
        <w:pStyle w:val="SingleTxtG"/>
        <w:keepNext/>
        <w:keepLines/>
        <w:rPr>
          <w:i/>
          <w:iCs/>
          <w:lang w:val="de-DE"/>
        </w:rPr>
      </w:pPr>
      <w:bookmarkStart w:id="32" w:name="_Hlk2088381"/>
      <w:r w:rsidRPr="000974A4">
        <w:rPr>
          <w:lang w:val="de-DE" w:eastAsia="fr-FR"/>
        </w:rPr>
        <w:t>Elektrische und nicht-elektrische Anlagen und Geräte zum Einsatz in explosionsgefährdeten Bereichen</w:t>
      </w:r>
      <w:r w:rsidRPr="000974A4">
        <w:rPr>
          <w:i/>
          <w:iCs/>
          <w:lang w:val="de-DE"/>
        </w:rPr>
        <w:t>:</w:t>
      </w:r>
    </w:p>
    <w:p w14:paraId="48819723" w14:textId="77777777" w:rsidR="00B65F3A" w:rsidRPr="000974A4" w:rsidRDefault="00B65F3A" w:rsidP="00B65F3A">
      <w:pPr>
        <w:pStyle w:val="SingleTxtG"/>
        <w:keepNext/>
        <w:keepLines/>
        <w:rPr>
          <w:i/>
          <w:iCs/>
          <w:lang w:val="de-DE"/>
        </w:rPr>
      </w:pPr>
      <w:r w:rsidRPr="000974A4">
        <w:rPr>
          <w:i/>
          <w:iCs/>
          <w:lang w:val="de-DE"/>
        </w:rPr>
        <w:t>ändern in:</w:t>
      </w:r>
    </w:p>
    <w:p w14:paraId="2E8FE552" w14:textId="77777777" w:rsidR="00B65F3A" w:rsidRPr="000974A4" w:rsidRDefault="00B65F3A" w:rsidP="00B65F3A">
      <w:pPr>
        <w:spacing w:after="120"/>
        <w:ind w:left="1134" w:right="1134"/>
        <w:jc w:val="both"/>
        <w:rPr>
          <w:lang w:val="de-DE"/>
        </w:rPr>
      </w:pPr>
      <w:r w:rsidRPr="000974A4">
        <w:rPr>
          <w:lang w:val="de-DE"/>
        </w:rPr>
        <w:t>Stationäre elektrische Anlagen und Geräte:</w:t>
      </w:r>
    </w:p>
    <w:bookmarkEnd w:id="32"/>
    <w:p w14:paraId="615D38D4" w14:textId="77777777" w:rsidR="00B65F3A" w:rsidRPr="000974A4" w:rsidRDefault="00B65F3A" w:rsidP="00B65F3A">
      <w:pPr>
        <w:pStyle w:val="SingleTxtG"/>
        <w:rPr>
          <w:i/>
          <w:iCs/>
          <w:lang w:val="de-DE"/>
        </w:rPr>
      </w:pPr>
      <w:r w:rsidRPr="000974A4">
        <w:rPr>
          <w:i/>
          <w:iCs/>
          <w:lang w:val="de-DE"/>
        </w:rPr>
        <w:t>(Referenzdokument: ECE/TRANS/WP.15/AC.2/2019/4)</w:t>
      </w:r>
    </w:p>
    <w:p w14:paraId="505A0624" w14:textId="77777777" w:rsidR="00B65F3A" w:rsidRPr="000974A4" w:rsidRDefault="00B65F3A" w:rsidP="00B65F3A">
      <w:pPr>
        <w:pStyle w:val="H23G"/>
        <w:rPr>
          <w:lang w:val="de-DE"/>
        </w:rPr>
      </w:pPr>
      <w:r w:rsidRPr="000974A4">
        <w:rPr>
          <w:lang w:val="de-DE"/>
        </w:rPr>
        <w:tab/>
        <w:t>11.</w:t>
      </w:r>
      <w:r w:rsidRPr="000974A4">
        <w:rPr>
          <w:lang w:val="de-DE"/>
        </w:rPr>
        <w:tab/>
        <w:t xml:space="preserve">Kapitel 8.6, 8.6.1.4 </w:t>
      </w:r>
      <w:r w:rsidRPr="000974A4">
        <w:rPr>
          <w:bCs/>
          <w:lang w:val="de-DE"/>
        </w:rPr>
        <w:t>Muster des vorläufigen Zulassungszeugnisses</w:t>
      </w:r>
      <w:r w:rsidRPr="000974A4">
        <w:rPr>
          <w:lang w:val="de-DE"/>
        </w:rPr>
        <w:t>, Nr. 9</w:t>
      </w:r>
    </w:p>
    <w:p w14:paraId="28AA66DA" w14:textId="77777777" w:rsidR="00B65F3A" w:rsidRPr="000974A4" w:rsidRDefault="00B65F3A" w:rsidP="00B65F3A">
      <w:pPr>
        <w:pStyle w:val="SingleTxtG"/>
        <w:keepNext/>
        <w:keepLines/>
        <w:rPr>
          <w:i/>
          <w:iCs/>
          <w:lang w:val="de-DE"/>
        </w:rPr>
      </w:pPr>
      <w:r w:rsidRPr="000974A4">
        <w:rPr>
          <w:lang w:val="de-DE" w:eastAsia="fr-FR"/>
        </w:rPr>
        <w:t>Elektrische und nicht-elektrische Anlagen und Geräte zum Einsatz in explosionsgefährdeten Bereichen:</w:t>
      </w:r>
    </w:p>
    <w:p w14:paraId="2C386F85" w14:textId="77777777" w:rsidR="00B65F3A" w:rsidRPr="000974A4" w:rsidRDefault="00B65F3A" w:rsidP="00B65F3A">
      <w:pPr>
        <w:pStyle w:val="SingleTxtG"/>
        <w:keepNext/>
        <w:keepLines/>
        <w:rPr>
          <w:i/>
          <w:iCs/>
          <w:lang w:val="de-DE"/>
        </w:rPr>
      </w:pPr>
      <w:r w:rsidRPr="000974A4">
        <w:rPr>
          <w:i/>
          <w:iCs/>
          <w:lang w:val="de-DE"/>
        </w:rPr>
        <w:t>ändern in:</w:t>
      </w:r>
    </w:p>
    <w:p w14:paraId="0C1B0F3F" w14:textId="77777777" w:rsidR="00B65F3A" w:rsidRPr="000974A4" w:rsidRDefault="00B65F3A" w:rsidP="00B65F3A">
      <w:pPr>
        <w:spacing w:after="120"/>
        <w:ind w:left="1134" w:right="1134"/>
        <w:jc w:val="both"/>
        <w:rPr>
          <w:lang w:val="de-DE"/>
        </w:rPr>
      </w:pPr>
      <w:r w:rsidRPr="000974A4">
        <w:rPr>
          <w:lang w:val="de-DE"/>
        </w:rPr>
        <w:t>Stationäre elektrische Anlagen und Geräte:</w:t>
      </w:r>
    </w:p>
    <w:p w14:paraId="052493C5" w14:textId="77777777" w:rsidR="00B65F3A" w:rsidRPr="000974A4" w:rsidRDefault="00B65F3A" w:rsidP="00B65F3A">
      <w:pPr>
        <w:pStyle w:val="SingleTxtG"/>
        <w:rPr>
          <w:lang w:val="de-DE"/>
        </w:rPr>
      </w:pPr>
      <w:r w:rsidRPr="000974A4">
        <w:rPr>
          <w:i/>
          <w:iCs/>
          <w:lang w:val="de-DE"/>
        </w:rPr>
        <w:t>(Referenzdokument: ECE/TRANS/WP.15/AC.2/2019/4)</w:t>
      </w:r>
    </w:p>
    <w:p w14:paraId="6745A2AA" w14:textId="77777777" w:rsidR="00B65F3A" w:rsidRPr="000974A4" w:rsidRDefault="00B65F3A" w:rsidP="00B65F3A">
      <w:pPr>
        <w:pStyle w:val="H23G"/>
        <w:rPr>
          <w:lang w:val="de-DE"/>
        </w:rPr>
      </w:pPr>
      <w:r w:rsidRPr="000974A4">
        <w:rPr>
          <w:lang w:val="de-DE"/>
        </w:rPr>
        <w:tab/>
        <w:t>12.</w:t>
      </w:r>
      <w:r w:rsidRPr="000974A4">
        <w:rPr>
          <w:lang w:val="de-DE"/>
        </w:rPr>
        <w:tab/>
        <w:t>Kapitel 8.6, 8.6.3 Prüfliste, Frage 14, 6. Spiegelstrich</w:t>
      </w:r>
    </w:p>
    <w:p w14:paraId="757E3323" w14:textId="0D1DB25F" w:rsidR="00B65F3A" w:rsidRPr="000974A4" w:rsidRDefault="007A0BF5" w:rsidP="00B65F3A">
      <w:pPr>
        <w:pStyle w:val="SingleTxtG"/>
        <w:tabs>
          <w:tab w:val="left" w:pos="2127"/>
        </w:tabs>
        <w:rPr>
          <w:lang w:val="de-DE"/>
        </w:rPr>
      </w:pPr>
      <w:r>
        <w:rPr>
          <w:lang w:val="de-DE"/>
        </w:rPr>
        <w:t>e</w:t>
      </w:r>
      <w:r w:rsidR="00B65F3A" w:rsidRPr="000974A4">
        <w:rPr>
          <w:lang w:val="de-DE"/>
        </w:rPr>
        <w:t>le</w:t>
      </w:r>
      <w:r>
        <w:rPr>
          <w:lang w:val="de-DE"/>
        </w:rPr>
        <w:t>k</w:t>
      </w:r>
      <w:r w:rsidR="00B65F3A" w:rsidRPr="000974A4">
        <w:rPr>
          <w:lang w:val="de-DE"/>
        </w:rPr>
        <w:t xml:space="preserve">trischen Einrichtungen </w:t>
      </w:r>
      <w:r w:rsidR="00B65F3A" w:rsidRPr="000974A4">
        <w:rPr>
          <w:i/>
          <w:lang w:val="de-DE"/>
        </w:rPr>
        <w:t>ändern in:</w:t>
      </w:r>
      <w:r w:rsidR="00B65F3A" w:rsidRPr="000974A4">
        <w:rPr>
          <w:lang w:val="de-DE"/>
        </w:rPr>
        <w:t xml:space="preserve"> elektrischen Anlagen und Geräte</w:t>
      </w:r>
    </w:p>
    <w:p w14:paraId="057CCEB0" w14:textId="77777777" w:rsidR="00B65F3A" w:rsidRPr="000974A4" w:rsidRDefault="00B65F3A" w:rsidP="00B65F3A">
      <w:pPr>
        <w:pStyle w:val="SingleTxtG"/>
        <w:rPr>
          <w:i/>
          <w:iCs/>
          <w:lang w:val="de-DE"/>
        </w:rPr>
      </w:pPr>
      <w:r w:rsidRPr="000974A4">
        <w:rPr>
          <w:i/>
          <w:iCs/>
          <w:lang w:val="de-DE"/>
        </w:rPr>
        <w:t>(Referenzdokument: ECE/TRANS/WP.15/AC.2/2019/4)</w:t>
      </w:r>
    </w:p>
    <w:p w14:paraId="2011EAEA" w14:textId="77777777" w:rsidR="00B65F3A" w:rsidRPr="000974A4" w:rsidRDefault="00B65F3A" w:rsidP="00B65F3A">
      <w:pPr>
        <w:pStyle w:val="SingleTxtG"/>
        <w:rPr>
          <w:i/>
          <w:iCs/>
          <w:lang w:val="de-DE"/>
        </w:rPr>
      </w:pPr>
    </w:p>
    <w:p w14:paraId="6D7E9981" w14:textId="6D641E44" w:rsidR="00B65F3A" w:rsidRPr="000974A4" w:rsidRDefault="00B65F3A" w:rsidP="00B65F3A">
      <w:pPr>
        <w:pStyle w:val="SingleTxtG"/>
        <w:jc w:val="center"/>
        <w:rPr>
          <w:b/>
          <w:sz w:val="28"/>
          <w:lang w:val="de-DE"/>
        </w:rPr>
      </w:pPr>
      <w:r w:rsidRPr="000974A4">
        <w:rPr>
          <w:i/>
          <w:iCs/>
          <w:lang w:val="de-DE"/>
        </w:rPr>
        <w:t>***</w:t>
      </w:r>
    </w:p>
    <w:sectPr w:rsidR="00B65F3A" w:rsidRPr="000974A4" w:rsidSect="00A01F93">
      <w:headerReference w:type="even" r:id="rId9"/>
      <w:headerReference w:type="default" r:id="rId10"/>
      <w:footerReference w:type="even" r:id="rId11"/>
      <w:footerReference w:type="default" r:id="rId12"/>
      <w:headerReference w:type="first" r:id="rId13"/>
      <w:pgSz w:w="11906" w:h="16838" w:code="9"/>
      <w:pgMar w:top="1418" w:right="1134" w:bottom="1134" w:left="1134" w:header="1134" w:footer="113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9E77B6" w14:textId="77777777" w:rsidR="00607851" w:rsidRDefault="00607851" w:rsidP="00673C38">
      <w:pPr>
        <w:spacing w:line="240" w:lineRule="auto"/>
      </w:pPr>
      <w:r>
        <w:separator/>
      </w:r>
    </w:p>
  </w:endnote>
  <w:endnote w:type="continuationSeparator" w:id="0">
    <w:p w14:paraId="72606949" w14:textId="77777777" w:rsidR="00607851" w:rsidRDefault="00607851" w:rsidP="00673C3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7E2D78" w14:textId="183F7D91" w:rsidR="00F83B75" w:rsidRPr="00B65F3A" w:rsidRDefault="00F83B75" w:rsidP="00B65F3A">
    <w:pPr>
      <w:spacing w:line="240" w:lineRule="auto"/>
      <w:jc w:val="right"/>
      <w:rPr>
        <w:lang w:val="fr-FR"/>
      </w:rPr>
    </w:pPr>
    <w:r w:rsidRPr="003E4756">
      <w:rPr>
        <w:rFonts w:ascii="Arial" w:eastAsia="SimSun" w:hAnsi="Arial"/>
        <w:noProof/>
        <w:sz w:val="12"/>
        <w:szCs w:val="24"/>
        <w:lang w:val="fr-FR" w:eastAsia="zh-CN"/>
      </w:rPr>
      <w:t>mm_ba/adn_wp15_ac2_</w:t>
    </w:r>
    <w:r>
      <w:rPr>
        <w:rFonts w:ascii="Arial" w:eastAsia="SimSun" w:hAnsi="Arial"/>
        <w:noProof/>
        <w:sz w:val="12"/>
        <w:szCs w:val="24"/>
        <w:lang w:val="fr-FR" w:eastAsia="zh-CN"/>
      </w:rPr>
      <w:t>70</w:t>
    </w:r>
    <w:r w:rsidRPr="003E4756">
      <w:rPr>
        <w:rFonts w:ascii="Arial" w:eastAsia="SimSun" w:hAnsi="Arial"/>
        <w:noProof/>
        <w:sz w:val="12"/>
        <w:szCs w:val="24"/>
        <w:lang w:val="fr-FR" w:eastAsia="zh-CN"/>
      </w:rPr>
      <w:t>de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1EBFFB" w14:textId="64D41815" w:rsidR="00F83B75" w:rsidRPr="00B65F3A" w:rsidRDefault="00F83B75" w:rsidP="00B65F3A">
    <w:pPr>
      <w:spacing w:line="240" w:lineRule="auto"/>
      <w:jc w:val="right"/>
      <w:rPr>
        <w:lang w:val="fr-FR"/>
      </w:rPr>
    </w:pPr>
    <w:bookmarkStart w:id="33" w:name="_Hlk3803038"/>
    <w:bookmarkStart w:id="34" w:name="_Hlk3803039"/>
    <w:r w:rsidRPr="003E4756">
      <w:rPr>
        <w:rFonts w:ascii="Arial" w:eastAsia="SimSun" w:hAnsi="Arial"/>
        <w:noProof/>
        <w:sz w:val="12"/>
        <w:szCs w:val="24"/>
        <w:lang w:val="fr-FR" w:eastAsia="zh-CN"/>
      </w:rPr>
      <w:t>mm_ba/adn_wp15_ac2_</w:t>
    </w:r>
    <w:r>
      <w:rPr>
        <w:rFonts w:ascii="Arial" w:eastAsia="SimSun" w:hAnsi="Arial"/>
        <w:noProof/>
        <w:sz w:val="12"/>
        <w:szCs w:val="24"/>
        <w:lang w:val="fr-FR" w:eastAsia="zh-CN"/>
      </w:rPr>
      <w:t>70</w:t>
    </w:r>
    <w:r w:rsidRPr="003E4756">
      <w:rPr>
        <w:rFonts w:ascii="Arial" w:eastAsia="SimSun" w:hAnsi="Arial"/>
        <w:noProof/>
        <w:sz w:val="12"/>
        <w:szCs w:val="24"/>
        <w:lang w:val="fr-FR" w:eastAsia="zh-CN"/>
      </w:rPr>
      <w:t>de</w:t>
    </w:r>
    <w:bookmarkEnd w:id="33"/>
    <w:bookmarkEnd w:id="34"/>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2F530E" w14:textId="77777777" w:rsidR="00607851" w:rsidRDefault="00607851" w:rsidP="00673C38">
      <w:pPr>
        <w:spacing w:line="240" w:lineRule="auto"/>
      </w:pPr>
      <w:r>
        <w:separator/>
      </w:r>
    </w:p>
  </w:footnote>
  <w:footnote w:type="continuationSeparator" w:id="0">
    <w:p w14:paraId="64FE7C8B" w14:textId="77777777" w:rsidR="00607851" w:rsidRDefault="00607851" w:rsidP="00673C38">
      <w:pPr>
        <w:spacing w:line="240" w:lineRule="auto"/>
      </w:pPr>
      <w:r>
        <w:continuationSeparator/>
      </w:r>
    </w:p>
  </w:footnote>
  <w:footnote w:id="1">
    <w:p w14:paraId="496E5DEB" w14:textId="1B9F08BE" w:rsidR="00F83B75" w:rsidRPr="00B65F3A" w:rsidRDefault="00F83B75" w:rsidP="0083790C">
      <w:pPr>
        <w:pStyle w:val="FootnoteText"/>
        <w:rPr>
          <w:lang w:val="de-DE"/>
        </w:rPr>
      </w:pPr>
      <w:r w:rsidRPr="00B65F3A">
        <w:rPr>
          <w:lang w:val="de-DE"/>
        </w:rPr>
        <w:tab/>
      </w:r>
      <w:r w:rsidRPr="001177E8">
        <w:rPr>
          <w:rStyle w:val="FootnoteReference"/>
        </w:rPr>
        <w:sym w:font="Symbol" w:char="F02A"/>
      </w:r>
      <w:r w:rsidRPr="00B65F3A">
        <w:rPr>
          <w:lang w:val="de-DE"/>
        </w:rPr>
        <w:t xml:space="preserve"> </w:t>
      </w:r>
      <w:r w:rsidRPr="00B65F3A">
        <w:rPr>
          <w:lang w:val="de-DE"/>
        </w:rPr>
        <w:tab/>
      </w:r>
      <w:r w:rsidRPr="00913A18">
        <w:rPr>
          <w:lang w:val="de-DE"/>
        </w:rPr>
        <w:t>Von der UN-ECE in Englisch, Französisch und Russisch unter dem Aktenzeichen CCNR/ZKR/ADN/WP.15/AC.2/70 verteilt.</w:t>
      </w:r>
    </w:p>
  </w:footnote>
  <w:footnote w:id="2">
    <w:p w14:paraId="4E40D863" w14:textId="77777777" w:rsidR="00F83B75" w:rsidRPr="00B65F3A" w:rsidRDefault="00F83B75" w:rsidP="00D528E1">
      <w:pPr>
        <w:pStyle w:val="FootnoteText"/>
        <w:rPr>
          <w:lang w:val="de-DE"/>
        </w:rPr>
      </w:pPr>
      <w:r w:rsidRPr="00B65F3A">
        <w:rPr>
          <w:lang w:val="de-DE"/>
        </w:rPr>
        <w:tab/>
      </w:r>
      <w:r>
        <w:rPr>
          <w:rStyle w:val="FootnoteReference"/>
        </w:rPr>
        <w:footnoteRef/>
      </w:r>
      <w:r w:rsidRPr="00B65F3A">
        <w:rPr>
          <w:lang w:val="de-DE"/>
        </w:rPr>
        <w:tab/>
        <w:t xml:space="preserve"> http://www.unece.org/index.php?id=49440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8321BB" w14:textId="73121EC0" w:rsidR="00F83B75" w:rsidRPr="00817513" w:rsidRDefault="00F83B75" w:rsidP="00B65F3A">
    <w:pPr>
      <w:spacing w:line="240" w:lineRule="auto"/>
      <w:rPr>
        <w:rFonts w:ascii="Arial" w:hAnsi="Arial"/>
        <w:snapToGrid w:val="0"/>
        <w:sz w:val="16"/>
        <w:szCs w:val="16"/>
        <w:lang w:val="en-US" w:eastAsia="fr-FR"/>
      </w:rPr>
    </w:pPr>
    <w:r w:rsidRPr="00817513">
      <w:rPr>
        <w:rFonts w:ascii="Arial" w:hAnsi="Arial"/>
        <w:snapToGrid w:val="0"/>
        <w:sz w:val="16"/>
        <w:szCs w:val="16"/>
        <w:lang w:val="en-US" w:eastAsia="fr-FR"/>
      </w:rPr>
      <w:t>CCNR-ZKR/ADN/WP.15/AC.2/</w:t>
    </w:r>
    <w:r>
      <w:rPr>
        <w:rFonts w:ascii="Arial" w:hAnsi="Arial"/>
        <w:snapToGrid w:val="0"/>
        <w:sz w:val="16"/>
        <w:szCs w:val="16"/>
        <w:lang w:val="en-US" w:eastAsia="fr-FR"/>
      </w:rPr>
      <w:t>70</w:t>
    </w:r>
  </w:p>
  <w:p w14:paraId="473FE538" w14:textId="1711094E" w:rsidR="00F83B75" w:rsidRPr="00B65F3A" w:rsidRDefault="00F83B75" w:rsidP="00B65F3A">
    <w:pPr>
      <w:spacing w:line="240" w:lineRule="auto"/>
    </w:pPr>
    <w:proofErr w:type="spellStart"/>
    <w:r w:rsidRPr="00B65F3A">
      <w:rPr>
        <w:rFonts w:ascii="Arial" w:eastAsia="SimSun" w:hAnsi="Arial"/>
        <w:snapToGrid w:val="0"/>
        <w:sz w:val="16"/>
        <w:szCs w:val="16"/>
        <w:lang w:eastAsia="fr-FR"/>
      </w:rPr>
      <w:t>Seite</w:t>
    </w:r>
    <w:proofErr w:type="spellEnd"/>
    <w:r w:rsidRPr="00B65F3A">
      <w:rPr>
        <w:rFonts w:ascii="Arial" w:eastAsia="SimSun" w:hAnsi="Arial"/>
        <w:snapToGrid w:val="0"/>
        <w:sz w:val="16"/>
        <w:szCs w:val="16"/>
        <w:lang w:eastAsia="fr-FR"/>
      </w:rPr>
      <w:t xml:space="preserve"> </w:t>
    </w:r>
    <w:r w:rsidRPr="00B65F3A">
      <w:rPr>
        <w:rFonts w:ascii="Arial" w:eastAsia="SimSun" w:hAnsi="Arial"/>
        <w:snapToGrid w:val="0"/>
        <w:sz w:val="16"/>
        <w:szCs w:val="16"/>
        <w:lang w:eastAsia="fr-FR"/>
      </w:rPr>
      <w:fldChar w:fldCharType="begin"/>
    </w:r>
    <w:r w:rsidRPr="00B65F3A">
      <w:rPr>
        <w:rFonts w:ascii="Arial" w:eastAsia="SimSun" w:hAnsi="Arial"/>
        <w:snapToGrid w:val="0"/>
        <w:sz w:val="16"/>
        <w:szCs w:val="16"/>
        <w:lang w:eastAsia="fr-FR"/>
      </w:rPr>
      <w:instrText xml:space="preserve"> PAGE  \* MERGEFORMAT </w:instrText>
    </w:r>
    <w:r w:rsidRPr="00B65F3A">
      <w:rPr>
        <w:rFonts w:ascii="Arial" w:eastAsia="SimSun" w:hAnsi="Arial"/>
        <w:snapToGrid w:val="0"/>
        <w:sz w:val="16"/>
        <w:szCs w:val="16"/>
        <w:lang w:eastAsia="fr-FR"/>
      </w:rPr>
      <w:fldChar w:fldCharType="separate"/>
    </w:r>
    <w:r w:rsidR="00C918A8">
      <w:rPr>
        <w:rFonts w:ascii="Arial" w:eastAsia="SimSun" w:hAnsi="Arial"/>
        <w:noProof/>
        <w:snapToGrid w:val="0"/>
        <w:sz w:val="16"/>
        <w:szCs w:val="16"/>
        <w:lang w:eastAsia="fr-FR"/>
      </w:rPr>
      <w:t>20</w:t>
    </w:r>
    <w:r w:rsidRPr="00B65F3A">
      <w:rPr>
        <w:rFonts w:ascii="Arial" w:eastAsia="SimSun" w:hAnsi="Arial"/>
        <w:snapToGrid w:val="0"/>
        <w:sz w:val="16"/>
        <w:szCs w:val="16"/>
        <w:lang w:eastAsia="fr-FR"/>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85A62C" w14:textId="77777777" w:rsidR="00F83B75" w:rsidRPr="00B65F3A" w:rsidRDefault="00F83B75" w:rsidP="00B65F3A">
    <w:pPr>
      <w:spacing w:line="240" w:lineRule="auto"/>
      <w:jc w:val="right"/>
      <w:rPr>
        <w:rFonts w:ascii="Arial" w:hAnsi="Arial"/>
        <w:snapToGrid w:val="0"/>
        <w:sz w:val="16"/>
        <w:szCs w:val="16"/>
        <w:lang w:val="en-US" w:eastAsia="fr-FR"/>
      </w:rPr>
    </w:pPr>
    <w:r w:rsidRPr="00B65F3A">
      <w:rPr>
        <w:rFonts w:ascii="Arial" w:hAnsi="Arial"/>
        <w:snapToGrid w:val="0"/>
        <w:sz w:val="16"/>
        <w:szCs w:val="16"/>
        <w:lang w:val="en-US" w:eastAsia="fr-FR"/>
      </w:rPr>
      <w:t>CCNR-ZKR/ADN/WP.15/AC.2/70</w:t>
    </w:r>
  </w:p>
  <w:p w14:paraId="1C168BAD" w14:textId="7AF26BE2" w:rsidR="00F83B75" w:rsidRPr="00B65F3A" w:rsidRDefault="00F83B75" w:rsidP="00B65F3A">
    <w:pPr>
      <w:spacing w:line="240" w:lineRule="auto"/>
      <w:jc w:val="right"/>
    </w:pPr>
    <w:proofErr w:type="spellStart"/>
    <w:r w:rsidRPr="00B65F3A">
      <w:rPr>
        <w:rFonts w:ascii="Arial" w:eastAsia="SimSun" w:hAnsi="Arial"/>
        <w:snapToGrid w:val="0"/>
        <w:sz w:val="16"/>
        <w:szCs w:val="16"/>
        <w:lang w:eastAsia="fr-FR"/>
      </w:rPr>
      <w:t>Seite</w:t>
    </w:r>
    <w:proofErr w:type="spellEnd"/>
    <w:r w:rsidRPr="00B65F3A">
      <w:rPr>
        <w:rFonts w:ascii="Arial" w:eastAsia="SimSun" w:hAnsi="Arial"/>
        <w:snapToGrid w:val="0"/>
        <w:sz w:val="16"/>
        <w:szCs w:val="16"/>
        <w:lang w:eastAsia="fr-FR"/>
      </w:rPr>
      <w:t xml:space="preserve"> </w:t>
    </w:r>
    <w:r w:rsidRPr="00B65F3A">
      <w:rPr>
        <w:rFonts w:ascii="Arial" w:eastAsia="SimSun" w:hAnsi="Arial"/>
        <w:snapToGrid w:val="0"/>
        <w:sz w:val="16"/>
        <w:szCs w:val="16"/>
        <w:lang w:eastAsia="fr-FR"/>
      </w:rPr>
      <w:fldChar w:fldCharType="begin"/>
    </w:r>
    <w:r w:rsidRPr="00B65F3A">
      <w:rPr>
        <w:rFonts w:ascii="Arial" w:eastAsia="SimSun" w:hAnsi="Arial"/>
        <w:snapToGrid w:val="0"/>
        <w:sz w:val="16"/>
        <w:szCs w:val="16"/>
        <w:lang w:eastAsia="fr-FR"/>
      </w:rPr>
      <w:instrText xml:space="preserve"> PAGE  \* MERGEFORMAT </w:instrText>
    </w:r>
    <w:r w:rsidRPr="00B65F3A">
      <w:rPr>
        <w:rFonts w:ascii="Arial" w:eastAsia="SimSun" w:hAnsi="Arial"/>
        <w:snapToGrid w:val="0"/>
        <w:sz w:val="16"/>
        <w:szCs w:val="16"/>
        <w:lang w:eastAsia="fr-FR"/>
      </w:rPr>
      <w:fldChar w:fldCharType="separate"/>
    </w:r>
    <w:r w:rsidR="00C918A8">
      <w:rPr>
        <w:rFonts w:ascii="Arial" w:eastAsia="SimSun" w:hAnsi="Arial"/>
        <w:noProof/>
        <w:snapToGrid w:val="0"/>
        <w:sz w:val="16"/>
        <w:szCs w:val="16"/>
        <w:lang w:eastAsia="fr-FR"/>
      </w:rPr>
      <w:t>21</w:t>
    </w:r>
    <w:r w:rsidRPr="00B65F3A">
      <w:rPr>
        <w:rFonts w:ascii="Arial" w:eastAsia="SimSun" w:hAnsi="Arial"/>
        <w:snapToGrid w:val="0"/>
        <w:sz w:val="16"/>
        <w:szCs w:val="16"/>
        <w:lang w:eastAsia="fr-FR"/>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56491E" w14:textId="77777777" w:rsidR="00F83B75" w:rsidRPr="00B65F3A" w:rsidRDefault="00F83B75" w:rsidP="00B65F3A">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CBC68D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5E4231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8F4492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63C733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D6AB38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FE476C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6A288A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02253E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F2E3B2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31AD6E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6916939"/>
    <w:multiLevelType w:val="hybridMultilevel"/>
    <w:tmpl w:val="9F343A20"/>
    <w:lvl w:ilvl="0" w:tplc="8B861FEA">
      <w:start w:val="1"/>
      <w:numFmt w:val="decimal"/>
      <w:lvlText w:val="%1."/>
      <w:lvlJc w:val="left"/>
      <w:pPr>
        <w:ind w:left="1140" w:hanging="435"/>
      </w:pPr>
      <w:rPr>
        <w:rFonts w:hint="default"/>
      </w:rPr>
    </w:lvl>
    <w:lvl w:ilvl="1" w:tplc="040C0019" w:tentative="1">
      <w:start w:val="1"/>
      <w:numFmt w:val="lowerLetter"/>
      <w:lvlText w:val="%2."/>
      <w:lvlJc w:val="left"/>
      <w:pPr>
        <w:ind w:left="1785" w:hanging="360"/>
      </w:pPr>
    </w:lvl>
    <w:lvl w:ilvl="2" w:tplc="040C001B" w:tentative="1">
      <w:start w:val="1"/>
      <w:numFmt w:val="lowerRoman"/>
      <w:lvlText w:val="%3."/>
      <w:lvlJc w:val="right"/>
      <w:pPr>
        <w:ind w:left="2505" w:hanging="180"/>
      </w:pPr>
    </w:lvl>
    <w:lvl w:ilvl="3" w:tplc="040C000F" w:tentative="1">
      <w:start w:val="1"/>
      <w:numFmt w:val="decimal"/>
      <w:lvlText w:val="%4."/>
      <w:lvlJc w:val="left"/>
      <w:pPr>
        <w:ind w:left="3225" w:hanging="360"/>
      </w:pPr>
    </w:lvl>
    <w:lvl w:ilvl="4" w:tplc="040C0019" w:tentative="1">
      <w:start w:val="1"/>
      <w:numFmt w:val="lowerLetter"/>
      <w:lvlText w:val="%5."/>
      <w:lvlJc w:val="left"/>
      <w:pPr>
        <w:ind w:left="3945" w:hanging="360"/>
      </w:pPr>
    </w:lvl>
    <w:lvl w:ilvl="5" w:tplc="040C001B" w:tentative="1">
      <w:start w:val="1"/>
      <w:numFmt w:val="lowerRoman"/>
      <w:lvlText w:val="%6."/>
      <w:lvlJc w:val="right"/>
      <w:pPr>
        <w:ind w:left="4665" w:hanging="180"/>
      </w:pPr>
    </w:lvl>
    <w:lvl w:ilvl="6" w:tplc="040C000F" w:tentative="1">
      <w:start w:val="1"/>
      <w:numFmt w:val="decimal"/>
      <w:lvlText w:val="%7."/>
      <w:lvlJc w:val="left"/>
      <w:pPr>
        <w:ind w:left="5385" w:hanging="360"/>
      </w:pPr>
    </w:lvl>
    <w:lvl w:ilvl="7" w:tplc="040C0019" w:tentative="1">
      <w:start w:val="1"/>
      <w:numFmt w:val="lowerLetter"/>
      <w:lvlText w:val="%8."/>
      <w:lvlJc w:val="left"/>
      <w:pPr>
        <w:ind w:left="6105" w:hanging="360"/>
      </w:pPr>
    </w:lvl>
    <w:lvl w:ilvl="8" w:tplc="040C001B" w:tentative="1">
      <w:start w:val="1"/>
      <w:numFmt w:val="lowerRoman"/>
      <w:lvlText w:val="%9."/>
      <w:lvlJc w:val="right"/>
      <w:pPr>
        <w:ind w:left="6825" w:hanging="180"/>
      </w:pPr>
    </w:lvl>
  </w:abstractNum>
  <w:abstractNum w:abstractNumId="11" w15:restartNumberingAfterBreak="0">
    <w:nsid w:val="1E2528CC"/>
    <w:multiLevelType w:val="hybridMultilevel"/>
    <w:tmpl w:val="E2B493D8"/>
    <w:lvl w:ilvl="0" w:tplc="AFDE445C">
      <w:start w:val="300"/>
      <w:numFmt w:val="bullet"/>
      <w:lvlText w:val="-"/>
      <w:lvlJc w:val="left"/>
      <w:pPr>
        <w:ind w:left="720" w:hanging="360"/>
      </w:pPr>
      <w:rPr>
        <w:rFonts w:ascii="Verdana" w:eastAsia="Arial Unicode MS" w:hAnsi="Verdana" w:cs="Arial Unicode MS" w:hint="default"/>
        <w:color w:val="00000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C627696"/>
    <w:multiLevelType w:val="hybridMultilevel"/>
    <w:tmpl w:val="AEAED9D0"/>
    <w:lvl w:ilvl="0" w:tplc="853CBB36">
      <w:start w:val="300"/>
      <w:numFmt w:val="bullet"/>
      <w:lvlText w:val="-"/>
      <w:lvlJc w:val="left"/>
      <w:pPr>
        <w:ind w:left="3195" w:hanging="360"/>
      </w:pPr>
      <w:rPr>
        <w:rFonts w:ascii="Verdana" w:eastAsia="Arial Unicode MS" w:hAnsi="Verdana" w:cs="Arial Unicode MS" w:hint="default"/>
        <w:color w:val="000000"/>
      </w:rPr>
    </w:lvl>
    <w:lvl w:ilvl="1" w:tplc="04130003" w:tentative="1">
      <w:start w:val="1"/>
      <w:numFmt w:val="bullet"/>
      <w:lvlText w:val="o"/>
      <w:lvlJc w:val="left"/>
      <w:pPr>
        <w:ind w:left="3915" w:hanging="360"/>
      </w:pPr>
      <w:rPr>
        <w:rFonts w:ascii="Courier New" w:hAnsi="Courier New" w:cs="Courier New" w:hint="default"/>
      </w:rPr>
    </w:lvl>
    <w:lvl w:ilvl="2" w:tplc="04130005" w:tentative="1">
      <w:start w:val="1"/>
      <w:numFmt w:val="bullet"/>
      <w:lvlText w:val=""/>
      <w:lvlJc w:val="left"/>
      <w:pPr>
        <w:ind w:left="4635" w:hanging="360"/>
      </w:pPr>
      <w:rPr>
        <w:rFonts w:ascii="Wingdings" w:hAnsi="Wingdings" w:hint="default"/>
      </w:rPr>
    </w:lvl>
    <w:lvl w:ilvl="3" w:tplc="04130001" w:tentative="1">
      <w:start w:val="1"/>
      <w:numFmt w:val="bullet"/>
      <w:lvlText w:val=""/>
      <w:lvlJc w:val="left"/>
      <w:pPr>
        <w:ind w:left="5355" w:hanging="360"/>
      </w:pPr>
      <w:rPr>
        <w:rFonts w:ascii="Symbol" w:hAnsi="Symbol" w:hint="default"/>
      </w:rPr>
    </w:lvl>
    <w:lvl w:ilvl="4" w:tplc="04130003" w:tentative="1">
      <w:start w:val="1"/>
      <w:numFmt w:val="bullet"/>
      <w:lvlText w:val="o"/>
      <w:lvlJc w:val="left"/>
      <w:pPr>
        <w:ind w:left="6075" w:hanging="360"/>
      </w:pPr>
      <w:rPr>
        <w:rFonts w:ascii="Courier New" w:hAnsi="Courier New" w:cs="Courier New" w:hint="default"/>
      </w:rPr>
    </w:lvl>
    <w:lvl w:ilvl="5" w:tplc="04130005" w:tentative="1">
      <w:start w:val="1"/>
      <w:numFmt w:val="bullet"/>
      <w:lvlText w:val=""/>
      <w:lvlJc w:val="left"/>
      <w:pPr>
        <w:ind w:left="6795" w:hanging="360"/>
      </w:pPr>
      <w:rPr>
        <w:rFonts w:ascii="Wingdings" w:hAnsi="Wingdings" w:hint="default"/>
      </w:rPr>
    </w:lvl>
    <w:lvl w:ilvl="6" w:tplc="04130001" w:tentative="1">
      <w:start w:val="1"/>
      <w:numFmt w:val="bullet"/>
      <w:lvlText w:val=""/>
      <w:lvlJc w:val="left"/>
      <w:pPr>
        <w:ind w:left="7515" w:hanging="360"/>
      </w:pPr>
      <w:rPr>
        <w:rFonts w:ascii="Symbol" w:hAnsi="Symbol" w:hint="default"/>
      </w:rPr>
    </w:lvl>
    <w:lvl w:ilvl="7" w:tplc="04130003" w:tentative="1">
      <w:start w:val="1"/>
      <w:numFmt w:val="bullet"/>
      <w:lvlText w:val="o"/>
      <w:lvlJc w:val="left"/>
      <w:pPr>
        <w:ind w:left="8235" w:hanging="360"/>
      </w:pPr>
      <w:rPr>
        <w:rFonts w:ascii="Courier New" w:hAnsi="Courier New" w:cs="Courier New" w:hint="default"/>
      </w:rPr>
    </w:lvl>
    <w:lvl w:ilvl="8" w:tplc="04130005" w:tentative="1">
      <w:start w:val="1"/>
      <w:numFmt w:val="bullet"/>
      <w:lvlText w:val=""/>
      <w:lvlJc w:val="left"/>
      <w:pPr>
        <w:ind w:left="8955" w:hanging="360"/>
      </w:pPr>
      <w:rPr>
        <w:rFonts w:ascii="Wingdings" w:hAnsi="Wingdings" w:hint="default"/>
      </w:rPr>
    </w:lvl>
  </w:abstractNum>
  <w:abstractNum w:abstractNumId="14"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5E14989"/>
    <w:multiLevelType w:val="multilevel"/>
    <w:tmpl w:val="E5102DA0"/>
    <w:lvl w:ilvl="0">
      <w:start w:val="1"/>
      <w:numFmt w:val="decimal"/>
      <w:lvlText w:val="%1."/>
      <w:lvlJc w:val="left"/>
      <w:pPr>
        <w:ind w:left="1927" w:hanging="360"/>
      </w:pPr>
      <w:rPr>
        <w:rFonts w:ascii="Times New Roman" w:eastAsia="Times New Roman" w:hAnsi="Times New Roman" w:cs="Times New Roman"/>
      </w:rPr>
    </w:lvl>
    <w:lvl w:ilvl="1">
      <w:start w:val="1"/>
      <w:numFmt w:val="lowerLetter"/>
      <w:lvlText w:val="%2."/>
      <w:lvlJc w:val="left"/>
      <w:pPr>
        <w:ind w:left="2647" w:hanging="360"/>
      </w:pPr>
    </w:lvl>
    <w:lvl w:ilvl="2">
      <w:start w:val="1"/>
      <w:numFmt w:val="lowerRoman"/>
      <w:lvlText w:val="%3."/>
      <w:lvlJc w:val="right"/>
      <w:pPr>
        <w:ind w:left="3367" w:hanging="180"/>
      </w:pPr>
    </w:lvl>
    <w:lvl w:ilvl="3">
      <w:start w:val="1"/>
      <w:numFmt w:val="decimal"/>
      <w:lvlText w:val="%4."/>
      <w:lvlJc w:val="left"/>
      <w:pPr>
        <w:ind w:left="4087" w:hanging="360"/>
      </w:pPr>
    </w:lvl>
    <w:lvl w:ilvl="4">
      <w:start w:val="1"/>
      <w:numFmt w:val="lowerLetter"/>
      <w:lvlText w:val="%5."/>
      <w:lvlJc w:val="left"/>
      <w:pPr>
        <w:ind w:left="4807" w:hanging="360"/>
      </w:pPr>
    </w:lvl>
    <w:lvl w:ilvl="5">
      <w:start w:val="1"/>
      <w:numFmt w:val="lowerRoman"/>
      <w:lvlText w:val="%6."/>
      <w:lvlJc w:val="right"/>
      <w:pPr>
        <w:ind w:left="5527" w:hanging="180"/>
      </w:pPr>
    </w:lvl>
    <w:lvl w:ilvl="6">
      <w:start w:val="1"/>
      <w:numFmt w:val="decimal"/>
      <w:lvlText w:val="%7."/>
      <w:lvlJc w:val="left"/>
      <w:pPr>
        <w:ind w:left="6247" w:hanging="360"/>
      </w:pPr>
    </w:lvl>
    <w:lvl w:ilvl="7">
      <w:start w:val="1"/>
      <w:numFmt w:val="lowerLetter"/>
      <w:lvlText w:val="%8."/>
      <w:lvlJc w:val="left"/>
      <w:pPr>
        <w:ind w:left="6967" w:hanging="360"/>
      </w:pPr>
    </w:lvl>
    <w:lvl w:ilvl="8">
      <w:start w:val="1"/>
      <w:numFmt w:val="lowerRoman"/>
      <w:lvlText w:val="%9."/>
      <w:lvlJc w:val="right"/>
      <w:pPr>
        <w:ind w:left="7687" w:hanging="180"/>
      </w:pPr>
    </w:lvl>
  </w:abstractNum>
  <w:abstractNum w:abstractNumId="16" w15:restartNumberingAfterBreak="0">
    <w:nsid w:val="51E801B1"/>
    <w:multiLevelType w:val="hybridMultilevel"/>
    <w:tmpl w:val="A3241676"/>
    <w:lvl w:ilvl="0" w:tplc="B1522284">
      <w:start w:val="1"/>
      <w:numFmt w:val="upperLetter"/>
      <w:lvlText w:val="%1."/>
      <w:lvlJc w:val="left"/>
      <w:pPr>
        <w:ind w:left="1500" w:hanging="360"/>
      </w:pPr>
      <w:rPr>
        <w:rFonts w:hint="default"/>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17" w15:restartNumberingAfterBreak="0">
    <w:nsid w:val="58FA33FD"/>
    <w:multiLevelType w:val="hybridMultilevel"/>
    <w:tmpl w:val="A754F5B8"/>
    <w:lvl w:ilvl="0" w:tplc="5330AA2A">
      <w:start w:val="1"/>
      <w:numFmt w:val="decimal"/>
      <w:lvlText w:val="%1."/>
      <w:lvlJc w:val="left"/>
      <w:pPr>
        <w:ind w:left="1927" w:hanging="360"/>
      </w:pPr>
      <w:rPr>
        <w:rFonts w:ascii="Times New Roman" w:eastAsia="Times New Roman" w:hAnsi="Times New Roman" w:cs="Times New Roman"/>
      </w:rPr>
    </w:lvl>
    <w:lvl w:ilvl="1" w:tplc="08090019" w:tentative="1">
      <w:start w:val="1"/>
      <w:numFmt w:val="lowerLetter"/>
      <w:lvlText w:val="%2."/>
      <w:lvlJc w:val="left"/>
      <w:pPr>
        <w:ind w:left="2647" w:hanging="360"/>
      </w:pPr>
    </w:lvl>
    <w:lvl w:ilvl="2" w:tplc="0809001B" w:tentative="1">
      <w:start w:val="1"/>
      <w:numFmt w:val="lowerRoman"/>
      <w:lvlText w:val="%3."/>
      <w:lvlJc w:val="right"/>
      <w:pPr>
        <w:ind w:left="3367" w:hanging="180"/>
      </w:pPr>
    </w:lvl>
    <w:lvl w:ilvl="3" w:tplc="0809000F" w:tentative="1">
      <w:start w:val="1"/>
      <w:numFmt w:val="decimal"/>
      <w:lvlText w:val="%4."/>
      <w:lvlJc w:val="left"/>
      <w:pPr>
        <w:ind w:left="4087" w:hanging="360"/>
      </w:pPr>
    </w:lvl>
    <w:lvl w:ilvl="4" w:tplc="08090019" w:tentative="1">
      <w:start w:val="1"/>
      <w:numFmt w:val="lowerLetter"/>
      <w:lvlText w:val="%5."/>
      <w:lvlJc w:val="left"/>
      <w:pPr>
        <w:ind w:left="4807" w:hanging="360"/>
      </w:pPr>
    </w:lvl>
    <w:lvl w:ilvl="5" w:tplc="0809001B" w:tentative="1">
      <w:start w:val="1"/>
      <w:numFmt w:val="lowerRoman"/>
      <w:lvlText w:val="%6."/>
      <w:lvlJc w:val="right"/>
      <w:pPr>
        <w:ind w:left="5527" w:hanging="180"/>
      </w:pPr>
    </w:lvl>
    <w:lvl w:ilvl="6" w:tplc="0809000F" w:tentative="1">
      <w:start w:val="1"/>
      <w:numFmt w:val="decimal"/>
      <w:lvlText w:val="%7."/>
      <w:lvlJc w:val="left"/>
      <w:pPr>
        <w:ind w:left="6247" w:hanging="360"/>
      </w:pPr>
    </w:lvl>
    <w:lvl w:ilvl="7" w:tplc="08090019" w:tentative="1">
      <w:start w:val="1"/>
      <w:numFmt w:val="lowerLetter"/>
      <w:lvlText w:val="%8."/>
      <w:lvlJc w:val="left"/>
      <w:pPr>
        <w:ind w:left="6967" w:hanging="360"/>
      </w:pPr>
    </w:lvl>
    <w:lvl w:ilvl="8" w:tplc="0809001B" w:tentative="1">
      <w:start w:val="1"/>
      <w:numFmt w:val="lowerRoman"/>
      <w:lvlText w:val="%9."/>
      <w:lvlJc w:val="right"/>
      <w:pPr>
        <w:ind w:left="7687" w:hanging="180"/>
      </w:pPr>
    </w:lvl>
  </w:abstractNum>
  <w:abstractNum w:abstractNumId="18" w15:restartNumberingAfterBreak="0">
    <w:nsid w:val="5B743F9F"/>
    <w:multiLevelType w:val="hybridMultilevel"/>
    <w:tmpl w:val="49849B5C"/>
    <w:lvl w:ilvl="0" w:tplc="8ED4DFAC">
      <w:start w:val="1"/>
      <w:numFmt w:val="upperRoman"/>
      <w:lvlText w:val="%1."/>
      <w:lvlJc w:val="left"/>
      <w:pPr>
        <w:ind w:left="1215" w:hanging="85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440053E"/>
    <w:multiLevelType w:val="hybridMultilevel"/>
    <w:tmpl w:val="E5102DA0"/>
    <w:lvl w:ilvl="0" w:tplc="D0A625C8">
      <w:start w:val="1"/>
      <w:numFmt w:val="decimal"/>
      <w:lvlText w:val="%1."/>
      <w:lvlJc w:val="left"/>
      <w:pPr>
        <w:ind w:left="1927" w:hanging="360"/>
      </w:pPr>
      <w:rPr>
        <w:rFonts w:ascii="Times New Roman" w:eastAsia="Times New Roman" w:hAnsi="Times New Roman" w:cs="Times New Roman"/>
      </w:rPr>
    </w:lvl>
    <w:lvl w:ilvl="1" w:tplc="08090019" w:tentative="1">
      <w:start w:val="1"/>
      <w:numFmt w:val="lowerLetter"/>
      <w:lvlText w:val="%2."/>
      <w:lvlJc w:val="left"/>
      <w:pPr>
        <w:ind w:left="2647" w:hanging="360"/>
      </w:pPr>
    </w:lvl>
    <w:lvl w:ilvl="2" w:tplc="0809001B" w:tentative="1">
      <w:start w:val="1"/>
      <w:numFmt w:val="lowerRoman"/>
      <w:lvlText w:val="%3."/>
      <w:lvlJc w:val="right"/>
      <w:pPr>
        <w:ind w:left="3367" w:hanging="180"/>
      </w:pPr>
    </w:lvl>
    <w:lvl w:ilvl="3" w:tplc="0809000F" w:tentative="1">
      <w:start w:val="1"/>
      <w:numFmt w:val="decimal"/>
      <w:lvlText w:val="%4."/>
      <w:lvlJc w:val="left"/>
      <w:pPr>
        <w:ind w:left="4087" w:hanging="360"/>
      </w:pPr>
    </w:lvl>
    <w:lvl w:ilvl="4" w:tplc="08090019" w:tentative="1">
      <w:start w:val="1"/>
      <w:numFmt w:val="lowerLetter"/>
      <w:lvlText w:val="%5."/>
      <w:lvlJc w:val="left"/>
      <w:pPr>
        <w:ind w:left="4807" w:hanging="360"/>
      </w:pPr>
    </w:lvl>
    <w:lvl w:ilvl="5" w:tplc="0809001B" w:tentative="1">
      <w:start w:val="1"/>
      <w:numFmt w:val="lowerRoman"/>
      <w:lvlText w:val="%6."/>
      <w:lvlJc w:val="right"/>
      <w:pPr>
        <w:ind w:left="5527" w:hanging="180"/>
      </w:pPr>
    </w:lvl>
    <w:lvl w:ilvl="6" w:tplc="0809000F" w:tentative="1">
      <w:start w:val="1"/>
      <w:numFmt w:val="decimal"/>
      <w:lvlText w:val="%7."/>
      <w:lvlJc w:val="left"/>
      <w:pPr>
        <w:ind w:left="6247" w:hanging="360"/>
      </w:pPr>
    </w:lvl>
    <w:lvl w:ilvl="7" w:tplc="08090019" w:tentative="1">
      <w:start w:val="1"/>
      <w:numFmt w:val="lowerLetter"/>
      <w:lvlText w:val="%8."/>
      <w:lvlJc w:val="left"/>
      <w:pPr>
        <w:ind w:left="6967" w:hanging="360"/>
      </w:pPr>
    </w:lvl>
    <w:lvl w:ilvl="8" w:tplc="0809001B" w:tentative="1">
      <w:start w:val="1"/>
      <w:numFmt w:val="lowerRoman"/>
      <w:lvlText w:val="%9."/>
      <w:lvlJc w:val="right"/>
      <w:pPr>
        <w:ind w:left="7687" w:hanging="180"/>
      </w:pPr>
    </w:lvl>
  </w:abstractNum>
  <w:abstractNum w:abstractNumId="21"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21"/>
  </w:num>
  <w:num w:numId="3">
    <w:abstractNumId w:val="16"/>
  </w:num>
  <w:num w:numId="4">
    <w:abstractNumId w:val="17"/>
  </w:num>
  <w:num w:numId="5">
    <w:abstractNumId w:val="20"/>
  </w:num>
  <w:num w:numId="6">
    <w:abstractNumId w:val="15"/>
  </w:num>
  <w:num w:numId="7">
    <w:abstractNumId w:val="12"/>
  </w:num>
  <w:num w:numId="8">
    <w:abstractNumId w:val="14"/>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1"/>
  </w:num>
  <w:num w:numId="20">
    <w:abstractNumId w:val="13"/>
  </w:num>
  <w:num w:numId="21">
    <w:abstractNumId w:val="10"/>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3C38"/>
    <w:rsid w:val="000042C7"/>
    <w:rsid w:val="0000654D"/>
    <w:rsid w:val="00012144"/>
    <w:rsid w:val="0001749C"/>
    <w:rsid w:val="000317A8"/>
    <w:rsid w:val="00031D2E"/>
    <w:rsid w:val="00032224"/>
    <w:rsid w:val="00040566"/>
    <w:rsid w:val="00041C8B"/>
    <w:rsid w:val="00064FB2"/>
    <w:rsid w:val="00066F3C"/>
    <w:rsid w:val="00076904"/>
    <w:rsid w:val="000974A4"/>
    <w:rsid w:val="000A6898"/>
    <w:rsid w:val="000B10E6"/>
    <w:rsid w:val="000B410F"/>
    <w:rsid w:val="000B5D4D"/>
    <w:rsid w:val="000C3655"/>
    <w:rsid w:val="000C704B"/>
    <w:rsid w:val="000D785B"/>
    <w:rsid w:val="000F2FE9"/>
    <w:rsid w:val="000F70DA"/>
    <w:rsid w:val="001100FA"/>
    <w:rsid w:val="00110CD9"/>
    <w:rsid w:val="0011270C"/>
    <w:rsid w:val="00114B6A"/>
    <w:rsid w:val="001177E8"/>
    <w:rsid w:val="00120B0B"/>
    <w:rsid w:val="0012278F"/>
    <w:rsid w:val="00124074"/>
    <w:rsid w:val="00143DFF"/>
    <w:rsid w:val="001508F5"/>
    <w:rsid w:val="001711F6"/>
    <w:rsid w:val="001A1A7E"/>
    <w:rsid w:val="001B694A"/>
    <w:rsid w:val="001B6FE5"/>
    <w:rsid w:val="001B7D5B"/>
    <w:rsid w:val="001C6182"/>
    <w:rsid w:val="001C6ACD"/>
    <w:rsid w:val="001D3DD9"/>
    <w:rsid w:val="001D6297"/>
    <w:rsid w:val="001E75CE"/>
    <w:rsid w:val="001F4F52"/>
    <w:rsid w:val="001F6105"/>
    <w:rsid w:val="0020024D"/>
    <w:rsid w:val="00211494"/>
    <w:rsid w:val="00212057"/>
    <w:rsid w:val="00220E7C"/>
    <w:rsid w:val="00221064"/>
    <w:rsid w:val="00224E01"/>
    <w:rsid w:val="00227787"/>
    <w:rsid w:val="002315F4"/>
    <w:rsid w:val="00233C7F"/>
    <w:rsid w:val="002341BF"/>
    <w:rsid w:val="002348C4"/>
    <w:rsid w:val="00254E07"/>
    <w:rsid w:val="00274DA8"/>
    <w:rsid w:val="002771EF"/>
    <w:rsid w:val="00290B48"/>
    <w:rsid w:val="00295597"/>
    <w:rsid w:val="002961D5"/>
    <w:rsid w:val="002A4005"/>
    <w:rsid w:val="002A44AE"/>
    <w:rsid w:val="002A6C3C"/>
    <w:rsid w:val="002C2392"/>
    <w:rsid w:val="002D7A1F"/>
    <w:rsid w:val="002E54AB"/>
    <w:rsid w:val="002F4F60"/>
    <w:rsid w:val="003006A1"/>
    <w:rsid w:val="00302BA0"/>
    <w:rsid w:val="003031F1"/>
    <w:rsid w:val="00306DE8"/>
    <w:rsid w:val="00317532"/>
    <w:rsid w:val="003204EE"/>
    <w:rsid w:val="00324EA6"/>
    <w:rsid w:val="003342F6"/>
    <w:rsid w:val="00337255"/>
    <w:rsid w:val="00342882"/>
    <w:rsid w:val="003572F3"/>
    <w:rsid w:val="00357906"/>
    <w:rsid w:val="00361083"/>
    <w:rsid w:val="003661BE"/>
    <w:rsid w:val="0038300E"/>
    <w:rsid w:val="00385FE8"/>
    <w:rsid w:val="00387644"/>
    <w:rsid w:val="00393DF5"/>
    <w:rsid w:val="00394AE5"/>
    <w:rsid w:val="0039693E"/>
    <w:rsid w:val="003A6643"/>
    <w:rsid w:val="003A7D2E"/>
    <w:rsid w:val="003B0BE1"/>
    <w:rsid w:val="003B5A1E"/>
    <w:rsid w:val="003B798A"/>
    <w:rsid w:val="003C10B9"/>
    <w:rsid w:val="003C361C"/>
    <w:rsid w:val="003E4A08"/>
    <w:rsid w:val="00411424"/>
    <w:rsid w:val="004117A7"/>
    <w:rsid w:val="00416C7A"/>
    <w:rsid w:val="00427D1A"/>
    <w:rsid w:val="0044295A"/>
    <w:rsid w:val="004624A9"/>
    <w:rsid w:val="00471E57"/>
    <w:rsid w:val="004A1F99"/>
    <w:rsid w:val="004A2B9E"/>
    <w:rsid w:val="004B5A77"/>
    <w:rsid w:val="004C5CAD"/>
    <w:rsid w:val="004D18E6"/>
    <w:rsid w:val="004E311E"/>
    <w:rsid w:val="004E582C"/>
    <w:rsid w:val="004E6B0E"/>
    <w:rsid w:val="004E750C"/>
    <w:rsid w:val="004E7C59"/>
    <w:rsid w:val="0051268A"/>
    <w:rsid w:val="00515F55"/>
    <w:rsid w:val="00525B1E"/>
    <w:rsid w:val="00527267"/>
    <w:rsid w:val="00547F60"/>
    <w:rsid w:val="0055003B"/>
    <w:rsid w:val="00557E8D"/>
    <w:rsid w:val="0056390E"/>
    <w:rsid w:val="0057404E"/>
    <w:rsid w:val="005863E8"/>
    <w:rsid w:val="00586664"/>
    <w:rsid w:val="0059624F"/>
    <w:rsid w:val="00596B2D"/>
    <w:rsid w:val="00597CB4"/>
    <w:rsid w:val="005A0933"/>
    <w:rsid w:val="005A6541"/>
    <w:rsid w:val="005A70BD"/>
    <w:rsid w:val="005C63DC"/>
    <w:rsid w:val="005C7449"/>
    <w:rsid w:val="005E517D"/>
    <w:rsid w:val="0060377C"/>
    <w:rsid w:val="00607851"/>
    <w:rsid w:val="006151C6"/>
    <w:rsid w:val="00626B49"/>
    <w:rsid w:val="00627F86"/>
    <w:rsid w:val="00646AC8"/>
    <w:rsid w:val="00647129"/>
    <w:rsid w:val="006579A4"/>
    <w:rsid w:val="00660406"/>
    <w:rsid w:val="00673C38"/>
    <w:rsid w:val="00680794"/>
    <w:rsid w:val="00685D4C"/>
    <w:rsid w:val="006956C3"/>
    <w:rsid w:val="006A77D2"/>
    <w:rsid w:val="006B1C63"/>
    <w:rsid w:val="006B4A79"/>
    <w:rsid w:val="006C4085"/>
    <w:rsid w:val="006C5078"/>
    <w:rsid w:val="006D3EEF"/>
    <w:rsid w:val="006D4D7A"/>
    <w:rsid w:val="006E604B"/>
    <w:rsid w:val="006E6C37"/>
    <w:rsid w:val="00701920"/>
    <w:rsid w:val="00720067"/>
    <w:rsid w:val="007279DD"/>
    <w:rsid w:val="007519E1"/>
    <w:rsid w:val="007532E5"/>
    <w:rsid w:val="00756BEE"/>
    <w:rsid w:val="00787DF4"/>
    <w:rsid w:val="007948F4"/>
    <w:rsid w:val="00797959"/>
    <w:rsid w:val="007A0BF5"/>
    <w:rsid w:val="007A1B9B"/>
    <w:rsid w:val="007A3398"/>
    <w:rsid w:val="007B18E2"/>
    <w:rsid w:val="007B1DF3"/>
    <w:rsid w:val="007C1521"/>
    <w:rsid w:val="007C6E91"/>
    <w:rsid w:val="007C7DD9"/>
    <w:rsid w:val="007D09DD"/>
    <w:rsid w:val="007D3A48"/>
    <w:rsid w:val="007D703E"/>
    <w:rsid w:val="00800BB6"/>
    <w:rsid w:val="008106AE"/>
    <w:rsid w:val="008116FA"/>
    <w:rsid w:val="00815CE5"/>
    <w:rsid w:val="00815F4F"/>
    <w:rsid w:val="00826CF2"/>
    <w:rsid w:val="0083790C"/>
    <w:rsid w:val="0084127F"/>
    <w:rsid w:val="00841A59"/>
    <w:rsid w:val="00852A98"/>
    <w:rsid w:val="008555B5"/>
    <w:rsid w:val="00864411"/>
    <w:rsid w:val="008862BD"/>
    <w:rsid w:val="008A186A"/>
    <w:rsid w:val="008C4D21"/>
    <w:rsid w:val="008D4A44"/>
    <w:rsid w:val="008E23A3"/>
    <w:rsid w:val="008F1B32"/>
    <w:rsid w:val="008F2026"/>
    <w:rsid w:val="009062A1"/>
    <w:rsid w:val="00910B29"/>
    <w:rsid w:val="00913182"/>
    <w:rsid w:val="0091322C"/>
    <w:rsid w:val="00913A18"/>
    <w:rsid w:val="009257B4"/>
    <w:rsid w:val="009304A1"/>
    <w:rsid w:val="00930F93"/>
    <w:rsid w:val="0095475E"/>
    <w:rsid w:val="00955168"/>
    <w:rsid w:val="00955FF0"/>
    <w:rsid w:val="00964C67"/>
    <w:rsid w:val="00965101"/>
    <w:rsid w:val="00984325"/>
    <w:rsid w:val="00993475"/>
    <w:rsid w:val="009954B0"/>
    <w:rsid w:val="00995A34"/>
    <w:rsid w:val="0099718A"/>
    <w:rsid w:val="009A1711"/>
    <w:rsid w:val="009A1B5D"/>
    <w:rsid w:val="009A23B8"/>
    <w:rsid w:val="009A4C29"/>
    <w:rsid w:val="009B5640"/>
    <w:rsid w:val="009C0B38"/>
    <w:rsid w:val="009E32AC"/>
    <w:rsid w:val="009E4996"/>
    <w:rsid w:val="009F2713"/>
    <w:rsid w:val="009F7050"/>
    <w:rsid w:val="00A0063A"/>
    <w:rsid w:val="00A01F93"/>
    <w:rsid w:val="00A02992"/>
    <w:rsid w:val="00A07FA1"/>
    <w:rsid w:val="00A1026D"/>
    <w:rsid w:val="00A1062F"/>
    <w:rsid w:val="00A1265D"/>
    <w:rsid w:val="00A1343D"/>
    <w:rsid w:val="00A16887"/>
    <w:rsid w:val="00A46BD8"/>
    <w:rsid w:val="00A545BE"/>
    <w:rsid w:val="00A66477"/>
    <w:rsid w:val="00A811C7"/>
    <w:rsid w:val="00A92AC3"/>
    <w:rsid w:val="00A965C2"/>
    <w:rsid w:val="00AB66A6"/>
    <w:rsid w:val="00AD0C2D"/>
    <w:rsid w:val="00AD6FBC"/>
    <w:rsid w:val="00AE2651"/>
    <w:rsid w:val="00AE43C0"/>
    <w:rsid w:val="00B0503D"/>
    <w:rsid w:val="00B116C9"/>
    <w:rsid w:val="00B11F85"/>
    <w:rsid w:val="00B157FE"/>
    <w:rsid w:val="00B2727F"/>
    <w:rsid w:val="00B3189B"/>
    <w:rsid w:val="00B36B20"/>
    <w:rsid w:val="00B443A7"/>
    <w:rsid w:val="00B4622C"/>
    <w:rsid w:val="00B613AF"/>
    <w:rsid w:val="00B65F3A"/>
    <w:rsid w:val="00B70F96"/>
    <w:rsid w:val="00B803DF"/>
    <w:rsid w:val="00B81828"/>
    <w:rsid w:val="00B949D9"/>
    <w:rsid w:val="00B94EEC"/>
    <w:rsid w:val="00BA2E26"/>
    <w:rsid w:val="00BB059C"/>
    <w:rsid w:val="00BB0E98"/>
    <w:rsid w:val="00BF3D36"/>
    <w:rsid w:val="00BF7436"/>
    <w:rsid w:val="00C3453B"/>
    <w:rsid w:val="00C36A72"/>
    <w:rsid w:val="00C36D84"/>
    <w:rsid w:val="00C46D83"/>
    <w:rsid w:val="00C63F6D"/>
    <w:rsid w:val="00C65283"/>
    <w:rsid w:val="00C72910"/>
    <w:rsid w:val="00C7355B"/>
    <w:rsid w:val="00C918A8"/>
    <w:rsid w:val="00C9448B"/>
    <w:rsid w:val="00CA123C"/>
    <w:rsid w:val="00CB69FF"/>
    <w:rsid w:val="00CB7E17"/>
    <w:rsid w:val="00CD497F"/>
    <w:rsid w:val="00CD6D77"/>
    <w:rsid w:val="00CE14D7"/>
    <w:rsid w:val="00D15180"/>
    <w:rsid w:val="00D155AB"/>
    <w:rsid w:val="00D22ADF"/>
    <w:rsid w:val="00D23F9D"/>
    <w:rsid w:val="00D245D7"/>
    <w:rsid w:val="00D31633"/>
    <w:rsid w:val="00D528E1"/>
    <w:rsid w:val="00D53BA6"/>
    <w:rsid w:val="00D623C4"/>
    <w:rsid w:val="00D6510D"/>
    <w:rsid w:val="00D72359"/>
    <w:rsid w:val="00D847C8"/>
    <w:rsid w:val="00D865E8"/>
    <w:rsid w:val="00D86B33"/>
    <w:rsid w:val="00D919EF"/>
    <w:rsid w:val="00D927F9"/>
    <w:rsid w:val="00D97E24"/>
    <w:rsid w:val="00DB176C"/>
    <w:rsid w:val="00DB37D0"/>
    <w:rsid w:val="00DD3697"/>
    <w:rsid w:val="00DD396E"/>
    <w:rsid w:val="00DE3CC0"/>
    <w:rsid w:val="00DF7A8F"/>
    <w:rsid w:val="00E20BCD"/>
    <w:rsid w:val="00E25DE8"/>
    <w:rsid w:val="00E316EA"/>
    <w:rsid w:val="00E316EB"/>
    <w:rsid w:val="00E331E2"/>
    <w:rsid w:val="00E44C5F"/>
    <w:rsid w:val="00E5184A"/>
    <w:rsid w:val="00E53A90"/>
    <w:rsid w:val="00E55CE0"/>
    <w:rsid w:val="00E64DCA"/>
    <w:rsid w:val="00E67AFE"/>
    <w:rsid w:val="00E75B28"/>
    <w:rsid w:val="00E81039"/>
    <w:rsid w:val="00E8107A"/>
    <w:rsid w:val="00E82251"/>
    <w:rsid w:val="00E8772F"/>
    <w:rsid w:val="00EA2AE3"/>
    <w:rsid w:val="00EB2ED2"/>
    <w:rsid w:val="00EE52CB"/>
    <w:rsid w:val="00EE7061"/>
    <w:rsid w:val="00EF62B6"/>
    <w:rsid w:val="00EF6F9D"/>
    <w:rsid w:val="00F00411"/>
    <w:rsid w:val="00F00CB2"/>
    <w:rsid w:val="00F02414"/>
    <w:rsid w:val="00F20B4F"/>
    <w:rsid w:val="00F50E19"/>
    <w:rsid w:val="00F66879"/>
    <w:rsid w:val="00F70DEE"/>
    <w:rsid w:val="00F723C1"/>
    <w:rsid w:val="00F816E6"/>
    <w:rsid w:val="00F81855"/>
    <w:rsid w:val="00F83563"/>
    <w:rsid w:val="00F83B75"/>
    <w:rsid w:val="00F8499C"/>
    <w:rsid w:val="00F93CA6"/>
    <w:rsid w:val="00F975C8"/>
    <w:rsid w:val="00FA5CAC"/>
    <w:rsid w:val="00FB5E72"/>
    <w:rsid w:val="00FB7093"/>
    <w:rsid w:val="00FB7D5F"/>
    <w:rsid w:val="00FC22AD"/>
    <w:rsid w:val="00FC43A4"/>
    <w:rsid w:val="00FC5708"/>
    <w:rsid w:val="00FC6D99"/>
    <w:rsid w:val="00FC75A8"/>
    <w:rsid w:val="00FE0F15"/>
    <w:rsid w:val="00FE693E"/>
    <w:rsid w:val="00FE7FD9"/>
    <w:rsid w:val="00FF13EB"/>
    <w:rsid w:val="00FF1BEA"/>
    <w:rsid w:val="00FF1FAB"/>
    <w:rsid w:val="00FF3E28"/>
    <w:rsid w:val="00FF58B7"/>
    <w:rsid w:val="00FF62C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9823634"/>
  <w15:docId w15:val="{D798F371-23A5-43C3-94D2-0ABFBE707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GB" w:eastAsia="zh-CN" w:bidi="ar-SA"/>
      </w:rPr>
    </w:rPrDefault>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B65F3A"/>
    <w:pPr>
      <w:suppressAutoHyphens/>
      <w:spacing w:line="240" w:lineRule="atLeast"/>
    </w:pPr>
    <w:rPr>
      <w:rFonts w:eastAsia="Times New Roman"/>
      <w:lang w:eastAsia="en-US"/>
    </w:rPr>
  </w:style>
  <w:style w:type="paragraph" w:styleId="Heading1">
    <w:name w:val="heading 1"/>
    <w:aliases w:val="Table_G"/>
    <w:basedOn w:val="SingleTxtG"/>
    <w:next w:val="SingleTxtG"/>
    <w:link w:val="Heading1Char"/>
    <w:qFormat/>
    <w:rsid w:val="00C65283"/>
    <w:pPr>
      <w:spacing w:after="0" w:line="240" w:lineRule="auto"/>
      <w:ind w:right="0"/>
      <w:jc w:val="left"/>
      <w:outlineLvl w:val="0"/>
    </w:pPr>
  </w:style>
  <w:style w:type="paragraph" w:styleId="Heading2">
    <w:name w:val="heading 2"/>
    <w:basedOn w:val="Normal"/>
    <w:next w:val="Normal"/>
    <w:link w:val="Heading2Char"/>
    <w:qFormat/>
    <w:rsid w:val="00C65283"/>
    <w:pPr>
      <w:spacing w:line="240" w:lineRule="auto"/>
      <w:outlineLvl w:val="1"/>
    </w:pPr>
  </w:style>
  <w:style w:type="paragraph" w:styleId="Heading3">
    <w:name w:val="heading 3"/>
    <w:basedOn w:val="Normal"/>
    <w:next w:val="Normal"/>
    <w:link w:val="Heading3Char"/>
    <w:qFormat/>
    <w:rsid w:val="00C65283"/>
    <w:pPr>
      <w:spacing w:line="240" w:lineRule="auto"/>
      <w:outlineLvl w:val="2"/>
    </w:pPr>
  </w:style>
  <w:style w:type="paragraph" w:styleId="Heading4">
    <w:name w:val="heading 4"/>
    <w:basedOn w:val="Normal"/>
    <w:next w:val="Normal"/>
    <w:link w:val="Heading4Char"/>
    <w:qFormat/>
    <w:rsid w:val="00C65283"/>
    <w:pPr>
      <w:spacing w:line="240" w:lineRule="auto"/>
      <w:outlineLvl w:val="3"/>
    </w:pPr>
  </w:style>
  <w:style w:type="paragraph" w:styleId="Heading5">
    <w:name w:val="heading 5"/>
    <w:basedOn w:val="Normal"/>
    <w:next w:val="Normal"/>
    <w:link w:val="Heading5Char"/>
    <w:qFormat/>
    <w:rsid w:val="00C65283"/>
    <w:pPr>
      <w:spacing w:line="240" w:lineRule="auto"/>
      <w:outlineLvl w:val="4"/>
    </w:pPr>
  </w:style>
  <w:style w:type="paragraph" w:styleId="Heading6">
    <w:name w:val="heading 6"/>
    <w:basedOn w:val="Normal"/>
    <w:next w:val="Normal"/>
    <w:link w:val="Heading6Char"/>
    <w:qFormat/>
    <w:rsid w:val="00C65283"/>
    <w:pPr>
      <w:spacing w:line="240" w:lineRule="auto"/>
      <w:outlineLvl w:val="5"/>
    </w:pPr>
  </w:style>
  <w:style w:type="paragraph" w:styleId="Heading7">
    <w:name w:val="heading 7"/>
    <w:basedOn w:val="Normal"/>
    <w:next w:val="Normal"/>
    <w:link w:val="Heading7Char"/>
    <w:qFormat/>
    <w:rsid w:val="00C65283"/>
    <w:pPr>
      <w:spacing w:line="240" w:lineRule="auto"/>
      <w:outlineLvl w:val="6"/>
    </w:pPr>
  </w:style>
  <w:style w:type="paragraph" w:styleId="Heading8">
    <w:name w:val="heading 8"/>
    <w:basedOn w:val="Normal"/>
    <w:next w:val="Normal"/>
    <w:link w:val="Heading8Char"/>
    <w:qFormat/>
    <w:rsid w:val="00C65283"/>
    <w:pPr>
      <w:spacing w:line="240" w:lineRule="auto"/>
      <w:outlineLvl w:val="7"/>
    </w:pPr>
  </w:style>
  <w:style w:type="paragraph" w:styleId="Heading9">
    <w:name w:val="heading 9"/>
    <w:basedOn w:val="Normal"/>
    <w:next w:val="Normal"/>
    <w:link w:val="Heading9Char"/>
    <w:qFormat/>
    <w:rsid w:val="00C65283"/>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able_G Char"/>
    <w:basedOn w:val="DefaultParagraphFont"/>
    <w:link w:val="Heading1"/>
    <w:rsid w:val="00C65283"/>
  </w:style>
  <w:style w:type="character" w:customStyle="1" w:styleId="Heading2Char">
    <w:name w:val="Heading 2 Char"/>
    <w:basedOn w:val="DefaultParagraphFont"/>
    <w:link w:val="Heading2"/>
    <w:rsid w:val="00C65283"/>
  </w:style>
  <w:style w:type="character" w:customStyle="1" w:styleId="Heading3Char">
    <w:name w:val="Heading 3 Char"/>
    <w:basedOn w:val="DefaultParagraphFont"/>
    <w:link w:val="Heading3"/>
    <w:rsid w:val="00C65283"/>
  </w:style>
  <w:style w:type="character" w:customStyle="1" w:styleId="Heading4Char">
    <w:name w:val="Heading 4 Char"/>
    <w:basedOn w:val="DefaultParagraphFont"/>
    <w:link w:val="Heading4"/>
    <w:rsid w:val="00C65283"/>
  </w:style>
  <w:style w:type="character" w:customStyle="1" w:styleId="Heading5Char">
    <w:name w:val="Heading 5 Char"/>
    <w:basedOn w:val="DefaultParagraphFont"/>
    <w:link w:val="Heading5"/>
    <w:rsid w:val="00C65283"/>
  </w:style>
  <w:style w:type="character" w:customStyle="1" w:styleId="Heading6Char">
    <w:name w:val="Heading 6 Char"/>
    <w:basedOn w:val="DefaultParagraphFont"/>
    <w:link w:val="Heading6"/>
    <w:rsid w:val="00C65283"/>
  </w:style>
  <w:style w:type="character" w:customStyle="1" w:styleId="Heading7Char">
    <w:name w:val="Heading 7 Char"/>
    <w:basedOn w:val="DefaultParagraphFont"/>
    <w:link w:val="Heading7"/>
    <w:rsid w:val="00C65283"/>
  </w:style>
  <w:style w:type="character" w:customStyle="1" w:styleId="Heading8Char">
    <w:name w:val="Heading 8 Char"/>
    <w:basedOn w:val="DefaultParagraphFont"/>
    <w:link w:val="Heading8"/>
    <w:rsid w:val="00C65283"/>
  </w:style>
  <w:style w:type="character" w:customStyle="1" w:styleId="Heading9Char">
    <w:name w:val="Heading 9 Char"/>
    <w:basedOn w:val="DefaultParagraphFont"/>
    <w:link w:val="Heading9"/>
    <w:rsid w:val="00C65283"/>
  </w:style>
  <w:style w:type="paragraph" w:customStyle="1" w:styleId="HMG">
    <w:name w:val="_ H __M_G"/>
    <w:basedOn w:val="Normal"/>
    <w:next w:val="Normal"/>
    <w:rsid w:val="00930F9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930F93"/>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930F9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930F9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930F9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930F93"/>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930F93"/>
    <w:pPr>
      <w:spacing w:after="120"/>
      <w:ind w:left="1134" w:right="1134"/>
      <w:jc w:val="both"/>
    </w:pPr>
  </w:style>
  <w:style w:type="paragraph" w:customStyle="1" w:styleId="SLG">
    <w:name w:val="__S_L_G"/>
    <w:basedOn w:val="Normal"/>
    <w:next w:val="Normal"/>
    <w:rsid w:val="00930F93"/>
    <w:pPr>
      <w:keepNext/>
      <w:keepLines/>
      <w:spacing w:before="240" w:after="240" w:line="580" w:lineRule="exact"/>
      <w:ind w:left="1134" w:right="1134"/>
    </w:pPr>
    <w:rPr>
      <w:b/>
      <w:sz w:val="56"/>
    </w:rPr>
  </w:style>
  <w:style w:type="paragraph" w:customStyle="1" w:styleId="SMG">
    <w:name w:val="__S_M_G"/>
    <w:basedOn w:val="Normal"/>
    <w:next w:val="Normal"/>
    <w:rsid w:val="00930F93"/>
    <w:pPr>
      <w:keepNext/>
      <w:keepLines/>
      <w:spacing w:before="240" w:after="240" w:line="420" w:lineRule="exact"/>
      <w:ind w:left="1134" w:right="1134"/>
    </w:pPr>
    <w:rPr>
      <w:b/>
      <w:sz w:val="40"/>
    </w:rPr>
  </w:style>
  <w:style w:type="paragraph" w:customStyle="1" w:styleId="SSG">
    <w:name w:val="__S_S_G"/>
    <w:basedOn w:val="Normal"/>
    <w:next w:val="Normal"/>
    <w:rsid w:val="00930F93"/>
    <w:pPr>
      <w:keepNext/>
      <w:keepLines/>
      <w:spacing w:before="240" w:after="240" w:line="300" w:lineRule="exact"/>
      <w:ind w:left="1134" w:right="1134"/>
    </w:pPr>
    <w:rPr>
      <w:b/>
      <w:sz w:val="28"/>
    </w:rPr>
  </w:style>
  <w:style w:type="paragraph" w:customStyle="1" w:styleId="XLargeG">
    <w:name w:val="__XLarge_G"/>
    <w:basedOn w:val="Normal"/>
    <w:next w:val="Normal"/>
    <w:rsid w:val="00930F93"/>
    <w:pPr>
      <w:keepNext/>
      <w:keepLines/>
      <w:spacing w:before="240" w:after="240" w:line="420" w:lineRule="exact"/>
      <w:ind w:left="1134" w:right="1134"/>
    </w:pPr>
    <w:rPr>
      <w:b/>
      <w:sz w:val="40"/>
    </w:rPr>
  </w:style>
  <w:style w:type="paragraph" w:customStyle="1" w:styleId="Bullet1G">
    <w:name w:val="_Bullet 1_G"/>
    <w:basedOn w:val="Normal"/>
    <w:rsid w:val="00930F93"/>
    <w:pPr>
      <w:numPr>
        <w:numId w:val="1"/>
      </w:numPr>
      <w:spacing w:after="120"/>
      <w:ind w:right="1134"/>
      <w:jc w:val="both"/>
    </w:pPr>
  </w:style>
  <w:style w:type="paragraph" w:customStyle="1" w:styleId="Bullet2G">
    <w:name w:val="_Bullet 2_G"/>
    <w:basedOn w:val="Normal"/>
    <w:rsid w:val="00930F93"/>
    <w:pPr>
      <w:numPr>
        <w:numId w:val="2"/>
      </w:numPr>
      <w:spacing w:after="120"/>
      <w:ind w:right="1134"/>
      <w:jc w:val="both"/>
    </w:pPr>
  </w:style>
  <w:style w:type="character" w:styleId="EndnoteReference">
    <w:name w:val="endnote reference"/>
    <w:aliases w:val="1_G"/>
    <w:basedOn w:val="FootnoteReference"/>
    <w:rsid w:val="00930F93"/>
    <w:rPr>
      <w:rFonts w:ascii="Times New Roman" w:hAnsi="Times New Roman"/>
      <w:sz w:val="18"/>
      <w:vertAlign w:val="superscript"/>
    </w:rPr>
  </w:style>
  <w:style w:type="character" w:styleId="FootnoteReference">
    <w:name w:val="footnote reference"/>
    <w:aliases w:val="4_G,Footnote Reference/"/>
    <w:basedOn w:val="DefaultParagraphFont"/>
    <w:rsid w:val="00930F93"/>
    <w:rPr>
      <w:rFonts w:ascii="Times New Roman" w:hAnsi="Times New Roman"/>
      <w:sz w:val="18"/>
      <w:vertAlign w:val="superscript"/>
    </w:rPr>
  </w:style>
  <w:style w:type="paragraph" w:styleId="EndnoteText">
    <w:name w:val="endnote text"/>
    <w:aliases w:val="2_G"/>
    <w:basedOn w:val="FootnoteText"/>
    <w:link w:val="EndnoteTextChar"/>
    <w:rsid w:val="00930F93"/>
  </w:style>
  <w:style w:type="character" w:customStyle="1" w:styleId="EndnoteTextChar">
    <w:name w:val="Endnote Text Char"/>
    <w:aliases w:val="2_G Char"/>
    <w:basedOn w:val="DefaultParagraphFont"/>
    <w:link w:val="EndnoteText"/>
    <w:rsid w:val="00930F93"/>
    <w:rPr>
      <w:sz w:val="18"/>
    </w:rPr>
  </w:style>
  <w:style w:type="paragraph" w:styleId="FootnoteText">
    <w:name w:val="footnote text"/>
    <w:aliases w:val="5_G"/>
    <w:basedOn w:val="Normal"/>
    <w:link w:val="FootnoteTextChar"/>
    <w:rsid w:val="00930F93"/>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930F93"/>
    <w:rPr>
      <w:sz w:val="18"/>
    </w:rPr>
  </w:style>
  <w:style w:type="character" w:styleId="FollowedHyperlink">
    <w:name w:val="FollowedHyperlink"/>
    <w:basedOn w:val="DefaultParagraphFont"/>
    <w:semiHidden/>
    <w:rsid w:val="00930F93"/>
    <w:rPr>
      <w:color w:val="auto"/>
      <w:u w:val="none"/>
    </w:rPr>
  </w:style>
  <w:style w:type="paragraph" w:styleId="Footer">
    <w:name w:val="footer"/>
    <w:aliases w:val="3_G"/>
    <w:basedOn w:val="Normal"/>
    <w:link w:val="FooterChar"/>
    <w:uiPriority w:val="99"/>
    <w:rsid w:val="00930F93"/>
    <w:pPr>
      <w:spacing w:line="240" w:lineRule="auto"/>
    </w:pPr>
    <w:rPr>
      <w:sz w:val="16"/>
    </w:rPr>
  </w:style>
  <w:style w:type="character" w:customStyle="1" w:styleId="FooterChar">
    <w:name w:val="Footer Char"/>
    <w:aliases w:val="3_G Char"/>
    <w:basedOn w:val="DefaultParagraphFont"/>
    <w:link w:val="Footer"/>
    <w:uiPriority w:val="99"/>
    <w:rsid w:val="00930F93"/>
    <w:rPr>
      <w:sz w:val="16"/>
    </w:rPr>
  </w:style>
  <w:style w:type="paragraph" w:styleId="Header">
    <w:name w:val="header"/>
    <w:aliases w:val="6_G"/>
    <w:basedOn w:val="Normal"/>
    <w:link w:val="HeaderChar"/>
    <w:rsid w:val="00930F93"/>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930F93"/>
    <w:rPr>
      <w:b/>
      <w:sz w:val="18"/>
    </w:rPr>
  </w:style>
  <w:style w:type="character" w:styleId="PageNumber">
    <w:name w:val="page number"/>
    <w:aliases w:val="7_G"/>
    <w:basedOn w:val="DefaultParagraphFont"/>
    <w:rsid w:val="00930F93"/>
    <w:rPr>
      <w:rFonts w:ascii="Times New Roman" w:hAnsi="Times New Roman"/>
      <w:b/>
      <w:sz w:val="18"/>
    </w:rPr>
  </w:style>
  <w:style w:type="table" w:styleId="TableGrid">
    <w:name w:val="Table Grid"/>
    <w:basedOn w:val="TableNormal"/>
    <w:rsid w:val="00673C38"/>
    <w:pPr>
      <w:suppressAutoHyphens/>
      <w:spacing w:line="240" w:lineRule="atLeast"/>
    </w:pPr>
    <w:rPr>
      <w:rFonts w:eastAsia="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HChGChar">
    <w:name w:val="_ H _Ch_G Char"/>
    <w:link w:val="HChG"/>
    <w:rsid w:val="00673C38"/>
    <w:rPr>
      <w:b/>
      <w:sz w:val="28"/>
    </w:rPr>
  </w:style>
  <w:style w:type="character" w:styleId="Hyperlink">
    <w:name w:val="Hyperlink"/>
    <w:basedOn w:val="DefaultParagraphFont"/>
    <w:uiPriority w:val="99"/>
    <w:rsid w:val="00295597"/>
    <w:rPr>
      <w:color w:val="auto"/>
      <w:u w:val="none"/>
    </w:rPr>
  </w:style>
  <w:style w:type="paragraph" w:styleId="ListParagraph">
    <w:name w:val="List Paragraph"/>
    <w:basedOn w:val="Normal"/>
    <w:uiPriority w:val="34"/>
    <w:qFormat/>
    <w:rsid w:val="004D18E6"/>
    <w:pPr>
      <w:ind w:left="720"/>
      <w:contextualSpacing/>
    </w:pPr>
  </w:style>
  <w:style w:type="paragraph" w:styleId="BalloonText">
    <w:name w:val="Balloon Text"/>
    <w:basedOn w:val="Normal"/>
    <w:link w:val="BalloonTextChar"/>
    <w:uiPriority w:val="99"/>
    <w:semiHidden/>
    <w:unhideWhenUsed/>
    <w:rsid w:val="0007690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6904"/>
    <w:rPr>
      <w:rFonts w:ascii="Segoe UI" w:eastAsia="Times New Roman" w:hAnsi="Segoe UI" w:cs="Segoe UI"/>
      <w:sz w:val="18"/>
      <w:szCs w:val="18"/>
      <w:lang w:eastAsia="en-US"/>
    </w:rPr>
  </w:style>
  <w:style w:type="character" w:customStyle="1" w:styleId="SingleTxtGChar">
    <w:name w:val="_ Single Txt_G Char"/>
    <w:link w:val="SingleTxtG"/>
    <w:qFormat/>
    <w:rsid w:val="00547F60"/>
    <w:rPr>
      <w:rFonts w:eastAsia="Times New Roman"/>
      <w:lang w:eastAsia="en-US"/>
    </w:rPr>
  </w:style>
  <w:style w:type="character" w:styleId="CommentReference">
    <w:name w:val="annotation reference"/>
    <w:basedOn w:val="DefaultParagraphFont"/>
    <w:uiPriority w:val="99"/>
    <w:semiHidden/>
    <w:unhideWhenUsed/>
    <w:rsid w:val="00596B2D"/>
    <w:rPr>
      <w:sz w:val="16"/>
      <w:szCs w:val="16"/>
    </w:rPr>
  </w:style>
  <w:style w:type="paragraph" w:styleId="CommentText">
    <w:name w:val="annotation text"/>
    <w:basedOn w:val="Normal"/>
    <w:link w:val="CommentTextChar"/>
    <w:uiPriority w:val="99"/>
    <w:semiHidden/>
    <w:unhideWhenUsed/>
    <w:rsid w:val="00596B2D"/>
    <w:pPr>
      <w:spacing w:line="240" w:lineRule="auto"/>
    </w:pPr>
  </w:style>
  <w:style w:type="character" w:customStyle="1" w:styleId="CommentTextChar">
    <w:name w:val="Comment Text Char"/>
    <w:basedOn w:val="DefaultParagraphFont"/>
    <w:link w:val="CommentText"/>
    <w:uiPriority w:val="99"/>
    <w:semiHidden/>
    <w:rsid w:val="00596B2D"/>
    <w:rPr>
      <w:rFonts w:eastAsia="Times New Roman"/>
      <w:lang w:eastAsia="en-US"/>
    </w:rPr>
  </w:style>
  <w:style w:type="paragraph" w:styleId="CommentSubject">
    <w:name w:val="annotation subject"/>
    <w:basedOn w:val="CommentText"/>
    <w:next w:val="CommentText"/>
    <w:link w:val="CommentSubjectChar"/>
    <w:uiPriority w:val="99"/>
    <w:semiHidden/>
    <w:unhideWhenUsed/>
    <w:rsid w:val="00596B2D"/>
    <w:rPr>
      <w:b/>
      <w:bCs/>
    </w:rPr>
  </w:style>
  <w:style w:type="character" w:customStyle="1" w:styleId="CommentSubjectChar">
    <w:name w:val="Comment Subject Char"/>
    <w:basedOn w:val="CommentTextChar"/>
    <w:link w:val="CommentSubject"/>
    <w:uiPriority w:val="99"/>
    <w:semiHidden/>
    <w:rsid w:val="00596B2D"/>
    <w:rPr>
      <w:rFonts w:eastAsia="Times New Roman"/>
      <w:b/>
      <w:bCs/>
      <w:lang w:eastAsia="en-US"/>
    </w:rPr>
  </w:style>
  <w:style w:type="character" w:customStyle="1" w:styleId="H23GChar">
    <w:name w:val="_ H_2/3_G Char"/>
    <w:link w:val="H23G"/>
    <w:rsid w:val="00D15180"/>
    <w:rPr>
      <w:rFonts w:eastAsia="Times New Roman"/>
      <w:b/>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1250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D4A921-A1E5-46C9-B051-5EB78AB540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25</Pages>
  <Words>8973</Words>
  <Characters>51151</Characters>
  <Application>Microsoft Office Word</Application>
  <DocSecurity>4</DocSecurity>
  <Lines>426</Lines>
  <Paragraphs>120</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
      <vt:lpstr/>
      <vt:lpstr/>
    </vt:vector>
  </TitlesOfParts>
  <Company/>
  <LinksUpToDate>false</LinksUpToDate>
  <CharactersWithSpaces>60004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Marie-Claude Collet</dc:creator>
  <cp:lastModifiedBy>Marie-Claude Collet</cp:lastModifiedBy>
  <cp:revision>2</cp:revision>
  <cp:lastPrinted>2019-03-18T11:43:00Z</cp:lastPrinted>
  <dcterms:created xsi:type="dcterms:W3CDTF">2019-04-03T11:52:00Z</dcterms:created>
  <dcterms:modified xsi:type="dcterms:W3CDTF">2019-04-03T11:52:00Z</dcterms:modified>
</cp:coreProperties>
</file>