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C13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C1363" w:rsidP="002C1363">
            <w:pPr>
              <w:jc w:val="right"/>
            </w:pPr>
            <w:r w:rsidRPr="002C1363">
              <w:rPr>
                <w:sz w:val="40"/>
              </w:rPr>
              <w:t>ECE</w:t>
            </w:r>
            <w:r>
              <w:t>/TRANS/2019/14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C13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C1363" w:rsidRDefault="002C1363" w:rsidP="002C13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2C1363" w:rsidRDefault="002C1363" w:rsidP="002C13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C1363" w:rsidRPr="008D53B6" w:rsidRDefault="002C1363" w:rsidP="002C13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C1363" w:rsidRPr="002C1363" w:rsidRDefault="002C1363" w:rsidP="002C1363">
      <w:pPr>
        <w:suppressAutoHyphens w:val="0"/>
        <w:spacing w:before="120" w:line="240" w:lineRule="auto"/>
        <w:rPr>
          <w:sz w:val="28"/>
          <w:szCs w:val="28"/>
        </w:rPr>
      </w:pPr>
      <w:r w:rsidRPr="002C1363">
        <w:rPr>
          <w:sz w:val="28"/>
          <w:szCs w:val="28"/>
        </w:rPr>
        <w:t>Комитет по внутреннему транспорту</w:t>
      </w:r>
    </w:p>
    <w:p w:rsidR="002C1363" w:rsidRPr="002C1363" w:rsidRDefault="002C1363" w:rsidP="002C1363">
      <w:pPr>
        <w:suppressAutoHyphens w:val="0"/>
        <w:spacing w:before="120" w:line="240" w:lineRule="auto"/>
        <w:rPr>
          <w:b/>
          <w:bCs/>
        </w:rPr>
      </w:pPr>
      <w:r w:rsidRPr="002C1363">
        <w:rPr>
          <w:b/>
          <w:bCs/>
        </w:rPr>
        <w:t>Восемьдесят первая сессия</w:t>
      </w:r>
    </w:p>
    <w:p w:rsidR="002C1363" w:rsidRPr="002C1363" w:rsidRDefault="002C1363" w:rsidP="002C1363">
      <w:pPr>
        <w:suppressAutoHyphens w:val="0"/>
        <w:spacing w:line="240" w:lineRule="auto"/>
      </w:pPr>
      <w:r w:rsidRPr="002C1363">
        <w:t>Женева, 19−22 февраля 2019 года</w:t>
      </w:r>
    </w:p>
    <w:p w:rsidR="002C1363" w:rsidRPr="002C1363" w:rsidRDefault="002C1363" w:rsidP="002C1363">
      <w:pPr>
        <w:suppressAutoHyphens w:val="0"/>
        <w:spacing w:line="240" w:lineRule="auto"/>
      </w:pPr>
      <w:r w:rsidRPr="002C1363">
        <w:t>Пункт 5 f) предварительной повестки дня</w:t>
      </w:r>
    </w:p>
    <w:p w:rsidR="002C1363" w:rsidRPr="002C1363" w:rsidRDefault="002C1363" w:rsidP="002C1363">
      <w:pPr>
        <w:suppressAutoHyphens w:val="0"/>
        <w:spacing w:line="240" w:lineRule="auto"/>
        <w:rPr>
          <w:b/>
          <w:bCs/>
        </w:rPr>
      </w:pPr>
      <w:r w:rsidRPr="002C1363">
        <w:rPr>
          <w:b/>
          <w:bCs/>
        </w:rPr>
        <w:t xml:space="preserve">Стратегические вопросы, связанные </w:t>
      </w:r>
      <w:r>
        <w:rPr>
          <w:b/>
          <w:bCs/>
        </w:rPr>
        <w:br/>
      </w:r>
      <w:r w:rsidRPr="002C1363">
        <w:rPr>
          <w:b/>
          <w:bCs/>
        </w:rPr>
        <w:t xml:space="preserve">с разными видами транспорта </w:t>
      </w:r>
      <w:r>
        <w:rPr>
          <w:b/>
          <w:bCs/>
        </w:rPr>
        <w:br/>
      </w:r>
      <w:r w:rsidRPr="002C1363">
        <w:rPr>
          <w:b/>
          <w:bCs/>
        </w:rPr>
        <w:t>и тематическими направлениями:</w:t>
      </w:r>
    </w:p>
    <w:p w:rsidR="002C1363" w:rsidRPr="002C1363" w:rsidRDefault="002C1363" w:rsidP="002C1363">
      <w:pPr>
        <w:suppressAutoHyphens w:val="0"/>
        <w:spacing w:line="240" w:lineRule="auto"/>
        <w:rPr>
          <w:b/>
          <w:bCs/>
        </w:rPr>
      </w:pPr>
      <w:r w:rsidRPr="002C1363">
        <w:rPr>
          <w:b/>
          <w:bCs/>
        </w:rPr>
        <w:t>Интермодальные перевозки и логистика</w:t>
      </w:r>
    </w:p>
    <w:p w:rsidR="002C1363" w:rsidRPr="002C1363" w:rsidRDefault="002C1363" w:rsidP="002C1363">
      <w:pPr>
        <w:pStyle w:val="HChGR"/>
      </w:pPr>
      <w:r w:rsidRPr="002C1363">
        <w:tab/>
      </w:r>
      <w:r w:rsidRPr="002C1363">
        <w:tab/>
        <w:t>Круг ведения Группы экспертов ЕЭК по Кодексу практики ИМО/</w:t>
      </w:r>
      <w:r>
        <w:t>МОТ/ЕЭК ООН по укладке грузов в </w:t>
      </w:r>
      <w:r w:rsidRPr="002C1363">
        <w:t>грузовые транспортные единицы (Кодекс ГТЕ)</w:t>
      </w:r>
    </w:p>
    <w:p w:rsidR="002C1363" w:rsidRPr="002C1363" w:rsidRDefault="002C1363" w:rsidP="002C1363">
      <w:pPr>
        <w:pStyle w:val="H1GR"/>
      </w:pPr>
      <w:r w:rsidRPr="002C1363">
        <w:tab/>
      </w:r>
      <w:r w:rsidRPr="002C1363">
        <w:tab/>
        <w:t>Записка секретариата</w:t>
      </w:r>
    </w:p>
    <w:p w:rsidR="002C1363" w:rsidRPr="002C1363" w:rsidRDefault="002C1363" w:rsidP="002C1363">
      <w:pPr>
        <w:pStyle w:val="HChGR"/>
      </w:pPr>
      <w:r w:rsidRPr="002C1363">
        <w:tab/>
        <w:t>I.</w:t>
      </w:r>
      <w:r w:rsidRPr="002C1363">
        <w:tab/>
        <w:t>Круг вопросов и ожидаемые результаты</w:t>
      </w:r>
    </w:p>
    <w:p w:rsidR="002C1363" w:rsidRPr="002C1363" w:rsidRDefault="002C1363" w:rsidP="002C1363">
      <w:pPr>
        <w:pStyle w:val="SingleTxtGR"/>
      </w:pPr>
      <w:r w:rsidRPr="002C1363">
        <w:t>1.</w:t>
      </w:r>
      <w:r w:rsidRPr="002C1363">
        <w:tab/>
        <w:t xml:space="preserve">В соответствии с решением Комитета по внутреннему транспорту (ECE/TRANS/274, пункт 71), принятым на его сессии </w:t>
      </w:r>
      <w:r>
        <w:t>20–</w:t>
      </w:r>
      <w:r w:rsidRPr="002C1363">
        <w:t>23 февраля 2018 года, а также нынешним вариантом Кодекса практики по укладке грузов в грузовые транспортные единицы, подготовленным ИМО/МОТ/ЕЭК ООН в 2014 году, Группа в течение срока действия своего мандата сосредоточит свою работу на следующих вопросах:</w:t>
      </w:r>
    </w:p>
    <w:p w:rsidR="002C1363" w:rsidRPr="002C1363" w:rsidRDefault="002C1363" w:rsidP="002C1363">
      <w:pPr>
        <w:pStyle w:val="SingleTxtGR"/>
      </w:pPr>
      <w:r>
        <w:tab/>
      </w:r>
      <w:r w:rsidRPr="002C1363">
        <w:t>a)</w:t>
      </w:r>
      <w:r w:rsidRPr="002C1363">
        <w:tab/>
        <w:t>расширение положений Кодекса ГТЕ по необходимым техническим требованиям (например, перевозке контейнеров по железной дороге), с тем чтобы по возможности обеспечить завершение выработки этих требований;</w:t>
      </w:r>
    </w:p>
    <w:p w:rsidR="002C1363" w:rsidRPr="002C1363" w:rsidRDefault="002C1363" w:rsidP="002C1363">
      <w:pPr>
        <w:pStyle w:val="SingleTxtGR"/>
      </w:pPr>
      <w:r>
        <w:tab/>
      </w:r>
      <w:r w:rsidRPr="002C1363">
        <w:t>b)</w:t>
      </w:r>
      <w:r w:rsidRPr="002C1363">
        <w:tab/>
        <w:t>изучение всех возможных вариантов, определение и анализ наиболее эффективного и подходящего из них, с тем чтобы подготовить одну электронную версию Кодекса ГТЕ, которая будет служить:</w:t>
      </w:r>
    </w:p>
    <w:p w:rsidR="002C1363" w:rsidRPr="002C1363" w:rsidRDefault="002C1363" w:rsidP="002C1363">
      <w:pPr>
        <w:pStyle w:val="SingleTxtGR"/>
        <w:ind w:left="1701" w:hanging="567"/>
      </w:pPr>
      <w:r>
        <w:tab/>
        <w:t>i)</w:t>
      </w:r>
      <w:r>
        <w:tab/>
        <w:t>источником/</w:t>
      </w:r>
      <w:r w:rsidRPr="002C1363">
        <w:t>библиотекой различных тематических и</w:t>
      </w:r>
      <w:r>
        <w:t>сследований (передовая практика</w:t>
      </w:r>
      <w:r w:rsidRPr="002C1363">
        <w:t>/инциденты);</w:t>
      </w:r>
    </w:p>
    <w:p w:rsidR="002C1363" w:rsidRPr="002C1363" w:rsidRDefault="002C1363" w:rsidP="002C1363">
      <w:pPr>
        <w:pStyle w:val="SingleTxtGR"/>
        <w:ind w:left="1701" w:hanging="567"/>
      </w:pPr>
      <w:r>
        <w:tab/>
      </w:r>
      <w:r w:rsidRPr="002C1363">
        <w:t>ii)</w:t>
      </w:r>
      <w:r w:rsidRPr="002C1363">
        <w:tab/>
        <w:t>источником статистической информации/данных не только о применении Кодекса, но также о причинах того, почему этот Кодекс используется, и о том, кем он используется;</w:t>
      </w:r>
    </w:p>
    <w:p w:rsidR="002C1363" w:rsidRPr="002C1363" w:rsidRDefault="002C1363" w:rsidP="002C1363">
      <w:pPr>
        <w:pStyle w:val="SingleTxtGR"/>
        <w:ind w:left="1701" w:hanging="567"/>
      </w:pPr>
      <w:r>
        <w:tab/>
      </w:r>
      <w:r w:rsidRPr="002C1363">
        <w:t>iii)</w:t>
      </w:r>
      <w:r w:rsidRPr="002C1363">
        <w:tab/>
        <w:t>механизмом, который автоматически обновляет технические требования на основе</w:t>
      </w:r>
      <w:r>
        <w:t xml:space="preserve"> применяемой передовой практики/</w:t>
      </w:r>
      <w:r w:rsidRPr="002C1363">
        <w:t xml:space="preserve">предлагает такие обновления; </w:t>
      </w:r>
    </w:p>
    <w:p w:rsidR="002C1363" w:rsidRPr="002C1363" w:rsidRDefault="002C1363" w:rsidP="002C1363">
      <w:pPr>
        <w:pStyle w:val="SingleTxtGR"/>
        <w:ind w:left="1701" w:hanging="567"/>
        <w:rPr>
          <w:b/>
        </w:rPr>
      </w:pPr>
      <w:r>
        <w:tab/>
      </w:r>
      <w:r w:rsidRPr="002C1363">
        <w:t>iv)</w:t>
      </w:r>
      <w:r w:rsidRPr="002C1363">
        <w:tab/>
        <w:t>повседневным инструментом для рынка (т.</w:t>
      </w:r>
      <w:r>
        <w:rPr>
          <w:lang w:val="en-US"/>
        </w:rPr>
        <w:t> </w:t>
      </w:r>
      <w:r w:rsidRPr="002C1363">
        <w:t>е. приложение для смартфонов).</w:t>
      </w:r>
    </w:p>
    <w:p w:rsidR="002C1363" w:rsidRPr="002C1363" w:rsidRDefault="002C1363" w:rsidP="002C1363">
      <w:pPr>
        <w:pStyle w:val="HChGR"/>
      </w:pPr>
      <w:r w:rsidRPr="002C1363">
        <w:lastRenderedPageBreak/>
        <w:tab/>
        <w:t>II.</w:t>
      </w:r>
      <w:r w:rsidRPr="002C1363">
        <w:tab/>
        <w:t>Методы работы</w:t>
      </w:r>
    </w:p>
    <w:p w:rsidR="002C1363" w:rsidRPr="002C1363" w:rsidRDefault="002C1363" w:rsidP="002C1363">
      <w:pPr>
        <w:pStyle w:val="SingleTxtGR"/>
      </w:pPr>
      <w:r w:rsidRPr="002C1363">
        <w:t>2.</w:t>
      </w:r>
      <w:r w:rsidRPr="002C1363">
        <w:tab/>
        <w:t xml:space="preserve">Группа экспертов создается и функционирует в соответствии с Руководящими принципами создания и функционирования групп специалистов в рамках ЕЭК, утвержденными Исполнительным комитетом ЕЭК 31 марта 2010 года (ECE/EX/2/Rev.1). На своем первом заседании Группа экспертов утвердит план работы, в котором четко устанавливаются цели и виды деятельности, включая сроки их выполнения. </w:t>
      </w:r>
    </w:p>
    <w:p w:rsidR="002C1363" w:rsidRPr="002C1363" w:rsidRDefault="002C1363" w:rsidP="002C1363">
      <w:pPr>
        <w:pStyle w:val="SingleTxtGR"/>
      </w:pPr>
      <w:bookmarkStart w:id="0" w:name="_Hlk531774974"/>
      <w:r w:rsidRPr="002C1363">
        <w:t>3.</w:t>
      </w:r>
      <w:r w:rsidRPr="002C1363">
        <w:tab/>
        <w:t>Группе следует начать выполнять свои задачи только тогда, когда два других партнера в составе консорциума, т.</w:t>
      </w:r>
      <w:r>
        <w:rPr>
          <w:lang w:val="en-US"/>
        </w:rPr>
        <w:t> </w:t>
      </w:r>
      <w:bookmarkStart w:id="1" w:name="_GoBack"/>
      <w:bookmarkEnd w:id="1"/>
      <w:r w:rsidRPr="002C1363">
        <w:t>е. ИМО и МОТ, также утвердят ее круг ведения в соответствии со своими административными процедурами. Предварительный график работы Группы может быть следующим: она проведет два совещания в течение первого года, по крайней мере три совещания в течение второго года и по крайней мере два совещания в течение третьего года во Дворце Наций в Женеве, перед тем как завершит свою деятельность путем представления своего окончательного доклада WP.24 на ее сессии, которая будет проведена в течение третьего года осуществления проекта, а также соответствующим органам МОТ и ИМО. Этот доклад должен также содержать предложения по процедурам мониторинга и последующей деятельности.</w:t>
      </w:r>
      <w:bookmarkEnd w:id="0"/>
    </w:p>
    <w:p w:rsidR="002C1363" w:rsidRPr="002C1363" w:rsidRDefault="002C1363" w:rsidP="002C1363">
      <w:pPr>
        <w:pStyle w:val="SingleTxtGR"/>
      </w:pPr>
      <w:r w:rsidRPr="002C1363">
        <w:t>4.</w:t>
      </w:r>
      <w:r w:rsidRPr="002C1363">
        <w:tab/>
        <w:t>Перевод документов и синхронный перевод для сессий Группы, проводимых во Дворце Наций в Женеве, на английский, французский и русский языки будут осуществляться силами служб ООН (ЮНОГ).</w:t>
      </w:r>
    </w:p>
    <w:p w:rsidR="002C1363" w:rsidRPr="002C1363" w:rsidRDefault="002C1363" w:rsidP="002C1363">
      <w:pPr>
        <w:pStyle w:val="SingleTxtGR"/>
      </w:pPr>
      <w:r w:rsidRPr="002C1363">
        <w:t>5.</w:t>
      </w:r>
      <w:r w:rsidRPr="002C1363">
        <w:tab/>
        <w:t xml:space="preserve">Участие в работе Группы экспертов открыто </w:t>
      </w:r>
      <w:r>
        <w:t>для всех заинтересованных стран </w:t>
      </w:r>
      <w:r w:rsidRPr="002C1363">
        <w:t>− членов Организации Объединенных Наций и экспертов. В ее работе предлагается принять участие представителям заинтересованных межправительственных и неправительственных организаций, а также заинтересованных железнодорожных, грузовых и транспортно-экспедиторских компаний, которые могут представлять свои экспертные мнения в соответствии с правилами и существующей практикой Организации Объединенных Наций.</w:t>
      </w:r>
    </w:p>
    <w:p w:rsidR="002C1363" w:rsidRPr="002C1363" w:rsidRDefault="002C1363" w:rsidP="002C1363">
      <w:pPr>
        <w:pStyle w:val="HChGR"/>
      </w:pPr>
      <w:r w:rsidRPr="002C1363">
        <w:tab/>
        <w:t>III.</w:t>
      </w:r>
      <w:r w:rsidRPr="002C1363">
        <w:tab/>
        <w:t>Секретариат</w:t>
      </w:r>
    </w:p>
    <w:p w:rsidR="002C1363" w:rsidRPr="002C1363" w:rsidRDefault="002C1363" w:rsidP="002C1363">
      <w:pPr>
        <w:pStyle w:val="SingleTxtGR"/>
      </w:pPr>
      <w:r w:rsidRPr="002C1363">
        <w:t>6.</w:t>
      </w:r>
      <w:r w:rsidRPr="002C1363">
        <w:tab/>
        <w:t>ЕЭК предоставляет услуги секретариата для работы Группы экспертов и обеспечивает тесное сотрудничество со всеми заинтересованными сторонами, включая Международную морскую организацию (ИМО), Международную организацию труда (МОТ), Европейскую комиссию и соответствующие региональные комиссии Организации Объединенных Наций.</w:t>
      </w:r>
    </w:p>
    <w:p w:rsidR="00E12C5F" w:rsidRPr="002C1363" w:rsidRDefault="002C1363" w:rsidP="002C136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C1363" w:rsidSect="002C13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26" w:rsidRPr="00A312BC" w:rsidRDefault="00DC7826" w:rsidP="00A312BC"/>
  </w:endnote>
  <w:endnote w:type="continuationSeparator" w:id="0">
    <w:p w:rsidR="00DC7826" w:rsidRPr="00A312BC" w:rsidRDefault="00DC78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3" w:rsidRPr="002C1363" w:rsidRDefault="002C1363">
    <w:pPr>
      <w:pStyle w:val="a8"/>
    </w:pPr>
    <w:r w:rsidRPr="002C1363">
      <w:rPr>
        <w:b/>
        <w:sz w:val="18"/>
      </w:rPr>
      <w:fldChar w:fldCharType="begin"/>
    </w:r>
    <w:r w:rsidRPr="002C1363">
      <w:rPr>
        <w:b/>
        <w:sz w:val="18"/>
      </w:rPr>
      <w:instrText xml:space="preserve"> PAGE  \* MERGEFORMAT </w:instrText>
    </w:r>
    <w:r w:rsidRPr="002C1363">
      <w:rPr>
        <w:b/>
        <w:sz w:val="18"/>
      </w:rPr>
      <w:fldChar w:fldCharType="separate"/>
    </w:r>
    <w:r w:rsidR="004F6027">
      <w:rPr>
        <w:b/>
        <w:noProof/>
        <w:sz w:val="18"/>
      </w:rPr>
      <w:t>2</w:t>
    </w:r>
    <w:r w:rsidRPr="002C1363">
      <w:rPr>
        <w:b/>
        <w:sz w:val="18"/>
      </w:rPr>
      <w:fldChar w:fldCharType="end"/>
    </w:r>
    <w:r>
      <w:rPr>
        <w:b/>
        <w:sz w:val="18"/>
      </w:rPr>
      <w:tab/>
    </w:r>
    <w:r>
      <w:t>GE.18-20558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3" w:rsidRPr="002C1363" w:rsidRDefault="002C1363" w:rsidP="002C1363">
    <w:pPr>
      <w:pStyle w:val="a8"/>
      <w:tabs>
        <w:tab w:val="clear" w:pos="9639"/>
        <w:tab w:val="right" w:pos="9638"/>
      </w:tabs>
      <w:rPr>
        <w:b/>
        <w:sz w:val="18"/>
      </w:rPr>
    </w:pPr>
    <w:r>
      <w:t>GE.18-20558</w:t>
    </w:r>
    <w:r>
      <w:tab/>
    </w:r>
    <w:r w:rsidRPr="002C1363">
      <w:rPr>
        <w:b/>
        <w:sz w:val="18"/>
      </w:rPr>
      <w:fldChar w:fldCharType="begin"/>
    </w:r>
    <w:r w:rsidRPr="002C1363">
      <w:rPr>
        <w:b/>
        <w:sz w:val="18"/>
      </w:rPr>
      <w:instrText xml:space="preserve"> PAGE  \* MERGEFORMAT </w:instrText>
    </w:r>
    <w:r w:rsidRPr="002C136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C13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C1363" w:rsidRDefault="002C1363" w:rsidP="002C136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18-20558  (R)</w:t>
    </w:r>
    <w:r>
      <w:rPr>
        <w:lang w:val="en-US"/>
      </w:rPr>
      <w:t xml:space="preserve">  281218  281218</w:t>
    </w:r>
    <w:r>
      <w:br/>
    </w:r>
    <w:r w:rsidRPr="002C1363">
      <w:rPr>
        <w:rFonts w:ascii="C39T30Lfz" w:hAnsi="C39T30Lfz"/>
        <w:kern w:val="14"/>
        <w:sz w:val="56"/>
      </w:rPr>
      <w:t></w:t>
    </w:r>
    <w:r w:rsidRPr="002C1363">
      <w:rPr>
        <w:rFonts w:ascii="C39T30Lfz" w:hAnsi="C39T30Lfz"/>
        <w:kern w:val="14"/>
        <w:sz w:val="56"/>
      </w:rPr>
      <w:t></w:t>
    </w:r>
    <w:r w:rsidRPr="002C1363">
      <w:rPr>
        <w:rFonts w:ascii="C39T30Lfz" w:hAnsi="C39T30Lfz"/>
        <w:kern w:val="14"/>
        <w:sz w:val="56"/>
      </w:rPr>
      <w:t></w:t>
    </w:r>
    <w:r w:rsidRPr="002C1363">
      <w:rPr>
        <w:rFonts w:ascii="C39T30Lfz" w:hAnsi="C39T30Lfz"/>
        <w:kern w:val="14"/>
        <w:sz w:val="56"/>
      </w:rPr>
      <w:t></w:t>
    </w:r>
    <w:r w:rsidRPr="002C1363">
      <w:rPr>
        <w:rFonts w:ascii="C39T30Lfz" w:hAnsi="C39T30Lfz"/>
        <w:kern w:val="14"/>
        <w:sz w:val="56"/>
      </w:rPr>
      <w:t></w:t>
    </w:r>
    <w:r w:rsidRPr="002C1363">
      <w:rPr>
        <w:rFonts w:ascii="C39T30Lfz" w:hAnsi="C39T30Lfz"/>
        <w:kern w:val="14"/>
        <w:sz w:val="56"/>
      </w:rPr>
      <w:t></w:t>
    </w:r>
    <w:r w:rsidRPr="002C1363">
      <w:rPr>
        <w:rFonts w:ascii="C39T30Lfz" w:hAnsi="C39T30Lfz"/>
        <w:kern w:val="14"/>
        <w:sz w:val="56"/>
      </w:rPr>
      <w:t></w:t>
    </w:r>
    <w:r w:rsidRPr="002C1363">
      <w:rPr>
        <w:rFonts w:ascii="C39T30Lfz" w:hAnsi="C39T30Lfz"/>
        <w:kern w:val="14"/>
        <w:sz w:val="56"/>
      </w:rPr>
      <w:t></w:t>
    </w:r>
    <w:r w:rsidRPr="002C136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26" w:rsidRPr="001075E9" w:rsidRDefault="00DC78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826" w:rsidRDefault="00DC78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3" w:rsidRPr="002C1363" w:rsidRDefault="002C136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F6027">
      <w:t>ECE</w:t>
    </w:r>
    <w:proofErr w:type="spellEnd"/>
    <w:r w:rsidR="004F6027">
      <w:t>/TRANS/2019/14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63" w:rsidRPr="002C1363" w:rsidRDefault="002C1363" w:rsidP="002C136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F6027">
      <w:t>ECE</w:t>
    </w:r>
    <w:proofErr w:type="spellEnd"/>
    <w:r w:rsidR="004F6027">
      <w:t>/TRANS/2019/14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2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4C63"/>
    <w:rsid w:val="002B74B1"/>
    <w:rsid w:val="002C0E18"/>
    <w:rsid w:val="002C136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602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C782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F61657"/>
  <w15:docId w15:val="{17DA9073-923F-43E7-895D-24320F6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521</Words>
  <Characters>3552</Characters>
  <Application>Microsoft Office Word</Application>
  <DocSecurity>0</DocSecurity>
  <Lines>78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ECE/TRANS/2019/14</vt:lpstr>
      <vt:lpstr>A/</vt:lpstr>
      <vt:lpstr>A/</vt:lpstr>
    </vt:vector>
  </TitlesOfParts>
  <Company>DCM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ECE/TRANS/2019/14</dc:title>
  <dc:subject/>
  <dc:creator>Anna PETELINA</dc:creator>
  <cp:keywords/>
  <cp:lastModifiedBy>Anna Petelina</cp:lastModifiedBy>
  <cp:revision>3</cp:revision>
  <cp:lastPrinted>2018-12-28T10:28:00Z</cp:lastPrinted>
  <dcterms:created xsi:type="dcterms:W3CDTF">2018-12-28T10:28:00Z</dcterms:created>
  <dcterms:modified xsi:type="dcterms:W3CDTF">2018-12-28T10:28:00Z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