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4439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44396" w:rsidP="00E44396">
            <w:pPr>
              <w:jc w:val="right"/>
            </w:pPr>
            <w:r w:rsidRPr="00E44396">
              <w:rPr>
                <w:sz w:val="40"/>
              </w:rPr>
              <w:t>ECE</w:t>
            </w:r>
            <w:r>
              <w:t>/TRANS/2019/23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44396" w:rsidP="00C97039">
            <w:pPr>
              <w:spacing w:before="240"/>
            </w:pPr>
            <w:r>
              <w:t>Distr. générale</w:t>
            </w:r>
          </w:p>
          <w:p w:rsidR="00E44396" w:rsidRDefault="00E44396" w:rsidP="00E44396">
            <w:pPr>
              <w:spacing w:line="240" w:lineRule="exact"/>
            </w:pPr>
            <w:r>
              <w:t>7 décembre 2018</w:t>
            </w:r>
          </w:p>
          <w:p w:rsidR="00E44396" w:rsidRDefault="00E44396" w:rsidP="00E44396">
            <w:pPr>
              <w:spacing w:line="240" w:lineRule="exact"/>
            </w:pPr>
            <w:r>
              <w:t>Français</w:t>
            </w:r>
          </w:p>
          <w:p w:rsidR="00E44396" w:rsidRPr="00DB58B5" w:rsidRDefault="00E44396" w:rsidP="00E4439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73021" w:rsidRPr="00954D34" w:rsidRDefault="00973021" w:rsidP="00954D34">
      <w:pPr>
        <w:spacing w:before="120"/>
        <w:rPr>
          <w:b/>
          <w:bCs/>
        </w:rPr>
      </w:pPr>
      <w:r w:rsidRPr="00954D34">
        <w:rPr>
          <w:b/>
          <w:bCs/>
        </w:rPr>
        <w:t>Quatre-vingt-unième session</w:t>
      </w:r>
    </w:p>
    <w:p w:rsidR="00973021" w:rsidRPr="00954D34" w:rsidRDefault="00973021" w:rsidP="00973021">
      <w:r w:rsidRPr="00954D34">
        <w:t>Genève, 19-22 février</w:t>
      </w:r>
      <w:r w:rsidR="00954D34">
        <w:t xml:space="preserve"> </w:t>
      </w:r>
      <w:r w:rsidRPr="00954D34">
        <w:t>2019</w:t>
      </w:r>
    </w:p>
    <w:p w:rsidR="00973021" w:rsidRPr="00954D34" w:rsidRDefault="00973021" w:rsidP="00973021">
      <w:r w:rsidRPr="00954D34">
        <w:t>Point 11 de l’ordre du jour provisoire</w:t>
      </w:r>
    </w:p>
    <w:p w:rsidR="00973021" w:rsidRPr="00954D34" w:rsidRDefault="00973021" w:rsidP="00973021">
      <w:pPr>
        <w:rPr>
          <w:b/>
          <w:bCs/>
        </w:rPr>
      </w:pPr>
      <w:r w:rsidRPr="00954D34">
        <w:rPr>
          <w:b/>
          <w:bCs/>
        </w:rPr>
        <w:t>Liste de publications pour 2020</w:t>
      </w:r>
    </w:p>
    <w:p w:rsidR="00973021" w:rsidRPr="00D02DD3" w:rsidRDefault="00973021" w:rsidP="00954D34">
      <w:pPr>
        <w:pStyle w:val="HChG"/>
      </w:pPr>
      <w:r w:rsidRPr="00D02DD3">
        <w:tab/>
      </w:r>
      <w:r w:rsidRPr="00D02DD3">
        <w:tab/>
      </w:r>
      <w:r>
        <w:t xml:space="preserve">Programme </w:t>
      </w:r>
      <w:r w:rsidRPr="00D02DD3">
        <w:t>de publications pour 20</w:t>
      </w:r>
      <w:r>
        <w:t>20</w:t>
      </w:r>
    </w:p>
    <w:p w:rsidR="00973021" w:rsidRDefault="00973021" w:rsidP="00954D34">
      <w:pPr>
        <w:pStyle w:val="H1G"/>
      </w:pPr>
      <w:r w:rsidRPr="00D02DD3">
        <w:tab/>
      </w:r>
      <w:r w:rsidRPr="00D02DD3">
        <w:tab/>
        <w:t>Note du secrétariat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954D34">
        <w:trPr>
          <w:jc w:val="center"/>
        </w:trPr>
        <w:tc>
          <w:tcPr>
            <w:tcW w:w="9637" w:type="dxa"/>
            <w:shd w:val="clear" w:color="auto" w:fill="auto"/>
          </w:tcPr>
          <w:p w:rsidR="00954D34" w:rsidRDefault="00954D34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954D34">
        <w:trPr>
          <w:jc w:val="center"/>
        </w:trPr>
        <w:tc>
          <w:tcPr>
            <w:tcW w:w="9637" w:type="dxa"/>
            <w:shd w:val="clear" w:color="auto" w:fill="auto"/>
          </w:tcPr>
          <w:p w:rsidR="00954D34" w:rsidRDefault="00954D34" w:rsidP="00954D34">
            <w:pPr>
              <w:pStyle w:val="SingleTxtG"/>
              <w:ind w:firstLine="567"/>
            </w:pPr>
            <w:r w:rsidRPr="00A73800">
              <w:t>Le Comité des transports intérieurs aura l</w:t>
            </w:r>
            <w:r>
              <w:t>’</w:t>
            </w:r>
            <w:r w:rsidRPr="00A73800">
              <w:t>occasion d</w:t>
            </w:r>
            <w:r>
              <w:t>’</w:t>
            </w:r>
            <w:r w:rsidRPr="00A73800">
              <w:t xml:space="preserve">examiner la liste des publications pour 2020, conformément aux instructions reçues du Comité des publications </w:t>
            </w:r>
            <w:r>
              <w:t xml:space="preserve">de l’Organisation des </w:t>
            </w:r>
            <w:r w:rsidRPr="00A73800">
              <w:t xml:space="preserve">Nations Unies </w:t>
            </w:r>
            <w:r>
              <w:t>concernant</w:t>
            </w:r>
            <w:r w:rsidRPr="00A73800">
              <w:t xml:space="preserve"> </w:t>
            </w:r>
            <w:r>
              <w:t>l’établissement</w:t>
            </w:r>
            <w:r w:rsidRPr="00A73800">
              <w:t xml:space="preserve"> du Programme des publications de la CEE pour le nouvel exercice budgétaire 2020. Le Comité souhaitera peut-être </w:t>
            </w:r>
            <w:r>
              <w:rPr>
                <w:b/>
              </w:rPr>
              <w:t>appuyer</w:t>
            </w:r>
            <w:r>
              <w:t xml:space="preserve"> les</w:t>
            </w:r>
            <w:r w:rsidRPr="00A73800">
              <w:t xml:space="preserve"> publications</w:t>
            </w:r>
            <w:r>
              <w:t xml:space="preserve"> qui</w:t>
            </w:r>
            <w:r w:rsidRPr="00A73800">
              <w:t xml:space="preserve"> figur</w:t>
            </w:r>
            <w:r>
              <w:t>e</w:t>
            </w:r>
            <w:r w:rsidRPr="00A73800">
              <w:t>nt sur la présente liste</w:t>
            </w:r>
            <w:r>
              <w:t>.</w:t>
            </w:r>
          </w:p>
        </w:tc>
      </w:tr>
      <w:tr w:rsidR="00954D34">
        <w:trPr>
          <w:jc w:val="center"/>
        </w:trPr>
        <w:tc>
          <w:tcPr>
            <w:tcW w:w="9637" w:type="dxa"/>
            <w:shd w:val="clear" w:color="auto" w:fill="auto"/>
          </w:tcPr>
          <w:p w:rsidR="00954D34" w:rsidRDefault="00954D34"/>
        </w:tc>
      </w:tr>
    </w:tbl>
    <w:p w:rsidR="00973021" w:rsidRDefault="00973021" w:rsidP="00973021"/>
    <w:p w:rsidR="00973021" w:rsidRPr="00D02DD3" w:rsidRDefault="00973021" w:rsidP="00082575">
      <w:pPr>
        <w:pStyle w:val="HChG"/>
      </w:pPr>
      <w:r>
        <w:br w:type="page"/>
      </w:r>
      <w:r w:rsidRPr="00D02DD3">
        <w:lastRenderedPageBreak/>
        <w:tab/>
      </w:r>
      <w:r w:rsidR="00082575">
        <w:tab/>
      </w:r>
      <w:r>
        <w:t>P</w:t>
      </w:r>
      <w:r w:rsidRPr="00D02DD3">
        <w:t xml:space="preserve">ublications proposées pour </w:t>
      </w:r>
      <w:r w:rsidRPr="002E33D8">
        <w:t>20</w:t>
      </w:r>
      <w:r>
        <w:t>20</w:t>
      </w:r>
    </w:p>
    <w:p w:rsidR="00973021" w:rsidRPr="00D02DD3" w:rsidRDefault="00973021" w:rsidP="00082575">
      <w:pPr>
        <w:pStyle w:val="H1G"/>
      </w:pPr>
      <w:r w:rsidRPr="00D02DD3">
        <w:tab/>
        <w:t>A.</w:t>
      </w:r>
      <w:r w:rsidRPr="00D02DD3">
        <w:tab/>
        <w:t>Publications en série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3528"/>
        <w:gridCol w:w="1385"/>
        <w:gridCol w:w="1155"/>
        <w:gridCol w:w="973"/>
        <w:gridCol w:w="1071"/>
      </w:tblGrid>
      <w:tr w:rsidR="00082575" w:rsidRPr="00082575" w:rsidTr="00082575">
        <w:trPr>
          <w:cantSplit/>
          <w:tblHeader/>
        </w:trPr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3021" w:rsidRPr="00082575" w:rsidRDefault="00973021" w:rsidP="0008257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82575">
              <w:rPr>
                <w:i/>
                <w:sz w:val="16"/>
              </w:rPr>
              <w:t>N</w:t>
            </w:r>
            <w:r w:rsidR="009C673A" w:rsidRPr="009C673A">
              <w:rPr>
                <w:i/>
                <w:sz w:val="16"/>
                <w:vertAlign w:val="superscript"/>
              </w:rPr>
              <w:t>o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3021" w:rsidRPr="00082575" w:rsidRDefault="00973021" w:rsidP="0008257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82575">
              <w:rPr>
                <w:i/>
                <w:sz w:val="16"/>
              </w:rPr>
              <w:t>Titre de la publication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3021" w:rsidRPr="00082575" w:rsidRDefault="00973021" w:rsidP="0008257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82575">
              <w:rPr>
                <w:i/>
                <w:sz w:val="16"/>
              </w:rPr>
              <w:t xml:space="preserve">Version papier </w:t>
            </w:r>
            <w:r w:rsidRPr="00082575">
              <w:rPr>
                <w:i/>
                <w:sz w:val="16"/>
              </w:rPr>
              <w:br/>
              <w:t>et/ou électronique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3021" w:rsidRPr="00082575" w:rsidRDefault="00973021" w:rsidP="00082575">
            <w:pPr>
              <w:spacing w:before="80" w:after="80" w:line="200" w:lineRule="exact"/>
              <w:ind w:right="170"/>
              <w:jc w:val="right"/>
              <w:rPr>
                <w:i/>
                <w:sz w:val="16"/>
              </w:rPr>
            </w:pPr>
            <w:r w:rsidRPr="00082575">
              <w:rPr>
                <w:i/>
                <w:sz w:val="16"/>
              </w:rPr>
              <w:t xml:space="preserve">Nombre </w:t>
            </w:r>
            <w:r w:rsidRPr="00082575">
              <w:rPr>
                <w:i/>
                <w:sz w:val="16"/>
              </w:rPr>
              <w:br/>
              <w:t>de pages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3021" w:rsidRPr="00082575" w:rsidRDefault="00973021" w:rsidP="0008257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82575">
              <w:rPr>
                <w:i/>
                <w:sz w:val="16"/>
              </w:rPr>
              <w:t>Langue(s) originale(s)</w:t>
            </w:r>
            <w:r w:rsidRPr="0008257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3021" w:rsidRPr="00082575" w:rsidRDefault="00973021" w:rsidP="0008257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82575">
              <w:rPr>
                <w:i/>
                <w:sz w:val="16"/>
              </w:rPr>
              <w:t>Traduction(s)</w:t>
            </w:r>
            <w:r w:rsidRPr="00082575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82575" w:rsidRPr="00082575" w:rsidTr="00082575">
        <w:trPr>
          <w:cantSplit/>
          <w:trHeight w:hRule="exact" w:val="113"/>
          <w:tblHeader/>
        </w:trPr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</w:tcPr>
          <w:p w:rsidR="00082575" w:rsidRPr="00082575" w:rsidRDefault="00082575" w:rsidP="00082575">
            <w:pPr>
              <w:spacing w:before="40" w:after="120"/>
              <w:ind w:right="113"/>
            </w:pPr>
          </w:p>
        </w:tc>
        <w:tc>
          <w:tcPr>
            <w:tcW w:w="3528" w:type="dxa"/>
            <w:tcBorders>
              <w:top w:val="single" w:sz="12" w:space="0" w:color="auto"/>
            </w:tcBorders>
            <w:shd w:val="clear" w:color="auto" w:fill="auto"/>
          </w:tcPr>
          <w:p w:rsidR="00082575" w:rsidRPr="00082575" w:rsidRDefault="00082575" w:rsidP="00082575">
            <w:pPr>
              <w:spacing w:before="40" w:after="120"/>
              <w:ind w:right="113"/>
            </w:pPr>
          </w:p>
        </w:tc>
        <w:tc>
          <w:tcPr>
            <w:tcW w:w="1385" w:type="dxa"/>
            <w:tcBorders>
              <w:top w:val="single" w:sz="12" w:space="0" w:color="auto"/>
            </w:tcBorders>
            <w:shd w:val="clear" w:color="auto" w:fill="auto"/>
          </w:tcPr>
          <w:p w:rsidR="00082575" w:rsidRPr="00082575" w:rsidRDefault="00082575" w:rsidP="00082575">
            <w:pPr>
              <w:spacing w:before="40" w:after="120"/>
              <w:ind w:right="113"/>
            </w:pP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</w:tcPr>
          <w:p w:rsidR="00082575" w:rsidRPr="00082575" w:rsidRDefault="00082575" w:rsidP="00082575">
            <w:pPr>
              <w:spacing w:before="40" w:after="120"/>
              <w:ind w:right="170"/>
              <w:jc w:val="right"/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82575" w:rsidRPr="00082575" w:rsidRDefault="00082575" w:rsidP="00082575">
            <w:pPr>
              <w:spacing w:before="40" w:after="120"/>
              <w:ind w:right="113"/>
            </w:pPr>
          </w:p>
        </w:tc>
        <w:tc>
          <w:tcPr>
            <w:tcW w:w="1071" w:type="dxa"/>
            <w:tcBorders>
              <w:top w:val="single" w:sz="12" w:space="0" w:color="auto"/>
            </w:tcBorders>
            <w:shd w:val="clear" w:color="auto" w:fill="auto"/>
          </w:tcPr>
          <w:p w:rsidR="00082575" w:rsidRPr="00082575" w:rsidRDefault="00082575" w:rsidP="00082575">
            <w:pPr>
              <w:spacing w:before="40" w:after="120"/>
              <w:ind w:right="113"/>
            </w:pPr>
          </w:p>
        </w:tc>
      </w:tr>
      <w:tr w:rsidR="00082575" w:rsidRPr="00082575" w:rsidTr="00082575">
        <w:trPr>
          <w:cantSplit/>
        </w:trPr>
        <w:tc>
          <w:tcPr>
            <w:tcW w:w="392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1</w:t>
            </w:r>
          </w:p>
        </w:tc>
        <w:tc>
          <w:tcPr>
            <w:tcW w:w="3528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Situation des chemins de fer</w:t>
            </w:r>
          </w:p>
        </w:tc>
        <w:tc>
          <w:tcPr>
            <w:tcW w:w="1385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Versions papier et électronique</w:t>
            </w:r>
          </w:p>
        </w:tc>
        <w:tc>
          <w:tcPr>
            <w:tcW w:w="1155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70"/>
              <w:jc w:val="right"/>
            </w:pPr>
            <w:r w:rsidRPr="00082575">
              <w:t>100</w:t>
            </w:r>
          </w:p>
        </w:tc>
        <w:tc>
          <w:tcPr>
            <w:tcW w:w="973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E</w:t>
            </w:r>
          </w:p>
        </w:tc>
        <w:tc>
          <w:tcPr>
            <w:tcW w:w="1071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F, R</w:t>
            </w:r>
          </w:p>
        </w:tc>
      </w:tr>
      <w:tr w:rsidR="00082575" w:rsidRPr="00082575" w:rsidTr="00082575">
        <w:trPr>
          <w:cantSplit/>
        </w:trPr>
        <w:tc>
          <w:tcPr>
            <w:tcW w:w="392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2</w:t>
            </w:r>
          </w:p>
        </w:tc>
        <w:tc>
          <w:tcPr>
            <w:tcW w:w="3528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Accord européen sur les grandes lignes internationales de chemin de fer (AGC)</w:t>
            </w:r>
          </w:p>
        </w:tc>
        <w:tc>
          <w:tcPr>
            <w:tcW w:w="1385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Versions papier et électronique</w:t>
            </w:r>
          </w:p>
        </w:tc>
        <w:tc>
          <w:tcPr>
            <w:tcW w:w="1155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70"/>
              <w:jc w:val="right"/>
            </w:pPr>
            <w:r w:rsidRPr="00082575">
              <w:t>30</w:t>
            </w:r>
          </w:p>
        </w:tc>
        <w:tc>
          <w:tcPr>
            <w:tcW w:w="973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E, F et R</w:t>
            </w:r>
          </w:p>
        </w:tc>
        <w:tc>
          <w:tcPr>
            <w:tcW w:w="1071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Pas de traductions</w:t>
            </w:r>
          </w:p>
        </w:tc>
      </w:tr>
      <w:tr w:rsidR="00082575" w:rsidRPr="00082575" w:rsidTr="00082575">
        <w:trPr>
          <w:cantSplit/>
        </w:trPr>
        <w:tc>
          <w:tcPr>
            <w:tcW w:w="392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3</w:t>
            </w:r>
          </w:p>
        </w:tc>
        <w:tc>
          <w:tcPr>
            <w:tcW w:w="3528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 xml:space="preserve">Forum mondial de l’harmonisation </w:t>
            </w:r>
            <w:r w:rsidR="00082575">
              <w:br/>
            </w:r>
            <w:r w:rsidRPr="00082575">
              <w:t xml:space="preserve">des Règlements concernant les véhicules (WP.29). Comment il fonctionne </w:t>
            </w:r>
            <w:r w:rsidR="00082575">
              <w:t>− </w:t>
            </w:r>
            <w:r w:rsidRPr="00082575">
              <w:t>Comment y adhérer</w:t>
            </w:r>
          </w:p>
        </w:tc>
        <w:tc>
          <w:tcPr>
            <w:tcW w:w="1385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Versions papier et électronique</w:t>
            </w:r>
          </w:p>
        </w:tc>
        <w:tc>
          <w:tcPr>
            <w:tcW w:w="1155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70"/>
              <w:jc w:val="right"/>
            </w:pPr>
            <w:r w:rsidRPr="00082575">
              <w:t>100</w:t>
            </w:r>
          </w:p>
        </w:tc>
        <w:tc>
          <w:tcPr>
            <w:tcW w:w="973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E</w:t>
            </w:r>
          </w:p>
        </w:tc>
        <w:tc>
          <w:tcPr>
            <w:tcW w:w="1071" w:type="dxa"/>
            <w:shd w:val="clear" w:color="auto" w:fill="auto"/>
          </w:tcPr>
          <w:p w:rsidR="00973021" w:rsidRPr="00082575" w:rsidRDefault="00973021" w:rsidP="009C673A">
            <w:pPr>
              <w:spacing w:before="40" w:after="120"/>
            </w:pPr>
            <w:r w:rsidRPr="00082575">
              <w:t>A, C, F, R, S</w:t>
            </w:r>
          </w:p>
        </w:tc>
      </w:tr>
      <w:tr w:rsidR="00082575" w:rsidRPr="00082575" w:rsidTr="00082575">
        <w:trPr>
          <w:cantSplit/>
        </w:trPr>
        <w:tc>
          <w:tcPr>
            <w:tcW w:w="392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4</w:t>
            </w:r>
          </w:p>
        </w:tc>
        <w:tc>
          <w:tcPr>
            <w:tcW w:w="3528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Bulletin of Transport Statistics</w:t>
            </w:r>
          </w:p>
        </w:tc>
        <w:tc>
          <w:tcPr>
            <w:tcW w:w="1385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Version électronique</w:t>
            </w:r>
          </w:p>
        </w:tc>
        <w:tc>
          <w:tcPr>
            <w:tcW w:w="1155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70"/>
              <w:jc w:val="right"/>
            </w:pPr>
            <w:r w:rsidRPr="00082575">
              <w:t>200</w:t>
            </w:r>
          </w:p>
        </w:tc>
        <w:tc>
          <w:tcPr>
            <w:tcW w:w="973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E</w:t>
            </w:r>
          </w:p>
        </w:tc>
        <w:tc>
          <w:tcPr>
            <w:tcW w:w="1071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Pas de traductions</w:t>
            </w:r>
          </w:p>
        </w:tc>
      </w:tr>
      <w:tr w:rsidR="00082575" w:rsidRPr="00082575" w:rsidTr="00082575">
        <w:trPr>
          <w:cantSplit/>
        </w:trPr>
        <w:tc>
          <w:tcPr>
            <w:tcW w:w="392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5</w:t>
            </w:r>
          </w:p>
        </w:tc>
        <w:tc>
          <w:tcPr>
            <w:tcW w:w="3528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Accord européen relatif au transport international des marchandises dangereuses par route (ADR 2021) (volumes I et II)</w:t>
            </w:r>
          </w:p>
        </w:tc>
        <w:tc>
          <w:tcPr>
            <w:tcW w:w="1385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Versions papier et électronique</w:t>
            </w:r>
          </w:p>
        </w:tc>
        <w:tc>
          <w:tcPr>
            <w:tcW w:w="1155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70"/>
              <w:jc w:val="right"/>
            </w:pPr>
            <w:proofErr w:type="spellStart"/>
            <w:r w:rsidRPr="00082575">
              <w:t>Vol.I</w:t>
            </w:r>
            <w:proofErr w:type="spellEnd"/>
            <w:r w:rsidRPr="00082575">
              <w:t> : 720</w:t>
            </w:r>
            <w:r w:rsidR="009C673A">
              <w:br/>
            </w:r>
            <w:proofErr w:type="spellStart"/>
            <w:r w:rsidRPr="00082575">
              <w:t>Vol.II</w:t>
            </w:r>
            <w:proofErr w:type="spellEnd"/>
            <w:r w:rsidRPr="00082575">
              <w:t> : 760</w:t>
            </w:r>
          </w:p>
        </w:tc>
        <w:tc>
          <w:tcPr>
            <w:tcW w:w="973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E et F</w:t>
            </w:r>
          </w:p>
        </w:tc>
        <w:tc>
          <w:tcPr>
            <w:tcW w:w="1071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R</w:t>
            </w:r>
          </w:p>
        </w:tc>
      </w:tr>
      <w:tr w:rsidR="00082575" w:rsidRPr="00082575" w:rsidTr="00082575">
        <w:trPr>
          <w:cantSplit/>
        </w:trPr>
        <w:tc>
          <w:tcPr>
            <w:tcW w:w="392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6</w:t>
            </w:r>
          </w:p>
        </w:tc>
        <w:tc>
          <w:tcPr>
            <w:tcW w:w="3528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Accord européen relatif au transport international des marchandises dangereuses par voies de navigation intérieures (ADN 2021) (volumes I et II)</w:t>
            </w:r>
          </w:p>
        </w:tc>
        <w:tc>
          <w:tcPr>
            <w:tcW w:w="1385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Versions papier et électronique</w:t>
            </w:r>
          </w:p>
        </w:tc>
        <w:tc>
          <w:tcPr>
            <w:tcW w:w="1155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70"/>
              <w:jc w:val="right"/>
            </w:pPr>
            <w:proofErr w:type="spellStart"/>
            <w:r w:rsidRPr="00082575">
              <w:t>Vol.I</w:t>
            </w:r>
            <w:proofErr w:type="spellEnd"/>
            <w:r w:rsidRPr="00082575">
              <w:t> : 64</w:t>
            </w:r>
            <w:r w:rsidR="009C673A">
              <w:t>0</w:t>
            </w:r>
            <w:r w:rsidR="009C673A">
              <w:br/>
            </w:r>
            <w:proofErr w:type="spellStart"/>
            <w:r w:rsidRPr="00082575">
              <w:t>Vol.II</w:t>
            </w:r>
            <w:proofErr w:type="spellEnd"/>
            <w:r w:rsidRPr="00082575">
              <w:t> : 560</w:t>
            </w:r>
          </w:p>
        </w:tc>
        <w:tc>
          <w:tcPr>
            <w:tcW w:w="973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E et F</w:t>
            </w:r>
          </w:p>
        </w:tc>
        <w:tc>
          <w:tcPr>
            <w:tcW w:w="1071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R</w:t>
            </w:r>
          </w:p>
        </w:tc>
      </w:tr>
      <w:tr w:rsidR="00082575" w:rsidRPr="00082575" w:rsidTr="00082575">
        <w:trPr>
          <w:cantSplit/>
        </w:trPr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7</w:t>
            </w:r>
          </w:p>
        </w:tc>
        <w:tc>
          <w:tcPr>
            <w:tcW w:w="3528" w:type="dxa"/>
            <w:tcBorders>
              <w:bottom w:val="single" w:sz="12" w:space="0" w:color="auto"/>
            </w:tcBorders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rPr>
                <w:bCs/>
              </w:rPr>
              <w:t xml:space="preserve">Accord relatif aux transports internationaux de denrées périssables </w:t>
            </w:r>
            <w:r w:rsidR="00082575">
              <w:rPr>
                <w:bCs/>
              </w:rPr>
              <w:br/>
            </w:r>
            <w:r w:rsidRPr="00082575">
              <w:rPr>
                <w:bCs/>
              </w:rPr>
              <w:t xml:space="preserve">et aux engins spéciaux à utiliser </w:t>
            </w:r>
            <w:r w:rsidR="00082575">
              <w:rPr>
                <w:bCs/>
              </w:rPr>
              <w:br/>
            </w:r>
            <w:r w:rsidRPr="00082575">
              <w:rPr>
                <w:bCs/>
              </w:rPr>
              <w:t>pour ces transports</w:t>
            </w:r>
            <w:r w:rsidRPr="00082575">
              <w:rPr>
                <w:b/>
                <w:bCs/>
              </w:rPr>
              <w:t xml:space="preserve"> </w:t>
            </w:r>
            <w:r w:rsidRPr="00082575">
              <w:t>(ATP)</w:t>
            </w: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Versions papier et électronique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70"/>
              <w:jc w:val="right"/>
            </w:pPr>
            <w:r w:rsidRPr="00082575">
              <w:t>100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E et F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R</w:t>
            </w:r>
          </w:p>
        </w:tc>
      </w:tr>
    </w:tbl>
    <w:p w:rsidR="00973021" w:rsidRPr="00082575" w:rsidRDefault="00973021" w:rsidP="00082575">
      <w:pPr>
        <w:spacing w:before="120" w:after="240"/>
        <w:ind w:left="1134" w:firstLine="170"/>
        <w:rPr>
          <w:sz w:val="18"/>
          <w:szCs w:val="18"/>
        </w:rPr>
      </w:pPr>
      <w:r w:rsidRPr="00082575">
        <w:rPr>
          <w:i/>
          <w:sz w:val="18"/>
          <w:szCs w:val="18"/>
          <w:vertAlign w:val="superscript"/>
        </w:rPr>
        <w:t>1</w:t>
      </w:r>
      <w:r w:rsidRPr="00082575">
        <w:rPr>
          <w:sz w:val="18"/>
          <w:szCs w:val="18"/>
        </w:rPr>
        <w:t xml:space="preserve"> </w:t>
      </w:r>
      <w:r w:rsidR="00082575">
        <w:rPr>
          <w:sz w:val="18"/>
          <w:szCs w:val="18"/>
        </w:rPr>
        <w:t xml:space="preserve"> </w:t>
      </w:r>
      <w:r w:rsidRPr="00082575">
        <w:rPr>
          <w:sz w:val="18"/>
          <w:szCs w:val="18"/>
        </w:rPr>
        <w:t>Langues : Anglais = E ; Arabe = A ; Chinois = C ; Espagnol = S ; Français = F ; Russe = R.</w:t>
      </w:r>
    </w:p>
    <w:p w:rsidR="00973021" w:rsidRPr="00D02DD3" w:rsidRDefault="00973021" w:rsidP="00082575">
      <w:pPr>
        <w:pStyle w:val="H1G"/>
      </w:pPr>
      <w:r w:rsidRPr="00D02DD3">
        <w:tab/>
        <w:t>B.</w:t>
      </w:r>
      <w:r w:rsidRPr="00D02DD3">
        <w:tab/>
        <w:t>Publications isolées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3528"/>
        <w:gridCol w:w="1385"/>
        <w:gridCol w:w="1162"/>
        <w:gridCol w:w="966"/>
        <w:gridCol w:w="1071"/>
      </w:tblGrid>
      <w:tr w:rsidR="00082575" w:rsidRPr="00082575" w:rsidTr="00082575">
        <w:trPr>
          <w:tblHeader/>
        </w:trPr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3021" w:rsidRPr="00082575" w:rsidRDefault="00973021" w:rsidP="009C673A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82575">
              <w:rPr>
                <w:i/>
                <w:sz w:val="16"/>
              </w:rPr>
              <w:t>N</w:t>
            </w:r>
            <w:r w:rsidR="009C673A" w:rsidRPr="009C673A">
              <w:rPr>
                <w:i/>
                <w:sz w:val="16"/>
                <w:vertAlign w:val="superscript"/>
              </w:rPr>
              <w:t>o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3021" w:rsidRPr="00082575" w:rsidRDefault="00973021" w:rsidP="0008257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82575">
              <w:rPr>
                <w:i/>
                <w:sz w:val="16"/>
              </w:rPr>
              <w:t>Titre d</w:t>
            </w:r>
            <w:bookmarkStart w:id="0" w:name="_GoBack"/>
            <w:bookmarkEnd w:id="0"/>
            <w:r w:rsidRPr="00082575">
              <w:rPr>
                <w:i/>
                <w:sz w:val="16"/>
              </w:rPr>
              <w:t>e la publication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3021" w:rsidRPr="00082575" w:rsidRDefault="00973021" w:rsidP="0008257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82575">
              <w:rPr>
                <w:i/>
                <w:sz w:val="16"/>
              </w:rPr>
              <w:t xml:space="preserve">Version papier </w:t>
            </w:r>
            <w:r w:rsidRPr="00082575">
              <w:rPr>
                <w:i/>
                <w:sz w:val="16"/>
              </w:rPr>
              <w:br/>
              <w:t>et/ou électronique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3021" w:rsidRPr="00082575" w:rsidRDefault="00973021" w:rsidP="00082575">
            <w:pPr>
              <w:spacing w:before="80" w:after="80" w:line="200" w:lineRule="exact"/>
              <w:ind w:right="170"/>
              <w:jc w:val="right"/>
              <w:rPr>
                <w:i/>
                <w:sz w:val="16"/>
              </w:rPr>
            </w:pPr>
            <w:r w:rsidRPr="00082575">
              <w:rPr>
                <w:i/>
                <w:sz w:val="16"/>
              </w:rPr>
              <w:t xml:space="preserve">Nombre </w:t>
            </w:r>
            <w:r w:rsidRPr="00082575">
              <w:rPr>
                <w:i/>
                <w:sz w:val="16"/>
              </w:rPr>
              <w:br/>
              <w:t>de pages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3021" w:rsidRPr="00082575" w:rsidRDefault="00973021" w:rsidP="0008257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82575">
              <w:rPr>
                <w:i/>
                <w:sz w:val="16"/>
              </w:rPr>
              <w:t>Langue(s) originale(s)</w:t>
            </w:r>
            <w:r w:rsidRPr="0008257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73021" w:rsidRPr="00082575" w:rsidRDefault="00973021" w:rsidP="0008257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082575">
              <w:rPr>
                <w:i/>
                <w:sz w:val="16"/>
              </w:rPr>
              <w:t>Traduction(s)</w:t>
            </w:r>
            <w:r w:rsidRPr="00082575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82575" w:rsidRPr="00082575" w:rsidTr="00082575">
        <w:trPr>
          <w:trHeight w:hRule="exact" w:val="113"/>
          <w:tblHeader/>
        </w:trPr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</w:tcPr>
          <w:p w:rsidR="00082575" w:rsidRPr="00082575" w:rsidRDefault="00082575" w:rsidP="00082575">
            <w:pPr>
              <w:spacing w:before="40" w:after="120"/>
              <w:ind w:right="113"/>
            </w:pPr>
          </w:p>
        </w:tc>
        <w:tc>
          <w:tcPr>
            <w:tcW w:w="3528" w:type="dxa"/>
            <w:tcBorders>
              <w:top w:val="single" w:sz="12" w:space="0" w:color="auto"/>
            </w:tcBorders>
            <w:shd w:val="clear" w:color="auto" w:fill="auto"/>
          </w:tcPr>
          <w:p w:rsidR="00082575" w:rsidRPr="00082575" w:rsidRDefault="00082575" w:rsidP="00082575">
            <w:pPr>
              <w:spacing w:before="40" w:after="120"/>
              <w:ind w:right="113"/>
            </w:pPr>
          </w:p>
        </w:tc>
        <w:tc>
          <w:tcPr>
            <w:tcW w:w="1385" w:type="dxa"/>
            <w:tcBorders>
              <w:top w:val="single" w:sz="12" w:space="0" w:color="auto"/>
            </w:tcBorders>
            <w:shd w:val="clear" w:color="auto" w:fill="auto"/>
          </w:tcPr>
          <w:p w:rsidR="00082575" w:rsidRPr="00082575" w:rsidRDefault="00082575" w:rsidP="00082575">
            <w:pPr>
              <w:spacing w:before="40" w:after="120"/>
              <w:ind w:right="113"/>
            </w:pPr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auto"/>
          </w:tcPr>
          <w:p w:rsidR="00082575" w:rsidRPr="00082575" w:rsidRDefault="00082575" w:rsidP="00082575">
            <w:pPr>
              <w:spacing w:before="40" w:after="120"/>
              <w:ind w:right="170"/>
              <w:jc w:val="right"/>
            </w:pP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</w:tcPr>
          <w:p w:rsidR="00082575" w:rsidRPr="00082575" w:rsidRDefault="00082575" w:rsidP="00082575">
            <w:pPr>
              <w:spacing w:before="40" w:after="120"/>
              <w:ind w:right="113"/>
            </w:pPr>
          </w:p>
        </w:tc>
        <w:tc>
          <w:tcPr>
            <w:tcW w:w="1071" w:type="dxa"/>
            <w:tcBorders>
              <w:top w:val="single" w:sz="12" w:space="0" w:color="auto"/>
            </w:tcBorders>
            <w:shd w:val="clear" w:color="auto" w:fill="auto"/>
          </w:tcPr>
          <w:p w:rsidR="00082575" w:rsidRPr="00082575" w:rsidRDefault="00082575" w:rsidP="00082575">
            <w:pPr>
              <w:spacing w:before="40" w:after="120"/>
              <w:ind w:right="113"/>
            </w:pPr>
          </w:p>
        </w:tc>
      </w:tr>
      <w:tr w:rsidR="00082575" w:rsidRPr="00082575" w:rsidTr="00082575">
        <w:tc>
          <w:tcPr>
            <w:tcW w:w="392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1</w:t>
            </w:r>
          </w:p>
        </w:tc>
        <w:tc>
          <w:tcPr>
            <w:tcW w:w="3528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 xml:space="preserve">Effets des changements climatiques </w:t>
            </w:r>
            <w:r w:rsidR="00082575">
              <w:br/>
            </w:r>
            <w:r w:rsidRPr="00082575">
              <w:t xml:space="preserve">sur les réseaux et les nœuds de transport </w:t>
            </w:r>
            <w:r w:rsidR="00082575">
              <w:br/>
            </w:r>
            <w:r w:rsidRPr="00082575">
              <w:t xml:space="preserve">et adaptation à ces changements </w:t>
            </w:r>
          </w:p>
        </w:tc>
        <w:tc>
          <w:tcPr>
            <w:tcW w:w="1385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 xml:space="preserve">Versions papier </w:t>
            </w:r>
            <w:r w:rsidRPr="00082575">
              <w:br/>
              <w:t>et électronique</w:t>
            </w:r>
          </w:p>
        </w:tc>
        <w:tc>
          <w:tcPr>
            <w:tcW w:w="1162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70"/>
              <w:jc w:val="right"/>
            </w:pPr>
            <w:r w:rsidRPr="00082575">
              <w:t>150</w:t>
            </w:r>
          </w:p>
        </w:tc>
        <w:tc>
          <w:tcPr>
            <w:tcW w:w="966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E</w:t>
            </w:r>
          </w:p>
        </w:tc>
        <w:tc>
          <w:tcPr>
            <w:tcW w:w="1071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F, R</w:t>
            </w:r>
          </w:p>
        </w:tc>
      </w:tr>
      <w:tr w:rsidR="00082575" w:rsidRPr="00082575" w:rsidTr="00082575">
        <w:tc>
          <w:tcPr>
            <w:tcW w:w="392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2</w:t>
            </w:r>
          </w:p>
        </w:tc>
        <w:tc>
          <w:tcPr>
            <w:tcW w:w="3528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 xml:space="preserve">Évaluation comparative des coûts </w:t>
            </w:r>
            <w:r w:rsidR="00082575">
              <w:br/>
            </w:r>
            <w:r w:rsidRPr="00082575">
              <w:t xml:space="preserve">de construction des infrastructures </w:t>
            </w:r>
            <w:r w:rsidR="00082575">
              <w:br/>
            </w:r>
            <w:r w:rsidRPr="00082575">
              <w:t>de transport</w:t>
            </w:r>
          </w:p>
        </w:tc>
        <w:tc>
          <w:tcPr>
            <w:tcW w:w="1385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Versions papier et électronique</w:t>
            </w:r>
          </w:p>
        </w:tc>
        <w:tc>
          <w:tcPr>
            <w:tcW w:w="1162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70"/>
              <w:jc w:val="right"/>
            </w:pPr>
            <w:r w:rsidRPr="00082575">
              <w:t>150</w:t>
            </w:r>
          </w:p>
        </w:tc>
        <w:tc>
          <w:tcPr>
            <w:tcW w:w="966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E</w:t>
            </w:r>
          </w:p>
        </w:tc>
        <w:tc>
          <w:tcPr>
            <w:tcW w:w="1071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F, R</w:t>
            </w:r>
          </w:p>
        </w:tc>
      </w:tr>
      <w:tr w:rsidR="00082575" w:rsidRPr="00082575" w:rsidTr="00082575">
        <w:tc>
          <w:tcPr>
            <w:tcW w:w="392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3</w:t>
            </w:r>
          </w:p>
        </w:tc>
        <w:tc>
          <w:tcPr>
            <w:tcW w:w="3528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Transport intermodal et logistique</w:t>
            </w:r>
          </w:p>
        </w:tc>
        <w:tc>
          <w:tcPr>
            <w:tcW w:w="1385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Versions papier et électronique</w:t>
            </w:r>
          </w:p>
        </w:tc>
        <w:tc>
          <w:tcPr>
            <w:tcW w:w="1162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70"/>
              <w:jc w:val="right"/>
            </w:pPr>
            <w:r w:rsidRPr="00082575">
              <w:t>150</w:t>
            </w:r>
          </w:p>
        </w:tc>
        <w:tc>
          <w:tcPr>
            <w:tcW w:w="966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E</w:t>
            </w:r>
          </w:p>
        </w:tc>
        <w:tc>
          <w:tcPr>
            <w:tcW w:w="1071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F, R</w:t>
            </w:r>
          </w:p>
        </w:tc>
      </w:tr>
      <w:tr w:rsidR="00082575" w:rsidRPr="00082575" w:rsidTr="00082575">
        <w:tc>
          <w:tcPr>
            <w:tcW w:w="392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4</w:t>
            </w:r>
          </w:p>
        </w:tc>
        <w:tc>
          <w:tcPr>
            <w:tcW w:w="3528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  <w:rPr>
                <w:lang w:val="en-US"/>
              </w:rPr>
            </w:pPr>
            <w:r w:rsidRPr="00082575">
              <w:rPr>
                <w:lang w:val="en-US"/>
              </w:rPr>
              <w:t>BIM for Road Infrastructure: TEM requirements and recommendations</w:t>
            </w:r>
          </w:p>
        </w:tc>
        <w:tc>
          <w:tcPr>
            <w:tcW w:w="1385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Version électronique</w:t>
            </w:r>
          </w:p>
        </w:tc>
        <w:tc>
          <w:tcPr>
            <w:tcW w:w="1162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70"/>
              <w:jc w:val="right"/>
            </w:pPr>
            <w:r w:rsidRPr="00082575">
              <w:t>100</w:t>
            </w:r>
          </w:p>
        </w:tc>
        <w:tc>
          <w:tcPr>
            <w:tcW w:w="966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E</w:t>
            </w:r>
          </w:p>
        </w:tc>
        <w:tc>
          <w:tcPr>
            <w:tcW w:w="1071" w:type="dxa"/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Pas de traductions</w:t>
            </w:r>
          </w:p>
        </w:tc>
      </w:tr>
      <w:tr w:rsidR="00082575" w:rsidRPr="00082575" w:rsidTr="00082575">
        <w:tc>
          <w:tcPr>
            <w:tcW w:w="392" w:type="dxa"/>
            <w:shd w:val="clear" w:color="auto" w:fill="auto"/>
          </w:tcPr>
          <w:p w:rsidR="00973021" w:rsidRPr="00082575" w:rsidRDefault="00973021" w:rsidP="003A071B">
            <w:pPr>
              <w:keepNext/>
              <w:spacing w:before="40" w:after="120"/>
              <w:ind w:right="113"/>
            </w:pPr>
            <w:r w:rsidRPr="00082575">
              <w:lastRenderedPageBreak/>
              <w:t>5</w:t>
            </w:r>
          </w:p>
        </w:tc>
        <w:tc>
          <w:tcPr>
            <w:tcW w:w="3528" w:type="dxa"/>
            <w:shd w:val="clear" w:color="auto" w:fill="auto"/>
          </w:tcPr>
          <w:p w:rsidR="00973021" w:rsidRPr="00082575" w:rsidRDefault="00973021" w:rsidP="003A071B">
            <w:pPr>
              <w:keepNext/>
              <w:spacing w:before="40" w:after="120"/>
              <w:ind w:right="113"/>
              <w:rPr>
                <w:lang w:val="en-US"/>
              </w:rPr>
            </w:pPr>
            <w:r w:rsidRPr="00082575">
              <w:rPr>
                <w:lang w:val="en-US"/>
              </w:rPr>
              <w:t>Tools for asset management: TEM recommendations for road operators</w:t>
            </w:r>
          </w:p>
        </w:tc>
        <w:tc>
          <w:tcPr>
            <w:tcW w:w="1385" w:type="dxa"/>
            <w:shd w:val="clear" w:color="auto" w:fill="auto"/>
          </w:tcPr>
          <w:p w:rsidR="00973021" w:rsidRPr="00082575" w:rsidRDefault="00973021" w:rsidP="003A071B">
            <w:pPr>
              <w:keepNext/>
              <w:spacing w:before="40" w:after="120"/>
              <w:ind w:right="113"/>
            </w:pPr>
            <w:r w:rsidRPr="00082575">
              <w:t>Version électronique</w:t>
            </w:r>
          </w:p>
        </w:tc>
        <w:tc>
          <w:tcPr>
            <w:tcW w:w="1162" w:type="dxa"/>
            <w:shd w:val="clear" w:color="auto" w:fill="auto"/>
          </w:tcPr>
          <w:p w:rsidR="00973021" w:rsidRPr="00082575" w:rsidRDefault="00973021" w:rsidP="003A071B">
            <w:pPr>
              <w:keepNext/>
              <w:spacing w:before="40" w:after="120"/>
              <w:ind w:right="170"/>
              <w:jc w:val="right"/>
            </w:pPr>
            <w:r w:rsidRPr="00082575">
              <w:t>100</w:t>
            </w:r>
          </w:p>
        </w:tc>
        <w:tc>
          <w:tcPr>
            <w:tcW w:w="966" w:type="dxa"/>
            <w:shd w:val="clear" w:color="auto" w:fill="auto"/>
          </w:tcPr>
          <w:p w:rsidR="00973021" w:rsidRPr="00082575" w:rsidRDefault="00973021" w:rsidP="003A071B">
            <w:pPr>
              <w:keepNext/>
              <w:spacing w:before="40" w:after="120"/>
              <w:ind w:right="113"/>
            </w:pPr>
            <w:r w:rsidRPr="00082575">
              <w:t>E</w:t>
            </w:r>
          </w:p>
        </w:tc>
        <w:tc>
          <w:tcPr>
            <w:tcW w:w="1071" w:type="dxa"/>
            <w:shd w:val="clear" w:color="auto" w:fill="auto"/>
          </w:tcPr>
          <w:p w:rsidR="00973021" w:rsidRPr="00082575" w:rsidRDefault="00973021" w:rsidP="003A071B">
            <w:pPr>
              <w:keepNext/>
              <w:spacing w:before="40" w:after="120"/>
              <w:ind w:right="113"/>
            </w:pPr>
            <w:r w:rsidRPr="00082575">
              <w:t>Pas de traductions</w:t>
            </w:r>
          </w:p>
        </w:tc>
      </w:tr>
      <w:tr w:rsidR="00082575" w:rsidRPr="00082575" w:rsidTr="00082575"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6</w:t>
            </w:r>
          </w:p>
        </w:tc>
        <w:tc>
          <w:tcPr>
            <w:tcW w:w="3528" w:type="dxa"/>
            <w:tcBorders>
              <w:bottom w:val="single" w:sz="12" w:space="0" w:color="auto"/>
            </w:tcBorders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  <w:rPr>
                <w:lang w:val="en-US"/>
              </w:rPr>
            </w:pPr>
            <w:r w:rsidRPr="00082575">
              <w:rPr>
                <w:lang w:val="en-US"/>
              </w:rPr>
              <w:t>Tolling systems deployment in the TEM Network: Considerations and recommendations</w:t>
            </w: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Version électronique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70"/>
              <w:jc w:val="right"/>
            </w:pPr>
            <w:r w:rsidRPr="00082575">
              <w:t>100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E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shd w:val="clear" w:color="auto" w:fill="auto"/>
          </w:tcPr>
          <w:p w:rsidR="00973021" w:rsidRPr="00082575" w:rsidRDefault="00973021" w:rsidP="00082575">
            <w:pPr>
              <w:spacing w:before="40" w:after="120"/>
              <w:ind w:right="113"/>
            </w:pPr>
            <w:r w:rsidRPr="00082575">
              <w:t>Pas de traductions</w:t>
            </w:r>
          </w:p>
        </w:tc>
      </w:tr>
    </w:tbl>
    <w:p w:rsidR="00973021" w:rsidRDefault="00973021" w:rsidP="00082575">
      <w:pPr>
        <w:spacing w:before="120" w:after="240"/>
        <w:ind w:left="1134" w:firstLine="170"/>
        <w:rPr>
          <w:sz w:val="18"/>
          <w:szCs w:val="18"/>
        </w:rPr>
      </w:pPr>
      <w:r w:rsidRPr="00082575">
        <w:rPr>
          <w:i/>
          <w:sz w:val="18"/>
          <w:szCs w:val="18"/>
          <w:vertAlign w:val="superscript"/>
        </w:rPr>
        <w:t>1</w:t>
      </w:r>
      <w:r w:rsidRPr="00082575">
        <w:rPr>
          <w:sz w:val="18"/>
          <w:szCs w:val="18"/>
        </w:rPr>
        <w:t xml:space="preserve"> </w:t>
      </w:r>
      <w:r w:rsidR="00082575" w:rsidRPr="00082575">
        <w:rPr>
          <w:sz w:val="18"/>
          <w:szCs w:val="18"/>
        </w:rPr>
        <w:t xml:space="preserve"> </w:t>
      </w:r>
      <w:r w:rsidRPr="00082575">
        <w:rPr>
          <w:sz w:val="18"/>
          <w:szCs w:val="18"/>
        </w:rPr>
        <w:t>Langues : Anglais = E ; Arabe = A ; Chinois = C ; Espagnol = S ; Français = F ; Russe = R.</w:t>
      </w:r>
    </w:p>
    <w:p w:rsidR="00082575" w:rsidRPr="00082575" w:rsidRDefault="00082575" w:rsidP="0008257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2575" w:rsidRPr="00082575" w:rsidSect="00E4439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6C" w:rsidRDefault="007B0A6C" w:rsidP="00F95C08">
      <w:pPr>
        <w:spacing w:line="240" w:lineRule="auto"/>
      </w:pPr>
    </w:p>
  </w:endnote>
  <w:endnote w:type="continuationSeparator" w:id="0">
    <w:p w:rsidR="007B0A6C" w:rsidRPr="00AC3823" w:rsidRDefault="007B0A6C" w:rsidP="00AC3823">
      <w:pPr>
        <w:pStyle w:val="Pieddepage"/>
      </w:pPr>
    </w:p>
  </w:endnote>
  <w:endnote w:type="continuationNotice" w:id="1">
    <w:p w:rsidR="007B0A6C" w:rsidRDefault="007B0A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96" w:rsidRPr="00E44396" w:rsidRDefault="00E44396" w:rsidP="00E44396">
    <w:pPr>
      <w:pStyle w:val="Pieddepage"/>
      <w:tabs>
        <w:tab w:val="right" w:pos="9638"/>
      </w:tabs>
    </w:pPr>
    <w:r w:rsidRPr="00E44396">
      <w:rPr>
        <w:b/>
        <w:sz w:val="18"/>
      </w:rPr>
      <w:fldChar w:fldCharType="begin"/>
    </w:r>
    <w:r w:rsidRPr="00E44396">
      <w:rPr>
        <w:b/>
        <w:sz w:val="18"/>
      </w:rPr>
      <w:instrText xml:space="preserve"> PAGE  \* MERGEFORMAT </w:instrText>
    </w:r>
    <w:r w:rsidRPr="00E44396">
      <w:rPr>
        <w:b/>
        <w:sz w:val="18"/>
      </w:rPr>
      <w:fldChar w:fldCharType="separate"/>
    </w:r>
    <w:r w:rsidR="00465195">
      <w:rPr>
        <w:b/>
        <w:noProof/>
        <w:sz w:val="18"/>
      </w:rPr>
      <w:t>2</w:t>
    </w:r>
    <w:r w:rsidRPr="00E44396">
      <w:rPr>
        <w:b/>
        <w:sz w:val="18"/>
      </w:rPr>
      <w:fldChar w:fldCharType="end"/>
    </w:r>
    <w:r>
      <w:rPr>
        <w:b/>
        <w:sz w:val="18"/>
      </w:rPr>
      <w:tab/>
    </w:r>
    <w:r>
      <w:t>GE.18-20656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96" w:rsidRPr="00E44396" w:rsidRDefault="00E44396" w:rsidP="00E44396">
    <w:pPr>
      <w:pStyle w:val="Pieddepage"/>
      <w:tabs>
        <w:tab w:val="right" w:pos="9638"/>
      </w:tabs>
      <w:rPr>
        <w:b/>
        <w:sz w:val="18"/>
      </w:rPr>
    </w:pPr>
    <w:r>
      <w:t>GE.18-20656</w:t>
    </w:r>
    <w:r>
      <w:tab/>
    </w:r>
    <w:r w:rsidRPr="00E44396">
      <w:rPr>
        <w:b/>
        <w:sz w:val="18"/>
      </w:rPr>
      <w:fldChar w:fldCharType="begin"/>
    </w:r>
    <w:r w:rsidRPr="00E44396">
      <w:rPr>
        <w:b/>
        <w:sz w:val="18"/>
      </w:rPr>
      <w:instrText xml:space="preserve"> PAGE  \* MERGEFORMAT </w:instrText>
    </w:r>
    <w:r w:rsidRPr="00E44396">
      <w:rPr>
        <w:b/>
        <w:sz w:val="18"/>
      </w:rPr>
      <w:fldChar w:fldCharType="separate"/>
    </w:r>
    <w:r w:rsidR="00465195">
      <w:rPr>
        <w:b/>
        <w:noProof/>
        <w:sz w:val="18"/>
      </w:rPr>
      <w:t>3</w:t>
    </w:r>
    <w:r w:rsidRPr="00E443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E44396" w:rsidRDefault="00E44396" w:rsidP="00E4439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18-20656  (F)    171218    211218</w:t>
    </w:r>
    <w:r>
      <w:rPr>
        <w:sz w:val="20"/>
      </w:rPr>
      <w:br/>
    </w:r>
    <w:r w:rsidRPr="00E44396">
      <w:rPr>
        <w:rFonts w:ascii="C39T30Lfz" w:hAnsi="C39T30Lfz"/>
        <w:sz w:val="56"/>
      </w:rPr>
      <w:t></w:t>
    </w:r>
    <w:r w:rsidRPr="00E44396">
      <w:rPr>
        <w:rFonts w:ascii="C39T30Lfz" w:hAnsi="C39T30Lfz"/>
        <w:sz w:val="56"/>
      </w:rPr>
      <w:t></w:t>
    </w:r>
    <w:r w:rsidRPr="00E44396">
      <w:rPr>
        <w:rFonts w:ascii="C39T30Lfz" w:hAnsi="C39T30Lfz"/>
        <w:sz w:val="56"/>
      </w:rPr>
      <w:t></w:t>
    </w:r>
    <w:r w:rsidRPr="00E44396">
      <w:rPr>
        <w:rFonts w:ascii="C39T30Lfz" w:hAnsi="C39T30Lfz"/>
        <w:sz w:val="56"/>
      </w:rPr>
      <w:t></w:t>
    </w:r>
    <w:r w:rsidRPr="00E44396">
      <w:rPr>
        <w:rFonts w:ascii="C39T30Lfz" w:hAnsi="C39T30Lfz"/>
        <w:sz w:val="56"/>
      </w:rPr>
      <w:t></w:t>
    </w:r>
    <w:r w:rsidRPr="00E44396">
      <w:rPr>
        <w:rFonts w:ascii="C39T30Lfz" w:hAnsi="C39T30Lfz"/>
        <w:sz w:val="56"/>
      </w:rPr>
      <w:t></w:t>
    </w:r>
    <w:r w:rsidRPr="00E44396">
      <w:rPr>
        <w:rFonts w:ascii="C39T30Lfz" w:hAnsi="C39T30Lfz"/>
        <w:sz w:val="56"/>
      </w:rPr>
      <w:t></w:t>
    </w:r>
    <w:r w:rsidRPr="00E44396">
      <w:rPr>
        <w:rFonts w:ascii="C39T30Lfz" w:hAnsi="C39T30Lfz"/>
        <w:sz w:val="56"/>
      </w:rPr>
      <w:t></w:t>
    </w:r>
    <w:r w:rsidRPr="00E4439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2019/2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2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6C" w:rsidRPr="00AC3823" w:rsidRDefault="007B0A6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B0A6C" w:rsidRPr="00AC3823" w:rsidRDefault="007B0A6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B0A6C" w:rsidRPr="00AC3823" w:rsidRDefault="007B0A6C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96" w:rsidRPr="00E44396" w:rsidRDefault="00E44396">
    <w:pPr>
      <w:pStyle w:val="En-tte"/>
    </w:pPr>
    <w:fldSimple w:instr=" TITLE  \* MERGEFORMAT ">
      <w:r w:rsidR="00194497">
        <w:t>ECE/TRANS/2019/23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96" w:rsidRPr="00E44396" w:rsidRDefault="00E44396" w:rsidP="00E44396">
    <w:pPr>
      <w:pStyle w:val="En-tte"/>
      <w:jc w:val="right"/>
    </w:pPr>
    <w:fldSimple w:instr=" TITLE  \* MERGEFORMAT ">
      <w:r w:rsidR="00194497">
        <w:t>ECE/TRANS/2019/23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6C"/>
    <w:rsid w:val="00017F94"/>
    <w:rsid w:val="00023842"/>
    <w:rsid w:val="000334F9"/>
    <w:rsid w:val="00045FEB"/>
    <w:rsid w:val="0007796D"/>
    <w:rsid w:val="00082575"/>
    <w:rsid w:val="000B7790"/>
    <w:rsid w:val="00111F2F"/>
    <w:rsid w:val="0014365E"/>
    <w:rsid w:val="00143C66"/>
    <w:rsid w:val="00176178"/>
    <w:rsid w:val="00194497"/>
    <w:rsid w:val="001F525A"/>
    <w:rsid w:val="00223272"/>
    <w:rsid w:val="0024779E"/>
    <w:rsid w:val="00257168"/>
    <w:rsid w:val="002744B8"/>
    <w:rsid w:val="002832AC"/>
    <w:rsid w:val="002D7C93"/>
    <w:rsid w:val="00305801"/>
    <w:rsid w:val="00385C97"/>
    <w:rsid w:val="003916DE"/>
    <w:rsid w:val="003A071B"/>
    <w:rsid w:val="00421996"/>
    <w:rsid w:val="00441C3B"/>
    <w:rsid w:val="00446FE5"/>
    <w:rsid w:val="00452396"/>
    <w:rsid w:val="00465195"/>
    <w:rsid w:val="004837D8"/>
    <w:rsid w:val="004C345B"/>
    <w:rsid w:val="004E2EED"/>
    <w:rsid w:val="004E468C"/>
    <w:rsid w:val="005505B7"/>
    <w:rsid w:val="00573BE5"/>
    <w:rsid w:val="00586ED3"/>
    <w:rsid w:val="00596AA9"/>
    <w:rsid w:val="0071601D"/>
    <w:rsid w:val="007A62E6"/>
    <w:rsid w:val="007B0A6C"/>
    <w:rsid w:val="007F20FA"/>
    <w:rsid w:val="0080684C"/>
    <w:rsid w:val="00871C75"/>
    <w:rsid w:val="008776DC"/>
    <w:rsid w:val="009446C0"/>
    <w:rsid w:val="00954D34"/>
    <w:rsid w:val="009705C8"/>
    <w:rsid w:val="00973021"/>
    <w:rsid w:val="009C1CF4"/>
    <w:rsid w:val="009C673A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85963"/>
    <w:rsid w:val="00DB1831"/>
    <w:rsid w:val="00DD3BFD"/>
    <w:rsid w:val="00DF6678"/>
    <w:rsid w:val="00E0299A"/>
    <w:rsid w:val="00E44396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348E38"/>
  <w15:docId w15:val="{EF6E40D2-0E44-44D3-99F7-7B3325CE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54D3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494</Words>
  <Characters>2624</Characters>
  <Application>Microsoft Office Word</Application>
  <DocSecurity>0</DocSecurity>
  <Lines>187</Lines>
  <Paragraphs>135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ECE/TRANS/2019/23</vt:lpstr>
    </vt:vector>
  </TitlesOfParts>
  <Company>DCM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ECE/TRANS/2019/23</dc:title>
  <dc:subject/>
  <dc:creator>Christine  CHAUTAGNAT</dc:creator>
  <cp:keywords/>
  <cp:lastModifiedBy>Christine Chautagnat</cp:lastModifiedBy>
  <cp:revision>2</cp:revision>
  <cp:lastPrinted>2018-12-21T08:26:00Z</cp:lastPrinted>
  <dcterms:created xsi:type="dcterms:W3CDTF">2018-12-21T08:35:00Z</dcterms:created>
  <dcterms:modified xsi:type="dcterms:W3CDTF">2018-12-21T08:35:00Z</dcterms:modified>
</cp:coreProperties>
</file>