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6D1B78" w:rsidP="006D1B78">
            <w:pPr>
              <w:jc w:val="right"/>
            </w:pPr>
            <w:r w:rsidRPr="006D1B78">
              <w:rPr>
                <w:sz w:val="40"/>
              </w:rPr>
              <w:t>ECE</w:t>
            </w:r>
            <w:r>
              <w:t>/TRANS/287/Add.1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6D1B78" w:rsidP="006D1B78">
            <w:pPr>
              <w:spacing w:before="240" w:line="240" w:lineRule="exact"/>
            </w:pPr>
            <w:r>
              <w:t>Distr.: General</w:t>
            </w:r>
          </w:p>
          <w:p w:rsidR="006D1B78" w:rsidRDefault="006D1B78" w:rsidP="006D1B78">
            <w:pPr>
              <w:spacing w:line="240" w:lineRule="exact"/>
            </w:pPr>
            <w:r>
              <w:t>1</w:t>
            </w:r>
            <w:r w:rsidR="006A0776">
              <w:t>1</w:t>
            </w:r>
            <w:r>
              <w:t xml:space="preserve"> December 2018</w:t>
            </w:r>
          </w:p>
          <w:p w:rsidR="006D1B78" w:rsidRDefault="006D1B78" w:rsidP="006D1B78">
            <w:pPr>
              <w:spacing w:line="240" w:lineRule="exact"/>
            </w:pPr>
          </w:p>
          <w:p w:rsidR="006D1B78" w:rsidRDefault="006D1B78" w:rsidP="006D1B78">
            <w:pPr>
              <w:spacing w:line="240" w:lineRule="exact"/>
            </w:pPr>
            <w:r>
              <w:t>Original: English</w:t>
            </w:r>
          </w:p>
        </w:tc>
      </w:tr>
    </w:tbl>
    <w:p w:rsidR="006D1B78" w:rsidRPr="002151BC" w:rsidRDefault="006D1B78" w:rsidP="006D1B78">
      <w:pPr>
        <w:spacing w:before="120"/>
        <w:rPr>
          <w:b/>
          <w:bCs/>
          <w:sz w:val="28"/>
          <w:szCs w:val="28"/>
        </w:rPr>
      </w:pPr>
      <w:r w:rsidRPr="002151BC">
        <w:rPr>
          <w:b/>
          <w:bCs/>
          <w:sz w:val="28"/>
          <w:szCs w:val="28"/>
        </w:rPr>
        <w:t>Economic Commission for Europe</w:t>
      </w:r>
      <w:bookmarkStart w:id="0" w:name="_GoBack"/>
      <w:bookmarkEnd w:id="0"/>
    </w:p>
    <w:p w:rsidR="006D1B78" w:rsidRPr="0033075D" w:rsidRDefault="006D1B78" w:rsidP="006D1B78">
      <w:pPr>
        <w:spacing w:before="120"/>
        <w:rPr>
          <w:sz w:val="28"/>
          <w:szCs w:val="28"/>
        </w:rPr>
      </w:pPr>
      <w:r w:rsidRPr="0033075D">
        <w:rPr>
          <w:sz w:val="28"/>
          <w:szCs w:val="28"/>
        </w:rPr>
        <w:t>Inland Transport Committee</w:t>
      </w:r>
    </w:p>
    <w:p w:rsidR="006D1B78" w:rsidRPr="00513698" w:rsidRDefault="006D1B78" w:rsidP="006D1B78">
      <w:pPr>
        <w:spacing w:before="120"/>
        <w:rPr>
          <w:b/>
          <w:bCs/>
        </w:rPr>
      </w:pPr>
      <w:r w:rsidRPr="00513698">
        <w:rPr>
          <w:b/>
          <w:bCs/>
        </w:rPr>
        <w:t>Eighty-first session</w:t>
      </w:r>
    </w:p>
    <w:p w:rsidR="006D1B78" w:rsidRPr="0033075D" w:rsidRDefault="006D1B78" w:rsidP="006D1B78">
      <w:pPr>
        <w:rPr>
          <w:b/>
          <w:bCs/>
        </w:rPr>
      </w:pPr>
      <w:r w:rsidRPr="002151BC">
        <w:t>Geneva, 19-2</w:t>
      </w:r>
      <w:r w:rsidRPr="0033075D">
        <w:t>2 February 2019</w:t>
      </w:r>
      <w:r w:rsidRPr="0033075D">
        <w:br/>
        <w:t>Item 1 of the provisional agenda</w:t>
      </w:r>
      <w:r w:rsidRPr="0033075D">
        <w:br/>
      </w:r>
      <w:r w:rsidRPr="0033075D">
        <w:rPr>
          <w:b/>
          <w:bCs/>
        </w:rPr>
        <w:t>Adoption of the agenda</w:t>
      </w:r>
    </w:p>
    <w:p w:rsidR="006D1B78" w:rsidRPr="002151BC" w:rsidRDefault="006D1B78" w:rsidP="006D1B78">
      <w:pPr>
        <w:pStyle w:val="HChG"/>
        <w:keepNext w:val="0"/>
        <w:keepLines w:val="0"/>
      </w:pPr>
      <w:r w:rsidRPr="0033075D">
        <w:rPr>
          <w:color w:val="FF0000"/>
        </w:rPr>
        <w:tab/>
      </w:r>
      <w:r w:rsidRPr="0033075D">
        <w:rPr>
          <w:color w:val="FF0000"/>
        </w:rPr>
        <w:tab/>
      </w:r>
      <w:r w:rsidRPr="0033075D">
        <w:t xml:space="preserve">Provisional agenda for the </w:t>
      </w:r>
      <w:r w:rsidRPr="00910CFD">
        <w:t>eighty-first session</w:t>
      </w:r>
    </w:p>
    <w:p w:rsidR="006D1B78" w:rsidRPr="0033075D" w:rsidRDefault="006D1B78" w:rsidP="006D1B78">
      <w:pPr>
        <w:pStyle w:val="H1G"/>
        <w:keepNext w:val="0"/>
        <w:keepLines w:val="0"/>
      </w:pPr>
      <w:r w:rsidRPr="0033075D">
        <w:tab/>
      </w:r>
      <w:r w:rsidRPr="0033075D">
        <w:tab/>
        <w:t>Addendum</w:t>
      </w:r>
    </w:p>
    <w:p w:rsidR="006D1B78" w:rsidRPr="00910CFD" w:rsidRDefault="006D1B78" w:rsidP="006D1B78">
      <w:pPr>
        <w:spacing w:after="120"/>
        <w:ind w:left="1134" w:right="1134"/>
        <w:jc w:val="both"/>
      </w:pPr>
      <w:r w:rsidRPr="0033075D">
        <w:t xml:space="preserve">To be held at the Palais des Nations, Geneva starting at 10 a.m. on Tuesday, </w:t>
      </w:r>
      <w:r w:rsidRPr="0033075D">
        <w:br/>
        <w:t xml:space="preserve">19 February </w:t>
      </w:r>
      <w:r w:rsidRPr="00910CFD">
        <w:t>2019</w:t>
      </w:r>
    </w:p>
    <w:p w:rsidR="006D1B78" w:rsidRPr="002151BC" w:rsidRDefault="006D1B78" w:rsidP="006B3129">
      <w:pPr>
        <w:pStyle w:val="H1G"/>
      </w:pPr>
      <w:r w:rsidRPr="00910CFD">
        <w:tab/>
        <w:t>1.</w:t>
      </w:r>
      <w:r w:rsidRPr="00910CFD">
        <w:tab/>
      </w:r>
      <w:r w:rsidRPr="006B3129">
        <w:t>Adoption</w:t>
      </w:r>
      <w:r w:rsidRPr="00910CFD">
        <w:t xml:space="preserve"> of the </w:t>
      </w:r>
      <w:r>
        <w:t>A</w:t>
      </w:r>
      <w:r w:rsidRPr="002151BC">
        <w:t>genda</w:t>
      </w:r>
    </w:p>
    <w:p w:rsidR="006D1B78" w:rsidRPr="0033075D" w:rsidRDefault="006D1B78" w:rsidP="006D1B78">
      <w:pPr>
        <w:spacing w:after="120"/>
        <w:ind w:left="1134" w:right="1134"/>
        <w:jc w:val="both"/>
        <w:rPr>
          <w:b/>
          <w:bCs/>
        </w:rPr>
      </w:pPr>
      <w:r w:rsidRPr="0033075D">
        <w:rPr>
          <w:b/>
          <w:bCs/>
        </w:rPr>
        <w:t>Documentation</w:t>
      </w:r>
    </w:p>
    <w:p w:rsidR="006D1B78" w:rsidRPr="0033075D" w:rsidRDefault="006D1B78" w:rsidP="006D1B78">
      <w:pPr>
        <w:spacing w:after="120"/>
        <w:ind w:left="1134" w:right="1134"/>
        <w:jc w:val="both"/>
      </w:pPr>
      <w:r w:rsidRPr="0033075D">
        <w:t>ECE/TRANS/287 and Add.1</w:t>
      </w:r>
    </w:p>
    <w:p w:rsidR="006D1B78" w:rsidRPr="00910CFD" w:rsidRDefault="006D1B78" w:rsidP="006B3129">
      <w:pPr>
        <w:pStyle w:val="HChG"/>
      </w:pPr>
      <w:r w:rsidRPr="00910CFD">
        <w:tab/>
        <w:t>I.</w:t>
      </w:r>
      <w:r w:rsidRPr="00910CFD">
        <w:tab/>
      </w:r>
      <w:r w:rsidRPr="006B3129">
        <w:t>Policy</w:t>
      </w:r>
      <w:r w:rsidRPr="00910CFD">
        <w:t xml:space="preserve"> oriented segment</w:t>
      </w:r>
    </w:p>
    <w:p w:rsidR="006D1B78" w:rsidRPr="006B3129" w:rsidRDefault="006D1B78" w:rsidP="006B3129">
      <w:pPr>
        <w:pStyle w:val="H1G"/>
      </w:pPr>
      <w:r w:rsidRPr="006B3129">
        <w:tab/>
      </w:r>
      <w:bookmarkStart w:id="1" w:name="_Hlk531879768"/>
      <w:r w:rsidRPr="006B3129">
        <w:t>2.</w:t>
      </w:r>
      <w:r w:rsidRPr="006B3129">
        <w:tab/>
        <w:t>Automation in Transport</w:t>
      </w:r>
    </w:p>
    <w:p w:rsidR="006D1B78" w:rsidRPr="002151BC" w:rsidRDefault="006D1B78" w:rsidP="006D1B78">
      <w:pPr>
        <w:pStyle w:val="SingleTxtG"/>
      </w:pPr>
      <w:r w:rsidRPr="00910CFD">
        <w:t xml:space="preserve">Building on recommendations by the ITC and Bureau debates, the high-level policy segment’s theme in 2019 will be on </w:t>
      </w:r>
      <w:r w:rsidRPr="00910CFD">
        <w:rPr>
          <w:i/>
        </w:rPr>
        <w:t xml:space="preserve">“Automation in Transport”. </w:t>
      </w:r>
      <w:r w:rsidRPr="00910CFD">
        <w:t>This theme will create space for reflection of the Committee’s past achievements, current performance and future trajectory, highlighting its value added and underlining its future potential</w:t>
      </w:r>
      <w:r>
        <w:t xml:space="preserve"> (ECE/TRANS/2019/1)</w:t>
      </w:r>
      <w:r w:rsidRPr="00910CFD">
        <w:t xml:space="preserve">. The high-level policy segment will consist of two panels: </w:t>
      </w:r>
    </w:p>
    <w:p w:rsidR="006D1B78" w:rsidRPr="00855652" w:rsidRDefault="006D1B78" w:rsidP="006D1B78">
      <w:pPr>
        <w:pStyle w:val="SingleTxtG"/>
        <w:ind w:firstLine="567"/>
      </w:pPr>
      <w:r w:rsidRPr="00855652">
        <w:t>(a)</w:t>
      </w:r>
      <w:r w:rsidRPr="00855652">
        <w:tab/>
        <w:t>Panel I: Role and trends of Automation in Transport: Safety, efficiency and sustainability;</w:t>
      </w:r>
    </w:p>
    <w:p w:rsidR="006D1B78" w:rsidRPr="0033075D" w:rsidRDefault="006D1B78" w:rsidP="006D1B78">
      <w:pPr>
        <w:pStyle w:val="SingleTxtG"/>
        <w:ind w:firstLine="567"/>
      </w:pPr>
      <w:r w:rsidRPr="00855652">
        <w:t>(b)</w:t>
      </w:r>
      <w:r w:rsidRPr="00855652">
        <w:tab/>
        <w:t>Panel II: Challenges and synergies in advancing automation for all modes of transport.</w:t>
      </w:r>
      <w:r w:rsidRPr="0033075D">
        <w:t xml:space="preserve"> </w:t>
      </w:r>
    </w:p>
    <w:p w:rsidR="006D1B78" w:rsidRPr="00910CFD" w:rsidRDefault="006D1B78" w:rsidP="006D1B78">
      <w:pPr>
        <w:pStyle w:val="SingleTxtG"/>
      </w:pPr>
      <w:r w:rsidRPr="0033075D">
        <w:t xml:space="preserve">At the end of the meeting, Ministers and Heads of delegations </w:t>
      </w:r>
      <w:r w:rsidRPr="00910CFD">
        <w:t>of Contracting Parties will be invited to adopt a resolution on: “</w:t>
      </w:r>
      <w:r w:rsidRPr="00910CFD">
        <w:rPr>
          <w:i/>
          <w:iCs/>
        </w:rPr>
        <w:t>Enhancing Cooperation, Harmonization and Integration in the Era of Transport Automation</w:t>
      </w:r>
      <w:r w:rsidRPr="00910CFD">
        <w:t xml:space="preserve">”, highlighting the relevance of the Committee in </w:t>
      </w:r>
      <w:r w:rsidRPr="00910CFD">
        <w:lastRenderedPageBreak/>
        <w:t>ensuring that the accelerated pace of innovation in transport automation and digitalization will be characterized by harmonization and interoperability, as well as safety, equitable access and intermodal integration, as essential preconditions for the achievement of the Sustainable Development Agenda</w:t>
      </w:r>
      <w:r>
        <w:t xml:space="preserve"> (</w:t>
      </w:r>
      <w:r w:rsidRPr="00D13786">
        <w:t>ECE/TRANS/2019/2)</w:t>
      </w:r>
      <w:r w:rsidRPr="00910CFD">
        <w:t>.</w:t>
      </w:r>
    </w:p>
    <w:p w:rsidR="006D1B78" w:rsidRPr="00910CFD" w:rsidRDefault="006D1B78" w:rsidP="006D1B78">
      <w:pPr>
        <w:pStyle w:val="SingleTxtG"/>
      </w:pPr>
      <w:r w:rsidRPr="00910CFD">
        <w:t xml:space="preserve">The Committee is invited to </w:t>
      </w:r>
      <w:r w:rsidRPr="00910CFD">
        <w:rPr>
          <w:b/>
        </w:rPr>
        <w:t>endorse</w:t>
      </w:r>
      <w:r w:rsidRPr="00910CFD">
        <w:t xml:space="preserve"> the outcome of the high-level policy segment on automation in transport.</w:t>
      </w:r>
    </w:p>
    <w:p w:rsidR="006D1B78" w:rsidRPr="00513698" w:rsidRDefault="006D1B78" w:rsidP="006D1B78">
      <w:pPr>
        <w:pStyle w:val="SingleTxtG"/>
        <w:rPr>
          <w:b/>
          <w:bCs/>
          <w:lang w:val="fr-FR"/>
        </w:rPr>
      </w:pPr>
      <w:r w:rsidRPr="00513698">
        <w:rPr>
          <w:b/>
          <w:bCs/>
          <w:lang w:val="fr-FR"/>
        </w:rPr>
        <w:t>Documentation</w:t>
      </w:r>
    </w:p>
    <w:p w:rsidR="006D1B78" w:rsidRPr="00513698" w:rsidRDefault="006D1B78" w:rsidP="006D1B78">
      <w:pPr>
        <w:pStyle w:val="SingleTxtG"/>
        <w:rPr>
          <w:lang w:val="fr-FR"/>
        </w:rPr>
      </w:pPr>
      <w:r w:rsidRPr="00513698">
        <w:rPr>
          <w:lang w:val="fr-FR"/>
        </w:rPr>
        <w:t>ECE/TRANS/2019/1, ECE/TRANS/2019/2</w:t>
      </w:r>
      <w:bookmarkEnd w:id="1"/>
    </w:p>
    <w:p w:rsidR="006D1B78" w:rsidRPr="0033075D" w:rsidRDefault="006D1B78" w:rsidP="006D1B78">
      <w:pPr>
        <w:pStyle w:val="HChG"/>
        <w:keepNext w:val="0"/>
        <w:keepLines w:val="0"/>
      </w:pPr>
      <w:r w:rsidRPr="00513698">
        <w:rPr>
          <w:lang w:val="fr-FR"/>
        </w:rPr>
        <w:tab/>
      </w:r>
      <w:r w:rsidRPr="002151BC">
        <w:t>II.</w:t>
      </w:r>
      <w:r w:rsidRPr="002151BC">
        <w:tab/>
        <w:t>Ninth</w:t>
      </w:r>
      <w:r w:rsidRPr="0033075D">
        <w:t xml:space="preserve"> Meeting for Government Delegates </w:t>
      </w:r>
      <w:r>
        <w:t>o</w:t>
      </w:r>
      <w:r w:rsidRPr="002151BC">
        <w:t xml:space="preserve">nly with the Participation </w:t>
      </w:r>
      <w:r w:rsidRPr="0033075D">
        <w:t>of the Chairs of the Committee’s Subsidiary Bodies</w:t>
      </w:r>
    </w:p>
    <w:p w:rsidR="006D1B78" w:rsidRPr="002151BC" w:rsidRDefault="006D1B78" w:rsidP="006D1B78">
      <w:pPr>
        <w:pStyle w:val="H1G"/>
        <w:keepNext w:val="0"/>
        <w:keepLines w:val="0"/>
      </w:pPr>
      <w:r w:rsidRPr="00910CFD">
        <w:tab/>
        <w:t>3.</w:t>
      </w:r>
      <w:r w:rsidRPr="00910CFD">
        <w:tab/>
        <w:t xml:space="preserve">Meeting for </w:t>
      </w:r>
      <w:r>
        <w:t>G</w:t>
      </w:r>
      <w:r w:rsidRPr="002151BC">
        <w:t xml:space="preserve">overnment </w:t>
      </w:r>
      <w:r>
        <w:t>D</w:t>
      </w:r>
      <w:r w:rsidRPr="002151BC">
        <w:t xml:space="preserve">elegates only with the </w:t>
      </w:r>
      <w:r>
        <w:t>P</w:t>
      </w:r>
      <w:r w:rsidRPr="002151BC">
        <w:t xml:space="preserve">articipation of the Chairs of the Committee’s </w:t>
      </w:r>
      <w:r>
        <w:t>S</w:t>
      </w:r>
      <w:r w:rsidRPr="002151BC">
        <w:t xml:space="preserve">ubsidiary </w:t>
      </w:r>
      <w:r>
        <w:t>B</w:t>
      </w:r>
      <w:r w:rsidRPr="002151BC">
        <w:t>odies</w:t>
      </w:r>
    </w:p>
    <w:p w:rsidR="006D1B78" w:rsidRPr="0033075D" w:rsidRDefault="006D1B78" w:rsidP="006D1B78">
      <w:pPr>
        <w:pStyle w:val="SingleTxtG"/>
      </w:pPr>
      <w:r w:rsidRPr="0033075D">
        <w:t xml:space="preserve">The Committee may wish to </w:t>
      </w:r>
      <w:r w:rsidRPr="0033075D">
        <w:rPr>
          <w:b/>
          <w:bCs/>
        </w:rPr>
        <w:t>recall</w:t>
      </w:r>
      <w:r w:rsidRPr="0033075D">
        <w:t xml:space="preserve"> that in </w:t>
      </w:r>
      <w:r w:rsidRPr="00910CFD">
        <w:t>line with the decisions of the 2017 M</w:t>
      </w:r>
      <w:r w:rsidRPr="0033075D">
        <w:t>inisterial Resolution “Embracing the new era for sustainable inland transport and mobility” (ECE/TRANS/</w:t>
      </w:r>
      <w:r w:rsidRPr="00910CFD">
        <w:t>270, para</w:t>
      </w:r>
      <w:r>
        <w:t>.</w:t>
      </w:r>
      <w:r w:rsidRPr="0033075D">
        <w:t xml:space="preserve"> 13 and Annex I) and its decisions at its eightieth session </w:t>
      </w:r>
      <w:r w:rsidRPr="00910CFD">
        <w:t>(ECE/TRANS/274, para</w:t>
      </w:r>
      <w:r>
        <w:t>.</w:t>
      </w:r>
      <w:r w:rsidRPr="0033075D">
        <w:t xml:space="preserve"> 17), the Committee will have the opportunity to </w:t>
      </w:r>
      <w:r w:rsidRPr="0033075D">
        <w:rPr>
          <w:b/>
          <w:bCs/>
        </w:rPr>
        <w:t xml:space="preserve">consider and adopt </w:t>
      </w:r>
      <w:r w:rsidRPr="0033075D">
        <w:t>the draft ITC strategy, Action Plan and revised ITC Terms of Reference (ToR), as contained in ECE/TRANS/2019/R.1 at its eighty-first session. The secretariat will inform the Committee about the consultations on prepar</w:t>
      </w:r>
      <w:r>
        <w:t>ing</w:t>
      </w:r>
      <w:r w:rsidRPr="0033075D">
        <w:t xml:space="preserve"> the strategy document (Informal document No. 1).</w:t>
      </w:r>
    </w:p>
    <w:p w:rsidR="006D1B78" w:rsidRPr="0033075D" w:rsidRDefault="006D1B78" w:rsidP="006D1B78">
      <w:pPr>
        <w:pStyle w:val="SingleTxtG"/>
      </w:pPr>
      <w:r w:rsidRPr="0033075D">
        <w:t xml:space="preserve">The Committee is invited to (a) </w:t>
      </w:r>
      <w:r w:rsidRPr="0033075D">
        <w:rPr>
          <w:b/>
        </w:rPr>
        <w:t xml:space="preserve">consider and adopt </w:t>
      </w:r>
      <w:r w:rsidRPr="0033075D">
        <w:t>the</w:t>
      </w:r>
      <w:r w:rsidRPr="0033075D">
        <w:rPr>
          <w:b/>
        </w:rPr>
        <w:t xml:space="preserve"> </w:t>
      </w:r>
      <w:r w:rsidRPr="0033075D">
        <w:t xml:space="preserve">ITC strategy </w:t>
      </w:r>
      <w:r w:rsidRPr="00910CFD">
        <w:t>2030, A</w:t>
      </w:r>
      <w:r w:rsidRPr="0033075D">
        <w:t xml:space="preserve">ction Plan and revised </w:t>
      </w:r>
      <w:r>
        <w:t>ToR</w:t>
      </w:r>
      <w:r w:rsidRPr="0033075D">
        <w:t xml:space="preserve">, as contained in ECE/TRANS/2019/R.1 and (b) </w:t>
      </w:r>
      <w:r w:rsidRPr="00910CFD">
        <w:rPr>
          <w:b/>
        </w:rPr>
        <w:t>provide guidance</w:t>
      </w:r>
      <w:r w:rsidRPr="00910CFD">
        <w:t xml:space="preserve"> to the secretariat on implementing the ITC strategy and its action plan. The Committee may further wish to </w:t>
      </w:r>
      <w:r w:rsidRPr="00910CFD">
        <w:rPr>
          <w:b/>
        </w:rPr>
        <w:t xml:space="preserve">invite the Commission to </w:t>
      </w:r>
      <w:r w:rsidRPr="00910CFD">
        <w:t>consider and endorse the revised T</w:t>
      </w:r>
      <w:r>
        <w:t xml:space="preserve">oR </w:t>
      </w:r>
      <w:r w:rsidRPr="0033075D">
        <w:t xml:space="preserve">of the Committee that accompany the ITC </w:t>
      </w:r>
      <w:r>
        <w:t>s</w:t>
      </w:r>
      <w:r w:rsidRPr="0033075D">
        <w:t xml:space="preserve">trategy. The Committee may wish to </w:t>
      </w:r>
      <w:r w:rsidRPr="0033075D">
        <w:rPr>
          <w:b/>
          <w:bCs/>
        </w:rPr>
        <w:t>request</w:t>
      </w:r>
      <w:r w:rsidRPr="0033075D">
        <w:t xml:space="preserve"> the secretariat to report back to the Committee on the status of the implementation of the ITC </w:t>
      </w:r>
      <w:r>
        <w:t>s</w:t>
      </w:r>
      <w:r w:rsidRPr="0033075D">
        <w:t xml:space="preserve">trategy and relevant emerging issues, in line with Decision 12 of the 2017 </w:t>
      </w:r>
      <w:r>
        <w:t>M</w:t>
      </w:r>
      <w:r w:rsidRPr="0033075D">
        <w:t xml:space="preserve">inisterial </w:t>
      </w:r>
      <w:r>
        <w:t xml:space="preserve">Resolution </w:t>
      </w:r>
      <w:r w:rsidRPr="0033075D">
        <w:t xml:space="preserve">(ECE/TRANS/270, </w:t>
      </w:r>
      <w:r>
        <w:t>A</w:t>
      </w:r>
      <w:r w:rsidRPr="0033075D">
        <w:t xml:space="preserve">nnex I). </w:t>
      </w:r>
    </w:p>
    <w:p w:rsidR="006D1B78" w:rsidRPr="00910CFD" w:rsidRDefault="006D1B78" w:rsidP="006D1B78">
      <w:pPr>
        <w:pStyle w:val="SingleTxtG"/>
      </w:pPr>
      <w:r w:rsidRPr="0033075D">
        <w:t>The Chairs of the Administrative Committees and of the Committee’s subsidiary bodies, the members of the Bureau and government delegates attending the eighty-first</w:t>
      </w:r>
      <w:r w:rsidRPr="00910CFD">
        <w:t xml:space="preserve"> session of the Committee are </w:t>
      </w:r>
      <w:r w:rsidRPr="00910CFD">
        <w:rPr>
          <w:b/>
        </w:rPr>
        <w:t>invited to participate</w:t>
      </w:r>
      <w:r w:rsidRPr="00910CFD">
        <w:t xml:space="preserve"> in this meeting. </w:t>
      </w:r>
    </w:p>
    <w:p w:rsidR="006D1B78" w:rsidRPr="0033075D" w:rsidRDefault="006D1B78" w:rsidP="006D1B78">
      <w:pPr>
        <w:pStyle w:val="SingleTxtG"/>
      </w:pPr>
      <w:r w:rsidRPr="00910CFD">
        <w:t xml:space="preserve">Due to the restricted status, the results of the discussions will be circulated in the form of Chair’s conclusions among the participants of the meeting and the Chairs of the Working Parties. The Committee may, however, decide to include them as an </w:t>
      </w:r>
      <w:r>
        <w:t>a</w:t>
      </w:r>
      <w:r w:rsidRPr="0033075D">
        <w:t>nnex to the report of its annual session.</w:t>
      </w:r>
    </w:p>
    <w:p w:rsidR="006D1B78" w:rsidRPr="00D13786" w:rsidRDefault="006D1B78" w:rsidP="006D1B78">
      <w:pPr>
        <w:pStyle w:val="SingleTxtG"/>
        <w:rPr>
          <w:b/>
          <w:lang w:val="fr-FR"/>
        </w:rPr>
      </w:pPr>
      <w:r w:rsidRPr="00D13786">
        <w:rPr>
          <w:b/>
          <w:lang w:val="fr-FR"/>
        </w:rPr>
        <w:t>Documentation</w:t>
      </w:r>
    </w:p>
    <w:p w:rsidR="006D1B78" w:rsidRPr="00D13786" w:rsidRDefault="006D1B78" w:rsidP="006D1B78">
      <w:pPr>
        <w:pStyle w:val="SingleTxtG"/>
        <w:rPr>
          <w:lang w:val="fr-FR"/>
        </w:rPr>
      </w:pPr>
      <w:r w:rsidRPr="00D13786">
        <w:rPr>
          <w:lang w:val="fr-FR"/>
        </w:rPr>
        <w:t>ECE/TRANS/2019/R.1 (</w:t>
      </w:r>
      <w:r w:rsidRPr="005A2D58">
        <w:rPr>
          <w:lang w:val="fr-FR"/>
        </w:rPr>
        <w:t>restricted</w:t>
      </w:r>
      <w:r w:rsidRPr="00D13786">
        <w:rPr>
          <w:lang w:val="fr-FR"/>
        </w:rPr>
        <w:t xml:space="preserve">), Informal document No. 1 </w:t>
      </w:r>
    </w:p>
    <w:p w:rsidR="006D1B78" w:rsidRPr="002151BC" w:rsidRDefault="006D1B78" w:rsidP="006D1B78">
      <w:pPr>
        <w:pStyle w:val="HChG"/>
      </w:pPr>
      <w:r w:rsidRPr="00D13786">
        <w:rPr>
          <w:lang w:val="fr-FR"/>
        </w:rPr>
        <w:lastRenderedPageBreak/>
        <w:tab/>
      </w:r>
      <w:r w:rsidRPr="00910CFD">
        <w:t>III.</w:t>
      </w:r>
      <w:r w:rsidRPr="00910CFD">
        <w:tab/>
        <w:t xml:space="preserve">Transport </w:t>
      </w:r>
      <w:r>
        <w:t>P</w:t>
      </w:r>
      <w:r w:rsidRPr="002151BC">
        <w:t xml:space="preserve">olicy </w:t>
      </w:r>
      <w:r w:rsidRPr="005A3095">
        <w:t>and</w:t>
      </w:r>
      <w:r w:rsidRPr="002151BC">
        <w:t xml:space="preserve"> </w:t>
      </w:r>
      <w:r>
        <w:t>R</w:t>
      </w:r>
      <w:r w:rsidRPr="002151BC">
        <w:t xml:space="preserve">egulatory </w:t>
      </w:r>
      <w:r>
        <w:t>I</w:t>
      </w:r>
      <w:r w:rsidRPr="002151BC">
        <w:t xml:space="preserve">ssues that require </w:t>
      </w:r>
      <w:r>
        <w:t>D</w:t>
      </w:r>
      <w:r w:rsidRPr="002151BC">
        <w:t>ecisions by the Committee</w:t>
      </w:r>
    </w:p>
    <w:p w:rsidR="006D1B78" w:rsidRPr="00910CFD" w:rsidRDefault="006D1B78" w:rsidP="006D1B78">
      <w:pPr>
        <w:pStyle w:val="H1G"/>
      </w:pPr>
      <w:r w:rsidRPr="00910CFD">
        <w:tab/>
        <w:t>4.</w:t>
      </w:r>
      <w:r w:rsidRPr="00910CFD">
        <w:tab/>
        <w:t>Strategic questions of a horizontal policy nature</w:t>
      </w:r>
    </w:p>
    <w:p w:rsidR="006D1B78" w:rsidRPr="0033075D" w:rsidRDefault="006D1B78" w:rsidP="006D1B78">
      <w:pPr>
        <w:pStyle w:val="H23G"/>
      </w:pPr>
      <w:r w:rsidRPr="00910CFD">
        <w:tab/>
        <w:t>(a)</w:t>
      </w:r>
      <w:r w:rsidRPr="00910CFD">
        <w:tab/>
        <w:t xml:space="preserve">Status of accession to </w:t>
      </w:r>
      <w:r w:rsidRPr="005617BE">
        <w:t>international</w:t>
      </w:r>
      <w:r w:rsidRPr="00910CFD">
        <w:t xml:space="preserve"> U</w:t>
      </w:r>
      <w:r>
        <w:t xml:space="preserve">nited </w:t>
      </w:r>
      <w:r w:rsidRPr="002151BC">
        <w:t>N</w:t>
      </w:r>
      <w:r>
        <w:t>ations</w:t>
      </w:r>
      <w:r w:rsidRPr="002151BC">
        <w:t xml:space="preserve"> transport agreements and conventions</w:t>
      </w:r>
    </w:p>
    <w:p w:rsidR="006D1B78" w:rsidRPr="0033075D" w:rsidRDefault="006D1B78" w:rsidP="006D1B78">
      <w:pPr>
        <w:pStyle w:val="SingleTxtG"/>
      </w:pPr>
      <w:r w:rsidRPr="0033075D">
        <w:t xml:space="preserve">The Committee may wish to </w:t>
      </w:r>
      <w:r w:rsidRPr="00910CFD">
        <w:t xml:space="preserve">discuss </w:t>
      </w:r>
      <w:r w:rsidRPr="00910CFD">
        <w:rPr>
          <w:b/>
        </w:rPr>
        <w:t>ways to strengthen</w:t>
      </w:r>
      <w:r w:rsidRPr="00910CFD">
        <w:t xml:space="preserve"> the regulatory governance of inland transport internationally, especially in light of its strategic role in supporting the implementation of the </w:t>
      </w:r>
      <w:r w:rsidRPr="008D2461">
        <w:t xml:space="preserve">Sustainable Development Goals </w:t>
      </w:r>
      <w:r w:rsidRPr="0033075D">
        <w:t xml:space="preserve">until 2030. In this regard, the Committee may wish </w:t>
      </w:r>
      <w:r w:rsidRPr="00910CFD">
        <w:rPr>
          <w:b/>
          <w:bCs/>
        </w:rPr>
        <w:t>to emphasize the urgency of accelerating accessions to and implementation</w:t>
      </w:r>
      <w:r w:rsidRPr="00910CFD">
        <w:t xml:space="preserve"> of those U</w:t>
      </w:r>
      <w:r>
        <w:t xml:space="preserve">nited </w:t>
      </w:r>
      <w:r w:rsidRPr="0033075D">
        <w:t>N</w:t>
      </w:r>
      <w:r>
        <w:t>ations</w:t>
      </w:r>
      <w:r w:rsidRPr="0033075D">
        <w:t xml:space="preserve"> transport conventions and agreements under its purview that form the international framework for this governance. </w:t>
      </w:r>
    </w:p>
    <w:p w:rsidR="006D1B78" w:rsidRPr="00910CFD" w:rsidRDefault="006D1B78" w:rsidP="006D1B78">
      <w:pPr>
        <w:pStyle w:val="SingleTxtG"/>
      </w:pPr>
      <w:r w:rsidRPr="00910CFD">
        <w:t xml:space="preserve">The Committee may also wish to </w:t>
      </w:r>
      <w:r w:rsidRPr="00910CFD">
        <w:rPr>
          <w:b/>
        </w:rPr>
        <w:t>invite</w:t>
      </w:r>
      <w:r w:rsidRPr="00910CFD">
        <w:t xml:space="preserve"> countries, which have not yet done so, to accede to the United Nations conventions and other legal instruments in inland transport administered by the Committee and its subsidiary bodies. The Committee may wish to </w:t>
      </w:r>
      <w:r w:rsidRPr="00910CFD">
        <w:rPr>
          <w:b/>
        </w:rPr>
        <w:t>decide</w:t>
      </w:r>
      <w:r w:rsidRPr="00910CFD">
        <w:t xml:space="preserve"> on concerted actions in support of accession to and implementation of the United Nations transport conventions.</w:t>
      </w:r>
    </w:p>
    <w:p w:rsidR="006D1B78" w:rsidRPr="00910CFD" w:rsidRDefault="006D1B78" w:rsidP="006D1B78">
      <w:pPr>
        <w:pStyle w:val="SingleTxtG"/>
      </w:pPr>
      <w:r w:rsidRPr="00910CFD">
        <w:t xml:space="preserve">When considering these issues, the Committee may wish to </w:t>
      </w:r>
      <w:r w:rsidRPr="00910CFD">
        <w:rPr>
          <w:b/>
        </w:rPr>
        <w:t>take note</w:t>
      </w:r>
      <w:r w:rsidRPr="00910CFD">
        <w:t xml:space="preserve"> of ECE/TRANS/2019/3 on the status of signatures, ratifications and accessions to United Nations legal instruments on inland transport administered by the Committee and its subsidiary bodies as of December 2018. This document also includes the accessions registered since the last session of the Committee. </w:t>
      </w:r>
    </w:p>
    <w:p w:rsidR="006D1B78" w:rsidRPr="00910CFD" w:rsidRDefault="006D1B78" w:rsidP="006D1B78">
      <w:pPr>
        <w:pStyle w:val="SingleTxtG"/>
        <w:rPr>
          <w:b/>
        </w:rPr>
      </w:pPr>
      <w:r w:rsidRPr="00910CFD">
        <w:rPr>
          <w:b/>
        </w:rPr>
        <w:t>Documentation</w:t>
      </w:r>
    </w:p>
    <w:p w:rsidR="006D1B78" w:rsidRPr="00910CFD" w:rsidRDefault="006D1B78" w:rsidP="006D1B78">
      <w:pPr>
        <w:pStyle w:val="SingleTxtG"/>
      </w:pPr>
      <w:r w:rsidRPr="00910CFD">
        <w:t>ECE/TRANS/2019/3</w:t>
      </w:r>
    </w:p>
    <w:p w:rsidR="006D1B78" w:rsidRPr="00910CFD" w:rsidRDefault="006D1B78" w:rsidP="006D1B78">
      <w:pPr>
        <w:pStyle w:val="H23G"/>
        <w:keepNext w:val="0"/>
        <w:keepLines w:val="0"/>
      </w:pPr>
      <w:r w:rsidRPr="00910CFD">
        <w:tab/>
        <w:t>(b)</w:t>
      </w:r>
      <w:r w:rsidRPr="00910CFD">
        <w:tab/>
        <w:t>Policy dialogue and technical assistance to countries with economies in transition and developing economies</w:t>
      </w:r>
    </w:p>
    <w:p w:rsidR="006D1B78" w:rsidRPr="00910CFD" w:rsidRDefault="006D1B78" w:rsidP="006D1B78">
      <w:pPr>
        <w:pStyle w:val="SingleTxtG"/>
      </w:pPr>
      <w:r w:rsidRPr="00910CFD">
        <w:t xml:space="preserve">The Committee may wish to </w:t>
      </w:r>
      <w:r w:rsidRPr="00910CFD">
        <w:rPr>
          <w:b/>
        </w:rPr>
        <w:t>take note</w:t>
      </w:r>
      <w:r w:rsidRPr="00910CFD">
        <w:t xml:space="preserve"> of activities in the field of </w:t>
      </w:r>
      <w:r>
        <w:t>T</w:t>
      </w:r>
      <w:r w:rsidRPr="0033075D">
        <w:t xml:space="preserve">echnical </w:t>
      </w:r>
      <w:r>
        <w:t>A</w:t>
      </w:r>
      <w:r w:rsidRPr="0033075D">
        <w:t xml:space="preserve">ssistance (TA) to the member States in achieving transport-related Sustainable Development Goals (ECE/TRANS/2019/4). </w:t>
      </w:r>
      <w:r w:rsidRPr="00910CFD">
        <w:t>TA activities supported the efforts of member States to connect national transport policies with the achievement of the Sustainable Development Goals and gave information on the available statistical tools to measure and monitor implementation.</w:t>
      </w:r>
    </w:p>
    <w:p w:rsidR="006D1B78" w:rsidRPr="00910CFD" w:rsidRDefault="006D1B78" w:rsidP="006D1B78">
      <w:pPr>
        <w:pStyle w:val="SingleTxtG"/>
      </w:pPr>
      <w:r w:rsidRPr="00910CFD">
        <w:t xml:space="preserve">The Committee will be invited to </w:t>
      </w:r>
      <w:r w:rsidRPr="00910CFD">
        <w:rPr>
          <w:b/>
        </w:rPr>
        <w:t>provide guidance</w:t>
      </w:r>
      <w:r w:rsidRPr="00910CFD">
        <w:t xml:space="preserve"> on the main directions for future technical assistance and policy dialogue by the Sustainable Transport Division.</w:t>
      </w:r>
    </w:p>
    <w:p w:rsidR="006D1B78" w:rsidRPr="00910CFD" w:rsidRDefault="006D1B78" w:rsidP="006D1B78">
      <w:pPr>
        <w:pStyle w:val="SingleTxtG"/>
        <w:rPr>
          <w:b/>
        </w:rPr>
      </w:pPr>
      <w:r w:rsidRPr="00910CFD">
        <w:rPr>
          <w:b/>
        </w:rPr>
        <w:t>Documentation</w:t>
      </w:r>
    </w:p>
    <w:p w:rsidR="006D1B78" w:rsidRPr="00910CFD" w:rsidRDefault="006D1B78" w:rsidP="006D1B78">
      <w:pPr>
        <w:pStyle w:val="SingleTxtG"/>
      </w:pPr>
      <w:r w:rsidRPr="00910CFD">
        <w:t>ECE/TRANS/2019/4</w:t>
      </w:r>
    </w:p>
    <w:p w:rsidR="006D1B78" w:rsidRPr="00910CFD" w:rsidRDefault="006D1B78" w:rsidP="006D1B78">
      <w:pPr>
        <w:pStyle w:val="H23G"/>
        <w:keepNext w:val="0"/>
        <w:keepLines w:val="0"/>
      </w:pPr>
      <w:r w:rsidRPr="00910CFD">
        <w:tab/>
        <w:t>(c)</w:t>
      </w:r>
      <w:r w:rsidRPr="00910CFD">
        <w:tab/>
      </w:r>
      <w:r w:rsidRPr="00946FC4">
        <w:t>Analytical work on transport</w:t>
      </w:r>
    </w:p>
    <w:p w:rsidR="006D1B78" w:rsidRPr="00910CFD" w:rsidRDefault="006D1B78" w:rsidP="006D1B78">
      <w:pPr>
        <w:pStyle w:val="SingleTxtG"/>
      </w:pPr>
      <w:r w:rsidRPr="00910CFD">
        <w:t xml:space="preserve">The Committee will be </w:t>
      </w:r>
      <w:r w:rsidRPr="00910CFD">
        <w:rPr>
          <w:b/>
          <w:bCs/>
        </w:rPr>
        <w:t>informed</w:t>
      </w:r>
      <w:r w:rsidRPr="00910CFD">
        <w:t xml:space="preserve"> by the secretariat about the </w:t>
      </w:r>
      <w:r w:rsidRPr="00910CFD">
        <w:rPr>
          <w:b/>
          <w:bCs/>
        </w:rPr>
        <w:t>analytical activities</w:t>
      </w:r>
      <w:r w:rsidRPr="00910CFD">
        <w:t xml:space="preserve"> of 2018 (ECE/TRANS/2019/5) of the Division. The Working Party on Transport Trends and Economics (WP.5) has the role of a think tank which leads policy discussions on subjects of a horizontal nature and that are relevant for ECE member States, the Committee and its subsidiary bodies, and for the legal and regulatory framework of inland transport. </w:t>
      </w:r>
    </w:p>
    <w:p w:rsidR="006D1B78" w:rsidRPr="00910CFD" w:rsidRDefault="006D1B78" w:rsidP="006D1B78">
      <w:pPr>
        <w:pStyle w:val="SingleTxtG"/>
      </w:pPr>
      <w:r w:rsidRPr="002151BC">
        <w:t xml:space="preserve">The Committee may wish </w:t>
      </w:r>
      <w:r w:rsidRPr="002151BC">
        <w:rPr>
          <w:b/>
          <w:bCs/>
        </w:rPr>
        <w:t>to note</w:t>
      </w:r>
      <w:r w:rsidRPr="0033075D">
        <w:t xml:space="preserve"> that the publication “Mobility as a Service</w:t>
      </w:r>
      <w:r w:rsidRPr="00910CFD">
        <w:t xml:space="preserve">” is under preparation (Informal document No. 2). </w:t>
      </w:r>
    </w:p>
    <w:p w:rsidR="006D1B78" w:rsidRPr="0033075D" w:rsidRDefault="006D1B78" w:rsidP="006D1B78">
      <w:pPr>
        <w:pStyle w:val="SingleTxtG"/>
      </w:pPr>
      <w:r w:rsidRPr="00910CFD">
        <w:lastRenderedPageBreak/>
        <w:t xml:space="preserve">Furthermore, the Committee may wish to be </w:t>
      </w:r>
      <w:r w:rsidRPr="00910CFD">
        <w:rPr>
          <w:b/>
          <w:bCs/>
        </w:rPr>
        <w:t>informed</w:t>
      </w:r>
      <w:r w:rsidRPr="00910CFD">
        <w:t xml:space="preserve"> about the international conference on “Making Euro-Asian transport corridors operational” and the workshop on “</w:t>
      </w:r>
      <w:r>
        <w:t>I</w:t>
      </w:r>
      <w:r w:rsidRPr="0033075D">
        <w:t>ntegrated transport and urban development including environmental, health, and quality of life perspective” that took place during the WP.5 session. As a follow</w:t>
      </w:r>
      <w:r>
        <w:t>-</w:t>
      </w:r>
      <w:r w:rsidRPr="0033075D">
        <w:t>up to this workshop and also ITC’s decision during last year’s session</w:t>
      </w:r>
      <w:r>
        <w:t>.</w:t>
      </w:r>
    </w:p>
    <w:p w:rsidR="006D1B78" w:rsidRPr="00910CFD" w:rsidRDefault="006D1B78" w:rsidP="006D1B78">
      <w:pPr>
        <w:pStyle w:val="SingleTxtG"/>
      </w:pPr>
      <w:r w:rsidRPr="0033075D">
        <w:t xml:space="preserve">Also, the secretariat will </w:t>
      </w:r>
      <w:r w:rsidRPr="0033075D">
        <w:rPr>
          <w:b/>
          <w:bCs/>
        </w:rPr>
        <w:t>provide information</w:t>
      </w:r>
      <w:r w:rsidRPr="0033075D">
        <w:t xml:space="preserve"> on other activities being undertaken under WP.5 such as: </w:t>
      </w:r>
    </w:p>
    <w:p w:rsidR="006D1B78" w:rsidRPr="00910CFD" w:rsidRDefault="006D1B78" w:rsidP="006D1B78">
      <w:pPr>
        <w:pStyle w:val="SingleTxtG"/>
        <w:ind w:firstLine="567"/>
      </w:pPr>
      <w:r>
        <w:t>(a)</w:t>
      </w:r>
      <w:r>
        <w:tab/>
      </w:r>
      <w:r w:rsidRPr="00910CFD">
        <w:t>The international transpo</w:t>
      </w:r>
      <w:r>
        <w:t>rt infrastructure observatory;</w:t>
      </w:r>
    </w:p>
    <w:p w:rsidR="006D1B78" w:rsidRPr="009D4DB0" w:rsidRDefault="006D1B78" w:rsidP="009D4DB0">
      <w:pPr>
        <w:pStyle w:val="SingleTxtG"/>
        <w:ind w:firstLine="567"/>
        <w:rPr>
          <w:spacing w:val="-2"/>
        </w:rPr>
      </w:pPr>
      <w:r w:rsidRPr="009D4DB0">
        <w:rPr>
          <w:spacing w:val="-2"/>
        </w:rPr>
        <w:t>(b)</w:t>
      </w:r>
      <w:r w:rsidRPr="009D4DB0">
        <w:rPr>
          <w:spacing w:val="-2"/>
        </w:rPr>
        <w:tab/>
        <w:t>The project on strengthening regional connectivity with the establishment of a Geographical Information System (GIS) in cooperation with the Islamic Development Bank</w:t>
      </w:r>
      <w:bookmarkStart w:id="2" w:name="hit1"/>
      <w:bookmarkEnd w:id="2"/>
      <w:r w:rsidRPr="009D4DB0">
        <w:rPr>
          <w:spacing w:val="-2"/>
        </w:rPr>
        <w:t>.</w:t>
      </w:r>
    </w:p>
    <w:p w:rsidR="006D1B78" w:rsidRPr="00910CFD" w:rsidRDefault="006D1B78" w:rsidP="006D1B78">
      <w:pPr>
        <w:pStyle w:val="SingleTxtG"/>
      </w:pPr>
      <w:r w:rsidRPr="0033075D">
        <w:t xml:space="preserve">Also, the Committee may wish to </w:t>
      </w:r>
      <w:r w:rsidRPr="0033075D">
        <w:rPr>
          <w:b/>
          <w:bCs/>
        </w:rPr>
        <w:t>be informed</w:t>
      </w:r>
      <w:r w:rsidRPr="0033075D">
        <w:t xml:space="preserve"> about the progress on the work of the Groups of Experts administered by the Working Party. More specifically:</w:t>
      </w:r>
    </w:p>
    <w:p w:rsidR="006D1B78" w:rsidRPr="00910CFD" w:rsidRDefault="006D1B78" w:rsidP="006D1B78">
      <w:pPr>
        <w:pStyle w:val="SingleTxtG"/>
        <w:ind w:firstLine="567"/>
      </w:pPr>
      <w:bookmarkStart w:id="3" w:name="_Hlk531878687"/>
      <w:r>
        <w:t>(a)</w:t>
      </w:r>
      <w:r>
        <w:tab/>
      </w:r>
      <w:r w:rsidRPr="00910CFD">
        <w:t xml:space="preserve">The Group of Experts on Benchmarking Transport Infrastructure Construction Costs: The Committee may wish to </w:t>
      </w:r>
      <w:r w:rsidRPr="00910CFD">
        <w:rPr>
          <w:b/>
          <w:bCs/>
        </w:rPr>
        <w:t>approve</w:t>
      </w:r>
      <w:r w:rsidRPr="00910CFD">
        <w:t xml:space="preserve"> the extension of the Group of Experts mandate </w:t>
      </w:r>
      <w:r w:rsidRPr="00885AC2">
        <w:t xml:space="preserve">for one more year </w:t>
      </w:r>
      <w:r w:rsidRPr="00910CFD">
        <w:t>based on the same terms of reference (ECE/TRANS/2016/4). This extension for one more year should be realized after the final approval by the Executive Committee (EXCOM) in 2019 in order for the experts to have the opportunity to meet at least four times before submitting their final report to the thirty-third session of the Working Party on Transport Trends and Economics in 2020</w:t>
      </w:r>
      <w:r>
        <w:t>;</w:t>
      </w:r>
    </w:p>
    <w:bookmarkEnd w:id="3"/>
    <w:p w:rsidR="006D1B78" w:rsidRPr="00910CFD" w:rsidRDefault="006D1B78" w:rsidP="006D1B78">
      <w:pPr>
        <w:pStyle w:val="SingleTxtG"/>
        <w:ind w:firstLine="567"/>
      </w:pPr>
      <w:r>
        <w:t>(b)</w:t>
      </w:r>
      <w:r>
        <w:tab/>
      </w:r>
      <w:r w:rsidRPr="00910CFD">
        <w:t>The Group of Experts on Climate Change Impacts and Adaptation for Transport Networks and Nodes: The work of the Group will be discussed under agenda item 4</w:t>
      </w:r>
      <w:r w:rsidR="009D4DB0">
        <w:t xml:space="preserve"> </w:t>
      </w:r>
      <w:r w:rsidRPr="00910CFD">
        <w:t xml:space="preserve">(d) (iii). </w:t>
      </w:r>
    </w:p>
    <w:p w:rsidR="006D1B78" w:rsidRPr="00513698" w:rsidRDefault="006D1B78" w:rsidP="006D1B78">
      <w:pPr>
        <w:pStyle w:val="SingleTxtG"/>
        <w:rPr>
          <w:b/>
          <w:lang w:val="fr-FR"/>
        </w:rPr>
      </w:pPr>
      <w:r w:rsidRPr="00513698">
        <w:rPr>
          <w:b/>
          <w:lang w:val="fr-FR"/>
        </w:rPr>
        <w:t>Documentation</w:t>
      </w:r>
    </w:p>
    <w:p w:rsidR="006D1B78" w:rsidRPr="00D13786" w:rsidRDefault="006D1B78" w:rsidP="006D1B78">
      <w:pPr>
        <w:pStyle w:val="SingleTxtG"/>
        <w:rPr>
          <w:lang w:val="fr-FR"/>
        </w:rPr>
      </w:pPr>
      <w:r w:rsidRPr="00513698">
        <w:rPr>
          <w:lang w:val="fr-FR"/>
        </w:rPr>
        <w:t xml:space="preserve">ECE/TRANS/2019/5, Informal document No. </w:t>
      </w:r>
      <w:r w:rsidRPr="00D13786">
        <w:rPr>
          <w:lang w:val="fr-FR"/>
        </w:rPr>
        <w:t>2</w:t>
      </w:r>
    </w:p>
    <w:p w:rsidR="006D1B78" w:rsidRPr="0033075D" w:rsidRDefault="006D1B78" w:rsidP="009D4DB0">
      <w:pPr>
        <w:pStyle w:val="H23G"/>
        <w:keepNext w:val="0"/>
        <w:keepLines w:val="0"/>
        <w:spacing w:before="200"/>
      </w:pPr>
      <w:r w:rsidRPr="00D13786">
        <w:rPr>
          <w:lang w:val="fr-FR"/>
        </w:rPr>
        <w:tab/>
      </w:r>
      <w:r w:rsidRPr="002151BC">
        <w:t>(d</w:t>
      </w:r>
      <w:r w:rsidRPr="0033075D">
        <w:t>)</w:t>
      </w:r>
      <w:r w:rsidRPr="0033075D">
        <w:tab/>
        <w:t>Environment, climate change and transport</w:t>
      </w:r>
    </w:p>
    <w:p w:rsidR="006D1B78" w:rsidRPr="00910CFD" w:rsidRDefault="006D1B78" w:rsidP="006D1B78">
      <w:pPr>
        <w:pStyle w:val="H4G"/>
        <w:keepNext w:val="0"/>
        <w:keepLines w:val="0"/>
      </w:pPr>
      <w:r w:rsidRPr="00910CFD">
        <w:tab/>
        <w:t>(i)</w:t>
      </w:r>
      <w:r w:rsidRPr="00910CFD">
        <w:tab/>
        <w:t>Inland Transport Committee follow-up to the 2030 Agenda</w:t>
      </w:r>
    </w:p>
    <w:p w:rsidR="006D1B78" w:rsidRPr="00910CFD" w:rsidRDefault="006D1B78" w:rsidP="006D1B78">
      <w:pPr>
        <w:pStyle w:val="SingleTxtG"/>
      </w:pPr>
      <w:r w:rsidRPr="00910CFD">
        <w:t xml:space="preserve">The Committee will be </w:t>
      </w:r>
      <w:r w:rsidRPr="00910CFD">
        <w:rPr>
          <w:b/>
        </w:rPr>
        <w:t>informed</w:t>
      </w:r>
      <w:r w:rsidRPr="00910CFD">
        <w:t xml:space="preserve"> about progress in implement</w:t>
      </w:r>
      <w:r>
        <w:t>ing</w:t>
      </w:r>
      <w:r w:rsidRPr="0033075D">
        <w:t xml:space="preserve"> the Sustainable Development Goals</w:t>
      </w:r>
      <w:r w:rsidRPr="00910CFD">
        <w:t xml:space="preserve"> and major global processes/initiatives to track progress, including the targets and indicators of the Sustainable Development Goals, the Sustainable Mobility for All (SUM4ALL) initiative, and the initiative to develop voluntary global road safety performance targets and indicators. The Inland Transport Committee (ITC) directly contributes to all three processes through its regulatory, analytical, capacity-building and policy-relevant work. The Committee is invited to </w:t>
      </w:r>
      <w:r w:rsidRPr="00910CFD">
        <w:rPr>
          <w:b/>
        </w:rPr>
        <w:t>consider</w:t>
      </w:r>
      <w:r w:rsidRPr="00910CFD">
        <w:t xml:space="preserve"> ways to strengthen its possible role and contribution within the Sustainable Development Goals framework in the period until 2030 (ECE/TRANS/2019/6).</w:t>
      </w:r>
    </w:p>
    <w:p w:rsidR="006D1B78" w:rsidRPr="00D17E9B" w:rsidRDefault="006D1B78" w:rsidP="006D1B78">
      <w:pPr>
        <w:pStyle w:val="SingleTxtG"/>
        <w:rPr>
          <w:b/>
        </w:rPr>
      </w:pPr>
      <w:r w:rsidRPr="00D17E9B">
        <w:rPr>
          <w:b/>
        </w:rPr>
        <w:t>Documentation</w:t>
      </w:r>
    </w:p>
    <w:p w:rsidR="006D1B78" w:rsidRPr="002151BC" w:rsidRDefault="006D1B78" w:rsidP="006D1B78">
      <w:pPr>
        <w:pStyle w:val="SingleTxtG"/>
      </w:pPr>
      <w:r w:rsidRPr="00D17E9B">
        <w:t>ECE/TRANS/2019/6</w:t>
      </w:r>
    </w:p>
    <w:p w:rsidR="006D1B78" w:rsidRPr="00910CFD" w:rsidRDefault="006D1B78" w:rsidP="006D1B78">
      <w:pPr>
        <w:pStyle w:val="H4G"/>
        <w:keepNext w:val="0"/>
        <w:keepLines w:val="0"/>
      </w:pPr>
      <w:r w:rsidRPr="00910CFD">
        <w:tab/>
        <w:t>(ii)</w:t>
      </w:r>
      <w:r w:rsidRPr="00910CFD">
        <w:tab/>
        <w:t>Decarbonisation and mitigation of environmentally harmful effects of inland transport</w:t>
      </w:r>
    </w:p>
    <w:p w:rsidR="006D1B78" w:rsidRPr="0033075D" w:rsidRDefault="006D1B78" w:rsidP="006D1B78">
      <w:pPr>
        <w:pStyle w:val="SingleTxtG"/>
      </w:pPr>
      <w:r w:rsidRPr="00910CFD">
        <w:t xml:space="preserve">The Committee will be </w:t>
      </w:r>
      <w:r w:rsidRPr="00910CFD">
        <w:rPr>
          <w:b/>
          <w:bCs/>
        </w:rPr>
        <w:t>informed</w:t>
      </w:r>
      <w:r w:rsidRPr="00910CFD">
        <w:t xml:space="preserve"> about the For Future Inland Transport Systems (ForFITS) </w:t>
      </w:r>
      <w:r w:rsidRPr="002151BC">
        <w:t>Tool</w:t>
      </w:r>
      <w:r>
        <w:rPr>
          <w:rStyle w:val="FootnoteReference"/>
        </w:rPr>
        <w:footnoteReference w:id="2"/>
      </w:r>
      <w:r w:rsidRPr="0033075D">
        <w:t xml:space="preserve"> in the activities to support governments to mitigate the negative impacts of transport on the </w:t>
      </w:r>
      <w:r w:rsidRPr="00D17E9B">
        <w:t xml:space="preserve">environment (Informal document No. 3). ForFITS is a monitoring and assessment </w:t>
      </w:r>
      <w:r w:rsidRPr="00D17E9B">
        <w:lastRenderedPageBreak/>
        <w:t>tool for CO</w:t>
      </w:r>
      <w:r w:rsidRPr="00D13786">
        <w:rPr>
          <w:sz w:val="22"/>
          <w:szCs w:val="22"/>
          <w:vertAlign w:val="subscript"/>
        </w:rPr>
        <w:t>2</w:t>
      </w:r>
      <w:r w:rsidRPr="00D13786">
        <w:rPr>
          <w:sz w:val="22"/>
          <w:szCs w:val="22"/>
        </w:rPr>
        <w:t xml:space="preserve"> </w:t>
      </w:r>
      <w:r w:rsidRPr="00D17E9B">
        <w:t>e</w:t>
      </w:r>
      <w:r w:rsidRPr="0033075D">
        <w:t xml:space="preserve">missions in inland transport, including a transport policy converter to facilitate climate change mitigation. The Committee is invited to </w:t>
      </w:r>
      <w:r w:rsidRPr="0033075D">
        <w:rPr>
          <w:b/>
        </w:rPr>
        <w:t>decide</w:t>
      </w:r>
      <w:r w:rsidRPr="0033075D">
        <w:t xml:space="preserve"> how to best use the ForFITS tool in the post-COP </w:t>
      </w:r>
      <w:r w:rsidRPr="002151BC">
        <w:t>24</w:t>
      </w:r>
      <w:r>
        <w:rPr>
          <w:rStyle w:val="FootnoteReference"/>
        </w:rPr>
        <w:footnoteReference w:id="3"/>
      </w:r>
      <w:r w:rsidRPr="0033075D">
        <w:t xml:space="preserve"> period to assist member States to reach their goals and obligations.</w:t>
      </w:r>
    </w:p>
    <w:p w:rsidR="006D1B78" w:rsidRPr="0033075D" w:rsidRDefault="006D1B78" w:rsidP="006D1B78">
      <w:pPr>
        <w:pStyle w:val="SingleTxtG"/>
      </w:pPr>
      <w:r w:rsidRPr="0033075D">
        <w:t xml:space="preserve">The Committee will also be </w:t>
      </w:r>
      <w:r w:rsidRPr="0033075D">
        <w:rPr>
          <w:b/>
        </w:rPr>
        <w:t>informed</w:t>
      </w:r>
      <w:r w:rsidRPr="0033075D">
        <w:t xml:space="preserve"> about the lat</w:t>
      </w:r>
      <w:r w:rsidRPr="00910CFD">
        <w:t xml:space="preserve">est progress in the ForFITS development to make it accessible to a wider audience, and to increase its visibility and use. </w:t>
      </w:r>
      <w:r>
        <w:t>The l</w:t>
      </w:r>
      <w:r w:rsidRPr="0033075D">
        <w:t xml:space="preserve">atest information on extensive cooperation </w:t>
      </w:r>
      <w:r w:rsidRPr="00910CFD">
        <w:t>with external stakeholders to extend the scope and added value of ForFITS will also be shared with the Committee. Finally, updated workplan will be introduced to set ambitious targets for ForFITS deployment within and outside of the U</w:t>
      </w:r>
      <w:r>
        <w:t xml:space="preserve">nited </w:t>
      </w:r>
      <w:r w:rsidRPr="0033075D">
        <w:t>N</w:t>
      </w:r>
      <w:r>
        <w:t>ations</w:t>
      </w:r>
      <w:r w:rsidRPr="0033075D">
        <w:t xml:space="preserve"> Secretariat.</w:t>
      </w:r>
    </w:p>
    <w:p w:rsidR="006D1B78" w:rsidRPr="0033075D" w:rsidRDefault="006D1B78" w:rsidP="006D1B78">
      <w:pPr>
        <w:pStyle w:val="SingleTxtG"/>
        <w:rPr>
          <w:b/>
        </w:rPr>
      </w:pPr>
      <w:r w:rsidRPr="0033075D">
        <w:rPr>
          <w:b/>
        </w:rPr>
        <w:t>Documentation</w:t>
      </w:r>
    </w:p>
    <w:p w:rsidR="006D1B78" w:rsidRPr="00910CFD" w:rsidRDefault="006D1B78" w:rsidP="006D1B78">
      <w:pPr>
        <w:pStyle w:val="SingleTxtG"/>
      </w:pPr>
      <w:r w:rsidRPr="0033075D">
        <w:t xml:space="preserve">Informal document No. </w:t>
      </w:r>
      <w:r w:rsidRPr="00910CFD">
        <w:t>3</w:t>
      </w:r>
    </w:p>
    <w:p w:rsidR="006D1B78" w:rsidRPr="00910CFD" w:rsidRDefault="006D1B78" w:rsidP="006D1B78">
      <w:pPr>
        <w:pStyle w:val="H4G"/>
        <w:keepNext w:val="0"/>
        <w:keepLines w:val="0"/>
      </w:pPr>
      <w:r w:rsidRPr="00910CFD">
        <w:tab/>
        <w:t>(iii)</w:t>
      </w:r>
      <w:r w:rsidRPr="00910CFD">
        <w:tab/>
        <w:t>Impacts of climate change on international transport networks and adaptation requirements</w:t>
      </w:r>
    </w:p>
    <w:p w:rsidR="006D1B78" w:rsidRPr="00910CFD" w:rsidRDefault="006D1B78" w:rsidP="006D1B78">
      <w:pPr>
        <w:pStyle w:val="SingleTxtG"/>
      </w:pPr>
      <w:r w:rsidRPr="00910CFD">
        <w:t xml:space="preserve">The Committee may wish to </w:t>
      </w:r>
      <w:r w:rsidRPr="00910CFD">
        <w:rPr>
          <w:b/>
          <w:bCs/>
        </w:rPr>
        <w:t>take note</w:t>
      </w:r>
      <w:r w:rsidRPr="00910CFD">
        <w:t xml:space="preserve"> of the work of the Group of Experts on Climate Change Impacts and Adaptation for Transport Networks and Nodes. Following approval of the its extension of mandate for one more year the Group met twice during 2018. The Group during its sessions decided that the identification of hot spots by the Governments is a complex and long-lasting exercise where the match of accurate data on transport infrastructure and climatic factors projections is just the first step. Detailed analysis of geomorphology, of transport infrastructure conditions, quality and technical specifications as well as sensitivity to climate change impacts should be performed. Furthermore, use of indicators to operationalise the exposure, sensitivity and criticality of network sections should be performed and forecasts for traffic and land use should be included. Also a clear and agreed definition of a hot spot should be warranted.</w:t>
      </w:r>
    </w:p>
    <w:p w:rsidR="006D1B78" w:rsidRPr="00910CFD" w:rsidRDefault="006D1B78" w:rsidP="009D4DB0">
      <w:pPr>
        <w:pStyle w:val="H23G"/>
      </w:pPr>
      <w:r w:rsidRPr="00910CFD">
        <w:tab/>
        <w:t>(e)</w:t>
      </w:r>
      <w:r w:rsidRPr="00910CFD">
        <w:tab/>
      </w:r>
      <w:r w:rsidRPr="009D4DB0">
        <w:t>Transport</w:t>
      </w:r>
      <w:r w:rsidRPr="00910CFD">
        <w:t>, Health and Environment Pan-European Programme</w:t>
      </w:r>
    </w:p>
    <w:p w:rsidR="006D1B78" w:rsidRPr="0033075D" w:rsidRDefault="006D1B78" w:rsidP="006D1B78">
      <w:pPr>
        <w:pStyle w:val="SingleTxtG"/>
      </w:pPr>
      <w:r w:rsidRPr="00910CFD">
        <w:t xml:space="preserve">The Committee may wish </w:t>
      </w:r>
      <w:r w:rsidRPr="00910CFD">
        <w:rPr>
          <w:b/>
          <w:bCs/>
        </w:rPr>
        <w:t>to take note</w:t>
      </w:r>
      <w:r w:rsidRPr="00910CFD">
        <w:t xml:space="preserve"> of the report of THE PEP Steering Committee on its sixteenth session (12-14 December 2018, Geneva) (ECE/AC.21/SC/2018/2). The Committee may wish to welcome the election of Mr</w:t>
      </w:r>
      <w:r>
        <w:t>.</w:t>
      </w:r>
      <w:r w:rsidRPr="0033075D">
        <w:t xml:space="preserve"> Robert Thaler as Chair </w:t>
      </w:r>
      <w:r>
        <w:t xml:space="preserve">of </w:t>
      </w:r>
      <w:r w:rsidRPr="008D2461">
        <w:t xml:space="preserve">the Steering Committee </w:t>
      </w:r>
      <w:r w:rsidRPr="0033075D">
        <w:t>for 2018</w:t>
      </w:r>
      <w:r>
        <w:t>-</w:t>
      </w:r>
      <w:r w:rsidRPr="0033075D">
        <w:t>2019</w:t>
      </w:r>
      <w:r w:rsidRPr="00910CFD">
        <w:t xml:space="preserve">. The Committee may also wish to </w:t>
      </w:r>
      <w:r w:rsidRPr="00910CFD">
        <w:rPr>
          <w:b/>
          <w:bCs/>
        </w:rPr>
        <w:t>take note</w:t>
      </w:r>
      <w:r w:rsidRPr="00910CFD">
        <w:t xml:space="preserve"> that, as part of its initiative to engage the three sectors and, that following the fourth High-level Meeting and the adoption of the Paris Declaration, the Steering Committee organized a symposium specifically on Goal 3 of THE PEP </w:t>
      </w:r>
      <w:r>
        <w:t>en</w:t>
      </w:r>
      <w:r w:rsidRPr="0033075D">
        <w:t xml:space="preserve">titled “Achieving multiple benefits through active mobility: reduced emissions and </w:t>
      </w:r>
      <w:r w:rsidRPr="00910CFD">
        <w:t>noise, better environment and improved human health</w:t>
      </w:r>
      <w:r>
        <w:t>”</w:t>
      </w:r>
      <w:r w:rsidRPr="0033075D">
        <w:t xml:space="preserve"> (12 December 2018, Geneva).</w:t>
      </w:r>
    </w:p>
    <w:p w:rsidR="006D1B78" w:rsidRPr="00910CFD" w:rsidRDefault="006D1B78" w:rsidP="006D1B78">
      <w:pPr>
        <w:pStyle w:val="SingleTxtG"/>
      </w:pPr>
      <w:r w:rsidRPr="0033075D">
        <w:t xml:space="preserve">The Committee may wish to be </w:t>
      </w:r>
      <w:r w:rsidRPr="0033075D">
        <w:rPr>
          <w:b/>
          <w:bCs/>
        </w:rPr>
        <w:t>informed</w:t>
      </w:r>
      <w:r w:rsidRPr="00910CFD">
        <w:t xml:space="preserve"> about the preparations for the upcoming fifth High-level Meeting on Transport, Health and Environment that will take place in Vienna in October 2019, including the preparation of a Declaration to be supported at </w:t>
      </w:r>
      <w:r>
        <w:t xml:space="preserve">the </w:t>
      </w:r>
      <w:r w:rsidRPr="00910CFD">
        <w:t>High-level Meeting</w:t>
      </w:r>
      <w:r w:rsidRPr="0033075D">
        <w:t xml:space="preserve">. These preparations also include the preparation of the third study on green jobs in transport, the study on </w:t>
      </w:r>
      <w:r>
        <w:t>e</w:t>
      </w:r>
      <w:r w:rsidRPr="0033075D">
        <w:t xml:space="preserve">co-driving and the finalisation of a masterplan for cycling promotion. The Committee may also wish to be </w:t>
      </w:r>
      <w:r w:rsidRPr="0033075D">
        <w:rPr>
          <w:b/>
          <w:bCs/>
        </w:rPr>
        <w:t>informed</w:t>
      </w:r>
      <w:r w:rsidRPr="0033075D">
        <w:t xml:space="preserve"> on the preparation, in the framework of WP.5, of a handbook on good practices and case studies in the field of sustainable transport and urban planning, and the preparation of the infrastructure module of THE PEP Master Plan on promotion of cycling to be launched and potentially adopted at </w:t>
      </w:r>
      <w:r w:rsidRPr="0033075D">
        <w:lastRenderedPageBreak/>
        <w:t>THE PEP Fifth High-level Meeting in Vienna, in autumn 2019 (Informal document No. 4). The Committee may also wish to be informed of other initiatives in the field of sustainable transport (ECE/TRANS/20</w:t>
      </w:r>
      <w:r w:rsidRPr="00910CFD">
        <w:t xml:space="preserve">19/7). </w:t>
      </w:r>
    </w:p>
    <w:p w:rsidR="006D1B78" w:rsidRPr="0033075D" w:rsidRDefault="006D1B78" w:rsidP="006D1B78">
      <w:pPr>
        <w:pStyle w:val="SingleTxtG"/>
      </w:pPr>
      <w:r w:rsidRPr="00910CFD">
        <w:t xml:space="preserve">The Committee is invited to </w:t>
      </w:r>
      <w:r w:rsidRPr="00910CFD">
        <w:rPr>
          <w:b/>
          <w:bCs/>
        </w:rPr>
        <w:t>consider taking actions</w:t>
      </w:r>
      <w:r w:rsidRPr="00910CFD">
        <w:t xml:space="preserve"> towards strengthening the presence of the transport sector in THE PEP, in particular</w:t>
      </w:r>
      <w:r>
        <w:t>,</w:t>
      </w:r>
      <w:r w:rsidRPr="0033075D">
        <w:t xml:space="preserve"> by designating national focal points.</w:t>
      </w:r>
    </w:p>
    <w:p w:rsidR="006D1B78" w:rsidRPr="00513698" w:rsidRDefault="006D1B78" w:rsidP="006D1B78">
      <w:pPr>
        <w:pStyle w:val="SingleTxtG"/>
        <w:rPr>
          <w:b/>
          <w:lang w:val="fr-FR"/>
        </w:rPr>
      </w:pPr>
      <w:r w:rsidRPr="00513698">
        <w:rPr>
          <w:b/>
          <w:lang w:val="fr-FR"/>
        </w:rPr>
        <w:t>Documentation</w:t>
      </w:r>
    </w:p>
    <w:p w:rsidR="006D1B78" w:rsidRPr="00D13786" w:rsidRDefault="006D1B78" w:rsidP="006D1B78">
      <w:pPr>
        <w:pStyle w:val="SingleTxtG"/>
        <w:rPr>
          <w:lang w:val="fr-FR"/>
        </w:rPr>
      </w:pPr>
      <w:r w:rsidRPr="00513698">
        <w:rPr>
          <w:lang w:val="fr-FR"/>
        </w:rPr>
        <w:t>ECE/TRANS/2019/7</w:t>
      </w:r>
      <w:r w:rsidRPr="00D13786">
        <w:rPr>
          <w:lang w:val="fr-FR"/>
        </w:rPr>
        <w:t>, Informal document No. 4</w:t>
      </w:r>
    </w:p>
    <w:p w:rsidR="006D1B78" w:rsidRPr="0033075D" w:rsidRDefault="006D1B78" w:rsidP="009D4DB0">
      <w:pPr>
        <w:pStyle w:val="H23G"/>
      </w:pPr>
      <w:r w:rsidRPr="00D13786">
        <w:rPr>
          <w:lang w:val="fr-FR"/>
        </w:rPr>
        <w:tab/>
      </w:r>
      <w:r w:rsidRPr="002151BC">
        <w:t>(f</w:t>
      </w:r>
      <w:r w:rsidRPr="0033075D">
        <w:t>)</w:t>
      </w:r>
      <w:r w:rsidRPr="0033075D">
        <w:tab/>
        <w:t>Intelligent transport systems</w:t>
      </w:r>
    </w:p>
    <w:p w:rsidR="006D1B78" w:rsidRPr="0033075D" w:rsidRDefault="006D1B78" w:rsidP="006D1B78">
      <w:pPr>
        <w:pStyle w:val="SingleTxtG"/>
      </w:pPr>
      <w:r w:rsidRPr="0033075D">
        <w:t xml:space="preserve">The Committee will be </w:t>
      </w:r>
      <w:r w:rsidRPr="0033075D">
        <w:rPr>
          <w:b/>
          <w:bCs/>
        </w:rPr>
        <w:t xml:space="preserve">informed </w:t>
      </w:r>
      <w:r w:rsidRPr="0033075D">
        <w:t xml:space="preserve">about the status of implementation of the </w:t>
      </w:r>
      <w:r w:rsidRPr="00910CFD">
        <w:t xml:space="preserve">ITS Road Map that was launched at its seventy-fourth session (ECE/TRANS/2019/8). The Committee will also be </w:t>
      </w:r>
      <w:r w:rsidRPr="00910CFD">
        <w:rPr>
          <w:b/>
          <w:bCs/>
        </w:rPr>
        <w:t xml:space="preserve">informed </w:t>
      </w:r>
      <w:r w:rsidRPr="00910CFD">
        <w:t xml:space="preserve">about the outcome of the 2018 ITS flagship event </w:t>
      </w:r>
      <w:r>
        <w:t xml:space="preserve">that was </w:t>
      </w:r>
      <w:r w:rsidRPr="0033075D">
        <w:t xml:space="preserve">co-organized with the International Road Federation (IRF) </w:t>
      </w:r>
      <w:r>
        <w:t xml:space="preserve">on </w:t>
      </w:r>
      <w:r w:rsidRPr="0033075D">
        <w:t>the theme "Governance and Infrastructure for smart and autonomous mobility".</w:t>
      </w:r>
    </w:p>
    <w:p w:rsidR="006D1B78" w:rsidRPr="0033075D" w:rsidRDefault="006D1B78" w:rsidP="006D1B78">
      <w:pPr>
        <w:pStyle w:val="SingleTxtG"/>
      </w:pPr>
      <w:r w:rsidRPr="0033075D">
        <w:t xml:space="preserve">The Committee will also be </w:t>
      </w:r>
      <w:r w:rsidRPr="0033075D">
        <w:rPr>
          <w:b/>
          <w:bCs/>
        </w:rPr>
        <w:t xml:space="preserve">informed </w:t>
      </w:r>
      <w:r w:rsidRPr="0033075D">
        <w:t xml:space="preserve">about the outcome of the joint </w:t>
      </w:r>
      <w:r>
        <w:t>event of the Global Forum for Road Traffic Safety (</w:t>
      </w:r>
      <w:r w:rsidRPr="00910CFD">
        <w:t>WP.1</w:t>
      </w:r>
      <w:r>
        <w:t>)</w:t>
      </w:r>
      <w:r w:rsidRPr="00910CFD">
        <w:t xml:space="preserve"> and </w:t>
      </w:r>
      <w:r>
        <w:t xml:space="preserve">the </w:t>
      </w:r>
      <w:r w:rsidRPr="00E965BF">
        <w:t>World Forum for Harmonization of Vehicle Regulations</w:t>
      </w:r>
      <w:r>
        <w:t xml:space="preserve"> (</w:t>
      </w:r>
      <w:r w:rsidRPr="00910CFD">
        <w:t>WP.29</w:t>
      </w:r>
      <w:r>
        <w:t>)</w:t>
      </w:r>
      <w:r w:rsidRPr="00910CFD">
        <w:t xml:space="preserve"> </w:t>
      </w:r>
      <w:r w:rsidRPr="0033075D">
        <w:t xml:space="preserve">event held on 18 February 2019. </w:t>
      </w:r>
    </w:p>
    <w:p w:rsidR="006D1B78" w:rsidRPr="00910CFD" w:rsidRDefault="006D1B78" w:rsidP="006D1B78">
      <w:pPr>
        <w:pStyle w:val="SingleTxtG"/>
      </w:pPr>
      <w:r w:rsidRPr="0033075D">
        <w:t xml:space="preserve">The Committee is invited to further </w:t>
      </w:r>
      <w:r w:rsidRPr="0033075D">
        <w:rPr>
          <w:b/>
          <w:bCs/>
        </w:rPr>
        <w:t xml:space="preserve">consider </w:t>
      </w:r>
      <w:r w:rsidRPr="0033075D">
        <w:t>the status of ITS in its work and that of its subsidiary bodies in light of the outcome of the high-level policy segment on automation in transport</w:t>
      </w:r>
      <w:r w:rsidRPr="00910CFD">
        <w:t xml:space="preserve">, to </w:t>
      </w:r>
      <w:r w:rsidRPr="00910CFD">
        <w:rPr>
          <w:b/>
          <w:bCs/>
        </w:rPr>
        <w:t xml:space="preserve">encourage </w:t>
      </w:r>
      <w:r w:rsidRPr="00910CFD">
        <w:t xml:space="preserve">ITS activities linked to infrastructure and all transport modes and to </w:t>
      </w:r>
      <w:r w:rsidRPr="00910CFD">
        <w:rPr>
          <w:b/>
          <w:bCs/>
        </w:rPr>
        <w:t xml:space="preserve">consider </w:t>
      </w:r>
      <w:r w:rsidRPr="00910CFD">
        <w:t xml:space="preserve">ways to address ITS issues in an integrated approach. </w:t>
      </w:r>
    </w:p>
    <w:p w:rsidR="006D1B78" w:rsidRPr="002151BC" w:rsidRDefault="006D1B78" w:rsidP="006D1B78">
      <w:pPr>
        <w:pStyle w:val="SingleTxtG"/>
      </w:pPr>
      <w:r w:rsidRPr="00910CFD">
        <w:t xml:space="preserve">The Committee is also invited to </w:t>
      </w:r>
      <w:r w:rsidRPr="00910CFD">
        <w:rPr>
          <w:b/>
          <w:bCs/>
        </w:rPr>
        <w:t xml:space="preserve">encourage </w:t>
      </w:r>
      <w:r w:rsidRPr="00910CFD">
        <w:rPr>
          <w:bCs/>
        </w:rPr>
        <w:t>continuation of the work of SC.1 on smart roads; of SC.3 on smart shipping, RIS, and innovative technologies in the recently adopted SIGNI; of WP.1 on the safe deployment of automated vehicles in traffic; of WP.15 on telematics for the transport of dangerous goods; of WP.29 on regulating autonomous/automated and connected vehicles; and of WP.30 on eTIR,</w:t>
      </w:r>
      <w:r w:rsidRPr="00910CFD" w:rsidDel="005915D5">
        <w:t xml:space="preserve"> </w:t>
      </w:r>
      <w:r w:rsidRPr="00910CFD">
        <w:t>as fostering regulatory and other activities in these areas would ensure the benefits that ITS could provide in terms of safety, environmental protection, energy efficiency and traffic management</w:t>
      </w:r>
      <w:r w:rsidRPr="002151BC">
        <w:t>.</w:t>
      </w:r>
      <w:r>
        <w:rPr>
          <w:rStyle w:val="FootnoteReference"/>
        </w:rPr>
        <w:footnoteReference w:id="4"/>
      </w:r>
    </w:p>
    <w:p w:rsidR="006D1B78" w:rsidRPr="0033075D" w:rsidRDefault="006D1B78" w:rsidP="006D1B78">
      <w:pPr>
        <w:pStyle w:val="SingleTxtG"/>
        <w:rPr>
          <w:b/>
        </w:rPr>
      </w:pPr>
      <w:r w:rsidRPr="0033075D">
        <w:rPr>
          <w:b/>
        </w:rPr>
        <w:t>Documentation</w:t>
      </w:r>
    </w:p>
    <w:p w:rsidR="006D1B78" w:rsidRPr="00910CFD" w:rsidRDefault="006D1B78" w:rsidP="006D1B78">
      <w:pPr>
        <w:pStyle w:val="SingleTxtG"/>
      </w:pPr>
      <w:bookmarkStart w:id="4" w:name="_Hlk528572460"/>
      <w:r w:rsidRPr="0033075D">
        <w:t>ECE/TRANS/2019</w:t>
      </w:r>
      <w:r w:rsidRPr="00910CFD">
        <w:t>/8</w:t>
      </w:r>
      <w:bookmarkEnd w:id="4"/>
    </w:p>
    <w:p w:rsidR="006D1B78" w:rsidRPr="00910CFD" w:rsidRDefault="006D1B78" w:rsidP="009D4DB0">
      <w:pPr>
        <w:pStyle w:val="H23G"/>
      </w:pPr>
      <w:r w:rsidRPr="00910CFD">
        <w:tab/>
        <w:t>(g)</w:t>
      </w:r>
      <w:r w:rsidRPr="00910CFD">
        <w:tab/>
        <w:t>Continued support to land-locked countries: the Vienna Programme of Action</w:t>
      </w:r>
    </w:p>
    <w:p w:rsidR="006D1B78" w:rsidRPr="0033075D" w:rsidRDefault="006D1B78" w:rsidP="006D1B78">
      <w:pPr>
        <w:pStyle w:val="SingleTxtG"/>
      </w:pPr>
      <w:r w:rsidRPr="00910CFD">
        <w:t xml:space="preserve">The Committee will be </w:t>
      </w:r>
      <w:r w:rsidRPr="00910CFD">
        <w:rPr>
          <w:b/>
          <w:bCs/>
        </w:rPr>
        <w:t>informed</w:t>
      </w:r>
      <w:r w:rsidRPr="00910CFD">
        <w:t xml:space="preserve"> about the outcomes of the Vienna Programme of Action Regional Midterm Review Conference for the Euro-Asian and Asia-Pacific region(s) which took place in Bangkok on 11</w:t>
      </w:r>
      <w:r>
        <w:t xml:space="preserve"> and </w:t>
      </w:r>
      <w:r w:rsidRPr="0033075D">
        <w:t xml:space="preserve">12 February 2019 and the ongoing preparations for the High Level Comprehensive Mid-term Review to be held in the fourth quarter of 2019. The Committee will also be </w:t>
      </w:r>
      <w:r w:rsidRPr="0033075D">
        <w:rPr>
          <w:b/>
          <w:bCs/>
        </w:rPr>
        <w:t>briefed</w:t>
      </w:r>
      <w:r w:rsidRPr="0033075D">
        <w:t xml:space="preserve"> on the U</w:t>
      </w:r>
      <w:r>
        <w:t xml:space="preserve">nited </w:t>
      </w:r>
      <w:r w:rsidRPr="0033075D">
        <w:t>N</w:t>
      </w:r>
      <w:r>
        <w:t>ations</w:t>
      </w:r>
      <w:r w:rsidRPr="0033075D">
        <w:t xml:space="preserve"> Development Account</w:t>
      </w:r>
      <w:r>
        <w:t>-</w:t>
      </w:r>
      <w:r w:rsidRPr="0033075D">
        <w:t>funded project entitled “Sustainable transport connectivity and implementation of transport</w:t>
      </w:r>
      <w:r>
        <w:t>-</w:t>
      </w:r>
      <w:r w:rsidRPr="0033075D">
        <w:t xml:space="preserve">related </w:t>
      </w:r>
      <w:r w:rsidRPr="008D2461">
        <w:t>Sustainable Development Goals</w:t>
      </w:r>
      <w:r>
        <w:t xml:space="preserve"> </w:t>
      </w:r>
      <w:r w:rsidRPr="0033075D">
        <w:t>in selected landlocked and transit/bridging countries”. The project, which is led by ECE and implemented in cooperation with ECLAC and ESCWA will strengthen the capacities of five countries (Georgia, Jordan</w:t>
      </w:r>
      <w:r>
        <w:t>,</w:t>
      </w:r>
      <w:r w:rsidRPr="0033075D">
        <w:t xml:space="preserve"> Kazakhstan, Paraguay</w:t>
      </w:r>
      <w:r>
        <w:t xml:space="preserve"> and</w:t>
      </w:r>
      <w:r w:rsidRPr="0033075D">
        <w:t xml:space="preserve"> Serbia) to design and implement an evidence-based transport policy framework that fosters sustainable transport connectivity and the implementation of transport-related Sustainable </w:t>
      </w:r>
      <w:r w:rsidRPr="0033075D">
        <w:lastRenderedPageBreak/>
        <w:t>Development Goals.</w:t>
      </w:r>
      <w:r w:rsidR="00436F23">
        <w:t xml:space="preserve"> </w:t>
      </w:r>
      <w:r w:rsidRPr="0033075D">
        <w:t>It will also support beneficiary countries to meet their commitments under the Vienna Programme of Action.</w:t>
      </w:r>
    </w:p>
    <w:p w:rsidR="006D1B78" w:rsidRPr="00910CFD" w:rsidRDefault="006D1B78" w:rsidP="009D4DB0">
      <w:pPr>
        <w:pStyle w:val="H23G"/>
        <w:spacing w:before="200"/>
      </w:pPr>
      <w:r w:rsidRPr="00910CFD">
        <w:tab/>
        <w:t>(h)</w:t>
      </w:r>
      <w:r w:rsidRPr="00910CFD">
        <w:tab/>
        <w:t>Inland transport security</w:t>
      </w:r>
    </w:p>
    <w:p w:rsidR="006D1B78" w:rsidRPr="0033075D" w:rsidRDefault="006D1B78" w:rsidP="006D1B78">
      <w:pPr>
        <w:pStyle w:val="SingleTxtG"/>
      </w:pPr>
      <w:r w:rsidRPr="00910CFD">
        <w:t xml:space="preserve">The Committee will be </w:t>
      </w:r>
      <w:r w:rsidRPr="00910CFD">
        <w:rPr>
          <w:b/>
          <w:bCs/>
        </w:rPr>
        <w:t xml:space="preserve">briefed </w:t>
      </w:r>
      <w:r w:rsidRPr="00910CFD">
        <w:t xml:space="preserve">on the results of the </w:t>
      </w:r>
      <w:r>
        <w:t>r</w:t>
      </w:r>
      <w:r w:rsidRPr="0033075D">
        <w:t>ailway safety and security workshop that was organized jointly by ECE, UIC and ITF, held in conjunction with the ITF Annual Summit on 23 May 2018.</w:t>
      </w:r>
    </w:p>
    <w:p w:rsidR="006D1B78" w:rsidRPr="00910CFD" w:rsidRDefault="006D1B78" w:rsidP="009D4DB0">
      <w:pPr>
        <w:pStyle w:val="H23G"/>
        <w:spacing w:before="200"/>
      </w:pPr>
      <w:r w:rsidRPr="00910CFD">
        <w:tab/>
        <w:t>(i)</w:t>
      </w:r>
      <w:r w:rsidRPr="00910CFD">
        <w:tab/>
        <w:t>Partnerships and activities of other organizations of interest to the Committee</w:t>
      </w:r>
    </w:p>
    <w:p w:rsidR="006D1B78" w:rsidRPr="00910CFD" w:rsidRDefault="006D1B78" w:rsidP="006D1B78">
      <w:pPr>
        <w:pStyle w:val="H4G"/>
        <w:keepNext w:val="0"/>
        <w:keepLines w:val="0"/>
      </w:pPr>
      <w:r w:rsidRPr="00910CFD">
        <w:tab/>
        <w:t>(i)</w:t>
      </w:r>
      <w:r w:rsidRPr="00910CFD">
        <w:tab/>
        <w:t>Transport developments in the European Union</w:t>
      </w:r>
    </w:p>
    <w:p w:rsidR="006D1B78" w:rsidRPr="00910CFD" w:rsidRDefault="006D1B78" w:rsidP="006D1B78">
      <w:pPr>
        <w:pStyle w:val="SingleTxtG"/>
      </w:pPr>
      <w:r w:rsidRPr="00910CFD">
        <w:t xml:space="preserve">The Committee will be </w:t>
      </w:r>
      <w:r w:rsidRPr="00910CFD">
        <w:rPr>
          <w:b/>
          <w:bCs/>
        </w:rPr>
        <w:t>informed</w:t>
      </w:r>
      <w:r w:rsidRPr="00910CFD">
        <w:t xml:space="preserve"> by a representative </w:t>
      </w:r>
      <w:r>
        <w:t xml:space="preserve">from </w:t>
      </w:r>
      <w:r w:rsidRPr="0033075D">
        <w:t xml:space="preserve">the </w:t>
      </w:r>
      <w:r w:rsidRPr="008D2461">
        <w:t>Directorate-General for Mobility and Transport</w:t>
      </w:r>
      <w:r w:rsidRPr="0033075D">
        <w:t xml:space="preserve"> </w:t>
      </w:r>
      <w:r>
        <w:t xml:space="preserve">of the </w:t>
      </w:r>
      <w:r w:rsidRPr="0033075D">
        <w:t xml:space="preserve">European Commission about the most important legislative and policy initiatives in </w:t>
      </w:r>
      <w:r w:rsidRPr="00910CFD">
        <w:t>transport undertaken by the European Union in 2018.</w:t>
      </w:r>
    </w:p>
    <w:p w:rsidR="006D1B78" w:rsidRPr="00910CFD" w:rsidRDefault="006D1B78" w:rsidP="006D1B78">
      <w:pPr>
        <w:pStyle w:val="SingleTxtG"/>
        <w:rPr>
          <w:b/>
          <w:bCs/>
        </w:rPr>
      </w:pPr>
      <w:r w:rsidRPr="00910CFD">
        <w:rPr>
          <w:b/>
          <w:bCs/>
        </w:rPr>
        <w:t>Documentation</w:t>
      </w:r>
    </w:p>
    <w:p w:rsidR="006D1B78" w:rsidRPr="00910CFD" w:rsidRDefault="006D1B78" w:rsidP="006D1B78">
      <w:pPr>
        <w:pStyle w:val="SingleTxtG"/>
      </w:pPr>
      <w:r w:rsidRPr="00910CFD">
        <w:rPr>
          <w:bCs/>
        </w:rPr>
        <w:t>ECE/TRANS/2019/9</w:t>
      </w:r>
    </w:p>
    <w:p w:rsidR="006D1B78" w:rsidRPr="00910CFD" w:rsidRDefault="006D1B78" w:rsidP="006D1B78">
      <w:pPr>
        <w:pStyle w:val="H4G"/>
        <w:keepNext w:val="0"/>
        <w:keepLines w:val="0"/>
      </w:pPr>
      <w:r w:rsidRPr="00910CFD">
        <w:tab/>
        <w:t>(ii)</w:t>
      </w:r>
      <w:r w:rsidRPr="00910CFD">
        <w:tab/>
      </w:r>
      <w:r w:rsidRPr="00946FC4">
        <w:t>Developments related to the work of the International Transport Forum</w:t>
      </w:r>
    </w:p>
    <w:p w:rsidR="006D1B78" w:rsidRPr="00910CFD" w:rsidRDefault="006D1B78" w:rsidP="006D1B78">
      <w:pPr>
        <w:pStyle w:val="SingleTxtG"/>
      </w:pPr>
      <w:r w:rsidRPr="00910CFD">
        <w:t xml:space="preserve">The Committee will be </w:t>
      </w:r>
      <w:r w:rsidRPr="00910CFD">
        <w:rPr>
          <w:b/>
        </w:rPr>
        <w:t>informed</w:t>
      </w:r>
      <w:r w:rsidRPr="00910CFD">
        <w:t xml:space="preserve"> by a representative of the International Transport Forum about the latest developments in the work of the Forum.</w:t>
      </w:r>
    </w:p>
    <w:p w:rsidR="006D1B78" w:rsidRPr="00910CFD" w:rsidRDefault="006D1B78" w:rsidP="006D1B78">
      <w:pPr>
        <w:pStyle w:val="H4G"/>
        <w:keepNext w:val="0"/>
        <w:keepLines w:val="0"/>
      </w:pPr>
      <w:r w:rsidRPr="00910CFD">
        <w:tab/>
        <w:t>(iii)</w:t>
      </w:r>
      <w:r w:rsidRPr="00910CFD">
        <w:tab/>
        <w:t>Activities of other organizations of interest to the Committee</w:t>
      </w:r>
    </w:p>
    <w:p w:rsidR="006D1B78" w:rsidRPr="00910CFD" w:rsidRDefault="006D1B78" w:rsidP="006D1B78">
      <w:pPr>
        <w:pStyle w:val="SingleTxtG"/>
      </w:pPr>
      <w:r w:rsidRPr="00910CFD">
        <w:t xml:space="preserve">The Committee may wish to be </w:t>
      </w:r>
      <w:r w:rsidRPr="00910CFD">
        <w:rPr>
          <w:b/>
        </w:rPr>
        <w:t>informed</w:t>
      </w:r>
      <w:r w:rsidRPr="00910CFD">
        <w:t xml:space="preserve"> by representatives from other organizations about their recent activities of interest to the Committee.</w:t>
      </w:r>
    </w:p>
    <w:p w:rsidR="006D1B78" w:rsidRPr="00910CFD" w:rsidRDefault="006D1B78" w:rsidP="009D4DB0">
      <w:pPr>
        <w:pStyle w:val="H1G"/>
      </w:pPr>
      <w:r w:rsidRPr="00910CFD">
        <w:tab/>
        <w:t>5.</w:t>
      </w:r>
      <w:r w:rsidRPr="00910CFD">
        <w:tab/>
        <w:t xml:space="preserve">Strategic </w:t>
      </w:r>
      <w:r w:rsidRPr="009D4DB0">
        <w:t>questions</w:t>
      </w:r>
      <w:r w:rsidRPr="00910CFD">
        <w:t xml:space="preserve"> of a modal and thematic nature</w:t>
      </w:r>
    </w:p>
    <w:p w:rsidR="006D1B78" w:rsidRPr="009D4DB0" w:rsidRDefault="006D1B78" w:rsidP="009D4DB0">
      <w:pPr>
        <w:pStyle w:val="H23G"/>
      </w:pPr>
      <w:r w:rsidRPr="00946FC4">
        <w:tab/>
        <w:t>(a)</w:t>
      </w:r>
      <w:r w:rsidRPr="00946FC4">
        <w:tab/>
      </w:r>
      <w:r w:rsidRPr="009D4DB0">
        <w:t>Project related activities: Trans-European Motorway and Trans-European Railway Projects</w:t>
      </w:r>
    </w:p>
    <w:p w:rsidR="006D1B78" w:rsidRPr="0033075D" w:rsidRDefault="006D1B78" w:rsidP="006D1B78">
      <w:pPr>
        <w:pStyle w:val="SingleTxtG"/>
      </w:pPr>
      <w:r w:rsidRPr="00910CFD">
        <w:t xml:space="preserve">The Committee will be </w:t>
      </w:r>
      <w:r w:rsidRPr="00910CFD">
        <w:rPr>
          <w:b/>
        </w:rPr>
        <w:t>informed</w:t>
      </w:r>
      <w:r w:rsidRPr="00910CFD">
        <w:t xml:space="preserve"> about the recent developments in the Trans-European North-South Motorway (TEM) and the Trans-European Railway (TER) projects. The Committee may wish to </w:t>
      </w:r>
      <w:r w:rsidRPr="00910CFD">
        <w:rPr>
          <w:b/>
        </w:rPr>
        <w:t>note</w:t>
      </w:r>
      <w:r w:rsidRPr="00910CFD">
        <w:t xml:space="preserve"> that </w:t>
      </w:r>
      <w:r>
        <w:t xml:space="preserve">the </w:t>
      </w:r>
      <w:r w:rsidRPr="0033075D">
        <w:t xml:space="preserve">TEM reports </w:t>
      </w:r>
      <w:r>
        <w:t>“</w:t>
      </w:r>
      <w:r w:rsidRPr="0033075D">
        <w:t>TEM Network Report 2018</w:t>
      </w:r>
      <w:r>
        <w:t>”</w:t>
      </w:r>
      <w:r w:rsidRPr="0033075D">
        <w:t xml:space="preserve">, </w:t>
      </w:r>
      <w:r>
        <w:t>“</w:t>
      </w:r>
      <w:r w:rsidRPr="0033075D">
        <w:t>Business Models for Road Sub-Sector</w:t>
      </w:r>
      <w:r>
        <w:t>”</w:t>
      </w:r>
      <w:r w:rsidRPr="0033075D">
        <w:t xml:space="preserve"> and </w:t>
      </w:r>
      <w:r>
        <w:t>“</w:t>
      </w:r>
      <w:r w:rsidRPr="0033075D">
        <w:t>TEM road and motorway maintenance standards</w:t>
      </w:r>
      <w:r>
        <w:t xml:space="preserve">” </w:t>
      </w:r>
      <w:r w:rsidRPr="0033075D">
        <w:t>ha</w:t>
      </w:r>
      <w:r>
        <w:t>ve</w:t>
      </w:r>
      <w:r w:rsidRPr="0033075D">
        <w:t xml:space="preserve"> been prepared (Informal document No. 5</w:t>
      </w:r>
      <w:r w:rsidR="009D4DB0">
        <w:t>).</w:t>
      </w:r>
    </w:p>
    <w:p w:rsidR="006D1B78" w:rsidRPr="009D4DB0" w:rsidRDefault="006D1B78" w:rsidP="006D1B78">
      <w:pPr>
        <w:pStyle w:val="SingleTxtG"/>
        <w:rPr>
          <w:spacing w:val="-2"/>
        </w:rPr>
      </w:pPr>
      <w:r w:rsidRPr="009D4DB0">
        <w:rPr>
          <w:spacing w:val="-2"/>
        </w:rPr>
        <w:t xml:space="preserve">Furthermore, the Committee may wish to be </w:t>
      </w:r>
      <w:r w:rsidRPr="009D4DB0">
        <w:rPr>
          <w:b/>
          <w:spacing w:val="-2"/>
        </w:rPr>
        <w:t>informed</w:t>
      </w:r>
      <w:r w:rsidRPr="009D4DB0">
        <w:rPr>
          <w:spacing w:val="-2"/>
        </w:rPr>
        <w:t xml:space="preserve"> that three TEM reports (on building information modelling for road infrastructure, on tools and processes for asset management and on motorway tolling) and the TER High-Speed Master Plan Phase II reports will be finalized in 2019. The Committee may wish to </w:t>
      </w:r>
      <w:r w:rsidRPr="009D4DB0">
        <w:rPr>
          <w:b/>
          <w:bCs/>
          <w:spacing w:val="-2"/>
        </w:rPr>
        <w:t>express its support for</w:t>
      </w:r>
      <w:r w:rsidRPr="009D4DB0">
        <w:rPr>
          <w:spacing w:val="-2"/>
        </w:rPr>
        <w:t xml:space="preserve"> </w:t>
      </w:r>
      <w:r w:rsidRPr="009D4DB0">
        <w:rPr>
          <w:b/>
          <w:bCs/>
          <w:spacing w:val="-2"/>
        </w:rPr>
        <w:t>the publication of these reports</w:t>
      </w:r>
      <w:r w:rsidRPr="009D4DB0">
        <w:rPr>
          <w:spacing w:val="-2"/>
        </w:rPr>
        <w:t xml:space="preserve"> to facilitate their dissemination and thus strengthen their impact in relevant countries. </w:t>
      </w:r>
    </w:p>
    <w:p w:rsidR="006D1B78" w:rsidRPr="00910CFD" w:rsidRDefault="006D1B78" w:rsidP="006D1B78">
      <w:pPr>
        <w:pStyle w:val="SingleTxtG"/>
      </w:pPr>
      <w:r w:rsidRPr="0033075D">
        <w:t xml:space="preserve">The Committee will be </w:t>
      </w:r>
      <w:r w:rsidRPr="0033075D">
        <w:rPr>
          <w:b/>
        </w:rPr>
        <w:t xml:space="preserve">informed </w:t>
      </w:r>
      <w:r w:rsidRPr="00910CFD">
        <w:t>about the extension of the TER Project Host Country Agreement, status of TER Project Manager and Deputy Manager, as well as TEM project management.</w:t>
      </w:r>
    </w:p>
    <w:p w:rsidR="006D1B78" w:rsidRPr="00910CFD" w:rsidRDefault="006D1B78" w:rsidP="006D1B78">
      <w:pPr>
        <w:pStyle w:val="SingleTxtG"/>
      </w:pPr>
      <w:r w:rsidRPr="00910CFD">
        <w:t xml:space="preserve">The Committee may wish to </w:t>
      </w:r>
      <w:r w:rsidRPr="00910CFD">
        <w:rPr>
          <w:b/>
        </w:rPr>
        <w:t>support</w:t>
      </w:r>
      <w:r w:rsidRPr="00910CFD">
        <w:t xml:space="preserve"> the activities carried out in the two projects and </w:t>
      </w:r>
      <w:r w:rsidRPr="00910CFD">
        <w:rPr>
          <w:b/>
        </w:rPr>
        <w:t>express its opinion</w:t>
      </w:r>
      <w:r w:rsidRPr="00910CFD">
        <w:t xml:space="preserve"> on the future directions as considered in Informal document No. 5.</w:t>
      </w:r>
    </w:p>
    <w:p w:rsidR="006D1B78" w:rsidRPr="00910CFD" w:rsidRDefault="006D1B78" w:rsidP="009D4DB0">
      <w:pPr>
        <w:pStyle w:val="SingleTxtG"/>
        <w:rPr>
          <w:b/>
        </w:rPr>
      </w:pPr>
      <w:r w:rsidRPr="00910CFD">
        <w:rPr>
          <w:b/>
        </w:rPr>
        <w:t>Documentation</w:t>
      </w:r>
    </w:p>
    <w:p w:rsidR="006D1B78" w:rsidRPr="00910CFD" w:rsidRDefault="006D1B78" w:rsidP="009D4DB0">
      <w:pPr>
        <w:pStyle w:val="SingleTxtG"/>
        <w:rPr>
          <w:strike/>
        </w:rPr>
      </w:pPr>
      <w:r w:rsidRPr="00910CFD">
        <w:t>Informal document No. 5</w:t>
      </w:r>
    </w:p>
    <w:p w:rsidR="006D1B78" w:rsidRPr="00910CFD" w:rsidRDefault="006D1B78" w:rsidP="009D4DB0">
      <w:pPr>
        <w:pStyle w:val="H23G"/>
      </w:pPr>
      <w:r w:rsidRPr="00910CFD">
        <w:lastRenderedPageBreak/>
        <w:tab/>
        <w:t>(b)</w:t>
      </w:r>
      <w:r w:rsidRPr="00910CFD">
        <w:tab/>
      </w:r>
      <w:r w:rsidRPr="009D4DB0">
        <w:t>Harmonization</w:t>
      </w:r>
      <w:r w:rsidRPr="00910CFD">
        <w:t xml:space="preserve"> of vehicle regulations</w:t>
      </w:r>
    </w:p>
    <w:p w:rsidR="006D1B78" w:rsidRPr="00910CFD" w:rsidRDefault="006D1B78" w:rsidP="009D4DB0">
      <w:pPr>
        <w:pStyle w:val="SingleTxtG"/>
      </w:pPr>
      <w:r w:rsidRPr="00910CFD">
        <w:t xml:space="preserve">The Committee will be </w:t>
      </w:r>
      <w:r w:rsidRPr="00910CFD">
        <w:rPr>
          <w:b/>
          <w:bCs/>
        </w:rPr>
        <w:t xml:space="preserve">informed </w:t>
      </w:r>
      <w:r w:rsidRPr="00910CFD">
        <w:t xml:space="preserve">about the most recent developments in the work carried out by the World Forum for Harmonization of Vehicle Regulations (WP.29) and its six subsidiary Working Parties (GRB/GRBP, GRE, GRPE, GRRF/GRVA, GRSG and GRSP), the Administrative Committee of the 1958 Agreement, the Administrative Committee of the 1997 Agreement and the Executive Committee of the 1998 Agreement. </w:t>
      </w:r>
    </w:p>
    <w:p w:rsidR="006D1B78" w:rsidRPr="0033075D" w:rsidRDefault="006D1B78" w:rsidP="006D1B78">
      <w:pPr>
        <w:pStyle w:val="SingleTxtG"/>
      </w:pPr>
      <w:r w:rsidRPr="00910CFD">
        <w:t xml:space="preserve">The Committee is invited to </w:t>
      </w:r>
      <w:r w:rsidRPr="00910CFD">
        <w:rPr>
          <w:b/>
        </w:rPr>
        <w:t xml:space="preserve">endorse </w:t>
      </w:r>
      <w:r w:rsidRPr="00910CFD">
        <w:t xml:space="preserve">the implementation of its decision No. 13 taken at its eightieth session by the establishment of a dedicated subsidiary Working Party on </w:t>
      </w:r>
      <w:r>
        <w:t>A</w:t>
      </w:r>
      <w:r w:rsidRPr="00910CFD">
        <w:t>utomated/</w:t>
      </w:r>
      <w:r>
        <w:t>A</w:t>
      </w:r>
      <w:r w:rsidRPr="00910CFD">
        <w:t xml:space="preserve">utonomous and </w:t>
      </w:r>
      <w:r>
        <w:t>C</w:t>
      </w:r>
      <w:r w:rsidRPr="00910CFD">
        <w:t xml:space="preserve">onnected </w:t>
      </w:r>
      <w:r>
        <w:t>V</w:t>
      </w:r>
      <w:r w:rsidRPr="00910CFD">
        <w:t xml:space="preserve">ehicles, </w:t>
      </w:r>
      <w:r w:rsidRPr="0033075D">
        <w:t xml:space="preserve">GRVA, by a transformation of the existing GRRF. This transformation requested a reallocation of areas of work from the former GRRF to other GRs. Especially the transfer of activities related to tyres to GRB, which already addressed certain requirements for tyres (e.g. noise behaviour) has been reflected in an adaptation of the Working Party's name to GRBP, which the Committee is invited to </w:t>
      </w:r>
      <w:r w:rsidRPr="0033075D">
        <w:rPr>
          <w:b/>
        </w:rPr>
        <w:t>endorse</w:t>
      </w:r>
      <w:r w:rsidRPr="0033075D">
        <w:t xml:space="preserve"> too.</w:t>
      </w:r>
    </w:p>
    <w:p w:rsidR="006D1B78" w:rsidRPr="0033075D" w:rsidRDefault="006D1B78" w:rsidP="006D1B78">
      <w:pPr>
        <w:pStyle w:val="SingleTxtG"/>
      </w:pPr>
      <w:r w:rsidRPr="00910CFD">
        <w:t xml:space="preserve">The Committee will also be </w:t>
      </w:r>
      <w:r w:rsidRPr="00910CFD">
        <w:rPr>
          <w:b/>
          <w:bCs/>
        </w:rPr>
        <w:t xml:space="preserve">informed </w:t>
      </w:r>
      <w:r w:rsidRPr="00910CFD">
        <w:t>about the activities of the World Forum and its Working Parties as reflected in ECE/TRANS/WP.29/</w:t>
      </w:r>
      <w:r w:rsidRPr="002151BC">
        <w:t>2018/1/Rev.2 which provides a detailed overview of the distribution of the areas of work among the different groups.</w:t>
      </w:r>
    </w:p>
    <w:p w:rsidR="006D1B78" w:rsidRPr="0033075D" w:rsidRDefault="006D1B78" w:rsidP="006D1B78">
      <w:pPr>
        <w:pStyle w:val="SingleTxtG"/>
      </w:pPr>
      <w:r w:rsidRPr="0033075D">
        <w:t xml:space="preserve">The Committee may wish to </w:t>
      </w:r>
      <w:r w:rsidRPr="0033075D">
        <w:rPr>
          <w:b/>
          <w:bCs/>
        </w:rPr>
        <w:t xml:space="preserve">note </w:t>
      </w:r>
      <w:r w:rsidRPr="0033075D">
        <w:t xml:space="preserve">that over 40 informal groups worked during </w:t>
      </w:r>
      <w:r w:rsidRPr="002151BC">
        <w:t>2018 in parallel to the World Forum and to its subsidiary bodies to assist them in developing new vehicle regulations and updating the 147 existing UN Regulations annexed to the 1958 Agreement, 20 UN Global Technical R</w:t>
      </w:r>
      <w:r w:rsidRPr="0033075D">
        <w:t>egulations associated to the 1998 Agreement and [4] UN Rules annexed to the 1997 Agreement with 1</w:t>
      </w:r>
      <w:r>
        <w:t>00</w:t>
      </w:r>
      <w:r w:rsidRPr="0033075D">
        <w:t xml:space="preserve"> amendments. </w:t>
      </w:r>
    </w:p>
    <w:p w:rsidR="006D1B78" w:rsidRPr="002151BC" w:rsidRDefault="006D1B78" w:rsidP="006D1B78">
      <w:pPr>
        <w:pStyle w:val="SingleTxtG"/>
      </w:pPr>
      <w:r w:rsidRPr="00910CFD">
        <w:t xml:space="preserve">The Committee may wish to </w:t>
      </w:r>
      <w:r w:rsidRPr="00910CFD">
        <w:rPr>
          <w:b/>
          <w:bCs/>
        </w:rPr>
        <w:t xml:space="preserve">note </w:t>
      </w:r>
      <w:r w:rsidRPr="00910CFD">
        <w:t>the number of contracting parties to the 1958 Agreement (</w:t>
      </w:r>
      <w:r w:rsidRPr="002151BC">
        <w:t>56), to the 1998 Agreement (36), and to the 1997 Ag</w:t>
      </w:r>
      <w:r w:rsidRPr="0033075D">
        <w:t>reement (</w:t>
      </w:r>
      <w:r w:rsidRPr="002151BC">
        <w:t>15).</w:t>
      </w:r>
    </w:p>
    <w:p w:rsidR="006D1B78" w:rsidRPr="0033075D" w:rsidRDefault="006D1B78" w:rsidP="006D1B78">
      <w:pPr>
        <w:pStyle w:val="SingleTxtG"/>
      </w:pPr>
      <w:r w:rsidRPr="0033075D">
        <w:t xml:space="preserve">The Committee may wish to be </w:t>
      </w:r>
      <w:r w:rsidRPr="0033075D">
        <w:rPr>
          <w:b/>
          <w:bCs/>
        </w:rPr>
        <w:t>informed</w:t>
      </w:r>
      <w:r w:rsidRPr="0033075D">
        <w:t>, that the new UN Regulations on International</w:t>
      </w:r>
      <w:r w:rsidRPr="00910CFD">
        <w:t xml:space="preserve"> Whole Vehicle Type Approval, on Accident Emergency Call systems and on ISOFIX anchorage systems, ISOFIX top tether anchorages and i-Size seating positions entered into force on 19 July 2018 and the new UN Regulations on </w:t>
      </w:r>
      <w:r w:rsidRPr="00D13786">
        <w:t>Hydrogen and fuel cell vehicles of category L, and on Mechanical coupling components of combinations</w:t>
      </w:r>
      <w:r w:rsidRPr="0033075D">
        <w:t xml:space="preserve"> of agricultural vehicles entered into force on 2 January 2019. </w:t>
      </w:r>
    </w:p>
    <w:p w:rsidR="006D1B78" w:rsidRPr="002151BC" w:rsidRDefault="006D1B78" w:rsidP="006D1B78">
      <w:pPr>
        <w:pStyle w:val="SingleTxtG"/>
      </w:pPr>
      <w:r w:rsidRPr="0033075D">
        <w:t xml:space="preserve">The Committee may wish to </w:t>
      </w:r>
      <w:r w:rsidRPr="0033075D">
        <w:rPr>
          <w:b/>
          <w:bCs/>
        </w:rPr>
        <w:t xml:space="preserve">note </w:t>
      </w:r>
      <w:r w:rsidRPr="0033075D">
        <w:t xml:space="preserve">that the Administrative Committee of the 1997 Agreement established </w:t>
      </w:r>
      <w:r w:rsidRPr="002151BC">
        <w:t xml:space="preserve">new Rules on the periodic technical inspection of LPG/LNG powered vehicles and on </w:t>
      </w:r>
      <w:r w:rsidRPr="0033075D">
        <w:t>periodic technical inspection of vehicles with electric propulsion</w:t>
      </w:r>
      <w:r>
        <w:t>.</w:t>
      </w:r>
      <w:r w:rsidRPr="002151BC">
        <w:t xml:space="preserve"> </w:t>
      </w:r>
    </w:p>
    <w:p w:rsidR="006D1B78" w:rsidRPr="0033075D" w:rsidRDefault="006D1B78" w:rsidP="006D1B78">
      <w:pPr>
        <w:pStyle w:val="SingleTxtG"/>
      </w:pPr>
      <w:r w:rsidRPr="0033075D">
        <w:t xml:space="preserve">The Committee may wish to </w:t>
      </w:r>
      <w:r w:rsidRPr="0033075D">
        <w:rPr>
          <w:b/>
          <w:bCs/>
        </w:rPr>
        <w:t xml:space="preserve">note </w:t>
      </w:r>
      <w:r w:rsidRPr="0033075D">
        <w:t xml:space="preserve">that the Executive Committee of the 1998 Agreement established a new Global Technical Regulation No. 20 on the Electric Vehicle Safety (EVS) and amendments to Global Technical Regulations No. </w:t>
      </w:r>
      <w:r w:rsidRPr="002151BC">
        <w:t>9 (Pedestrian protection), No. 15 (Worldwide harmonized Light vehicle Test Procedure) and to new Global Technical Regulations</w:t>
      </w:r>
      <w:r w:rsidRPr="0033075D">
        <w:t xml:space="preserve"> No. 19 on evaporate emission test Worldwide harmonized Light Duty Test Procedure. </w:t>
      </w:r>
    </w:p>
    <w:p w:rsidR="006D1B78" w:rsidRPr="0033075D" w:rsidRDefault="006D1B78" w:rsidP="006D1B78">
      <w:pPr>
        <w:pStyle w:val="SingleTxtG"/>
      </w:pPr>
      <w:r w:rsidRPr="002151BC">
        <w:t xml:space="preserve">The Committee may wish to be </w:t>
      </w:r>
      <w:r w:rsidRPr="0033075D">
        <w:rPr>
          <w:b/>
          <w:bCs/>
        </w:rPr>
        <w:t>informed</w:t>
      </w:r>
      <w:r w:rsidRPr="0033075D">
        <w:t xml:space="preserve"> about the status of establish</w:t>
      </w:r>
      <w:r>
        <w:t>ing</w:t>
      </w:r>
      <w:r w:rsidRPr="0033075D">
        <w:t xml:space="preserve"> the type-approval </w:t>
      </w:r>
      <w:r w:rsidRPr="00732978">
        <w:t xml:space="preserve">database </w:t>
      </w:r>
      <w:r w:rsidRPr="00D13786">
        <w:t>DETA</w:t>
      </w:r>
      <w:r>
        <w:rPr>
          <w:rStyle w:val="FootnoteReference"/>
        </w:rPr>
        <w:footnoteReference w:id="5"/>
      </w:r>
      <w:r w:rsidRPr="00732978">
        <w:t xml:space="preserve"> following</w:t>
      </w:r>
      <w:r w:rsidRPr="0033075D">
        <w:t xml:space="preserve"> the entry into force of Revision 3 to the 1958 Agreement.</w:t>
      </w:r>
    </w:p>
    <w:p w:rsidR="006D1B78" w:rsidRPr="00D13786" w:rsidRDefault="006D1B78" w:rsidP="006D1B78">
      <w:pPr>
        <w:pStyle w:val="SingleTxtG"/>
        <w:rPr>
          <w:lang w:val="fr-FR"/>
        </w:rPr>
      </w:pPr>
      <w:r w:rsidRPr="00D13786">
        <w:rPr>
          <w:b/>
          <w:bCs/>
          <w:lang w:val="fr-FR"/>
        </w:rPr>
        <w:t xml:space="preserve">Documentation </w:t>
      </w:r>
    </w:p>
    <w:p w:rsidR="006D1B78" w:rsidRPr="00D13786" w:rsidRDefault="006D1B78" w:rsidP="006D1B78">
      <w:pPr>
        <w:pStyle w:val="SingleTxtG"/>
        <w:rPr>
          <w:lang w:val="fr-FR"/>
        </w:rPr>
      </w:pPr>
      <w:r w:rsidRPr="00D13786">
        <w:rPr>
          <w:lang w:val="fr-FR"/>
        </w:rPr>
        <w:t>ECE/TRANS/WP.29/2018/1/Rev.2, ECE/TRANS/2019/10</w:t>
      </w:r>
    </w:p>
    <w:p w:rsidR="006D1B78" w:rsidRPr="00910CFD" w:rsidRDefault="006D1B78" w:rsidP="006D1B78">
      <w:pPr>
        <w:pStyle w:val="H23G"/>
      </w:pPr>
      <w:r w:rsidRPr="00D13786">
        <w:rPr>
          <w:lang w:val="fr-FR"/>
        </w:rPr>
        <w:lastRenderedPageBreak/>
        <w:tab/>
      </w:r>
      <w:bookmarkStart w:id="5" w:name="_Hlk531876710"/>
      <w:r w:rsidRPr="00910CFD">
        <w:t>(c)</w:t>
      </w:r>
      <w:r w:rsidRPr="00910CFD">
        <w:tab/>
        <w:t xml:space="preserve">Road </w:t>
      </w:r>
      <w:r w:rsidRPr="00783737">
        <w:t>safety</w:t>
      </w:r>
    </w:p>
    <w:p w:rsidR="006D1B78" w:rsidRPr="005A3095" w:rsidRDefault="006D1B78" w:rsidP="006D1B78">
      <w:pPr>
        <w:pStyle w:val="SingleTxtG"/>
        <w:rPr>
          <w:lang w:val="en-US"/>
        </w:rPr>
      </w:pPr>
      <w:r w:rsidRPr="00910CFD">
        <w:t xml:space="preserve">The Committee </w:t>
      </w:r>
      <w:r w:rsidRPr="00910CFD">
        <w:rPr>
          <w:b/>
          <w:bCs/>
        </w:rPr>
        <w:t>will be informed</w:t>
      </w:r>
      <w:r w:rsidRPr="00910CFD">
        <w:t xml:space="preserve"> about the most important developments in the work carried out by the Global Forum for Road Traffic Safety (WP.1). This will include information about subject areas such as automated vehicles and the non-binding guidance titled “Global Forum for Road Traffic Safety Resolution on the deployment of highly and fully automated vehicles in road traffic” which was adopted at </w:t>
      </w:r>
      <w:r>
        <w:t>the seventy-seventh</w:t>
      </w:r>
      <w:r w:rsidRPr="0033075D">
        <w:t xml:space="preserve"> session</w:t>
      </w:r>
      <w:r>
        <w:t xml:space="preserve"> of </w:t>
      </w:r>
      <w:r w:rsidRPr="00910CFD">
        <w:t>WP.1</w:t>
      </w:r>
      <w:r w:rsidRPr="0033075D">
        <w:t xml:space="preserve">, international driving permits, vulnerable road users, </w:t>
      </w:r>
      <w:r>
        <w:t>Sustainable Development Goals</w:t>
      </w:r>
      <w:r w:rsidRPr="0033075D">
        <w:t>, and the Consolidated Resolution on Road Traffic (</w:t>
      </w:r>
      <w:r w:rsidRPr="00732978">
        <w:t>R.E.1</w:t>
      </w:r>
      <w:r w:rsidRPr="0033075D">
        <w:t>).</w:t>
      </w:r>
    </w:p>
    <w:p w:rsidR="006D1B78" w:rsidRPr="00910CFD" w:rsidRDefault="006D1B78" w:rsidP="006D1B78">
      <w:pPr>
        <w:pStyle w:val="SingleTxtG"/>
      </w:pPr>
      <w:r w:rsidRPr="0033075D">
        <w:t xml:space="preserve">The Committee will also be informed about the work and achievements of the Group of Experts on Road Signs and Signals (GERSS) which is expected to </w:t>
      </w:r>
      <w:r w:rsidRPr="00910CFD">
        <w:t xml:space="preserve">complete its mandate in June 2019. The Committee </w:t>
      </w:r>
      <w:r w:rsidRPr="00910CFD">
        <w:rPr>
          <w:b/>
          <w:bCs/>
        </w:rPr>
        <w:t>will be invited to endorse</w:t>
      </w:r>
      <w:r w:rsidRPr="00910CFD">
        <w:t xml:space="preserve"> the WP.1 decision to extend the mandate of GERSS to 30 June 2019 (ECE/TRANS/WP.1/165, para. 25) to make it possible for GERSS to submit its final report to WP.1. </w:t>
      </w:r>
    </w:p>
    <w:p w:rsidR="006D1B78" w:rsidRPr="00910CFD" w:rsidRDefault="006D1B78" w:rsidP="006D1B78">
      <w:pPr>
        <w:pStyle w:val="SingleTxtG"/>
      </w:pPr>
      <w:r w:rsidRPr="00910CFD">
        <w:t xml:space="preserve">The Committee will be </w:t>
      </w:r>
      <w:r w:rsidRPr="00910CFD">
        <w:rPr>
          <w:b/>
          <w:bCs/>
        </w:rPr>
        <w:t>informed</w:t>
      </w:r>
      <w:r w:rsidRPr="00910CFD">
        <w:t xml:space="preserve"> on the progress of developing e-CoRSS which is an electronic version of the 1968 Convention on Road Signs and Signals. </w:t>
      </w:r>
    </w:p>
    <w:p w:rsidR="006D1B78" w:rsidRPr="00910CFD" w:rsidRDefault="006D1B78" w:rsidP="006D1B78">
      <w:pPr>
        <w:pStyle w:val="SingleTxtG"/>
      </w:pPr>
      <w:r w:rsidRPr="00910CFD">
        <w:t xml:space="preserve">The Committee will be invited </w:t>
      </w:r>
      <w:r w:rsidRPr="00910CFD">
        <w:rPr>
          <w:b/>
          <w:bCs/>
        </w:rPr>
        <w:t>to take note</w:t>
      </w:r>
      <w:r w:rsidRPr="00910CFD">
        <w:t xml:space="preserve"> of </w:t>
      </w:r>
      <w:r>
        <w:t>a</w:t>
      </w:r>
      <w:r w:rsidRPr="0033075D">
        <w:t xml:space="preserve">nnex II of ECE/TRANS/WP.1/165 which provides </w:t>
      </w:r>
      <w:r>
        <w:t xml:space="preserve">the </w:t>
      </w:r>
      <w:r w:rsidRPr="0033075D">
        <w:t xml:space="preserve">contribution </w:t>
      </w:r>
      <w:r>
        <w:t xml:space="preserve">of </w:t>
      </w:r>
      <w:r w:rsidRPr="008D2461">
        <w:t xml:space="preserve">WP.1 </w:t>
      </w:r>
      <w:r w:rsidRPr="0033075D">
        <w:t xml:space="preserve">to the draft ITC strategy </w:t>
      </w:r>
      <w:r w:rsidRPr="00910CFD">
        <w:t xml:space="preserve">until 2030. </w:t>
      </w:r>
    </w:p>
    <w:p w:rsidR="006D1B78" w:rsidRPr="0033075D" w:rsidRDefault="006D1B78" w:rsidP="006D1B78">
      <w:pPr>
        <w:pStyle w:val="SingleTxtG"/>
      </w:pPr>
      <w:r w:rsidRPr="00910CFD">
        <w:t xml:space="preserve">The Committee will </w:t>
      </w:r>
      <w:r w:rsidRPr="00910CFD">
        <w:rPr>
          <w:b/>
          <w:bCs/>
        </w:rPr>
        <w:t>be informed</w:t>
      </w:r>
      <w:r w:rsidRPr="00910CFD">
        <w:t xml:space="preserve"> about the </w:t>
      </w:r>
      <w:r>
        <w:t>fiftieth</w:t>
      </w:r>
      <w:r w:rsidRPr="0033075D">
        <w:t xml:space="preserve"> anniversary of the 1968 Conventions on Road Traffic and Road Signs and Signals that took place on 8 November 2018.</w:t>
      </w:r>
    </w:p>
    <w:p w:rsidR="006D1B78" w:rsidRPr="00910CFD" w:rsidRDefault="006D1B78" w:rsidP="006D1B78">
      <w:pPr>
        <w:pStyle w:val="SingleTxtG"/>
      </w:pPr>
      <w:r w:rsidRPr="0033075D">
        <w:t xml:space="preserve">The Committee may wish to </w:t>
      </w:r>
      <w:r w:rsidRPr="0033075D">
        <w:rPr>
          <w:b/>
        </w:rPr>
        <w:t>take note</w:t>
      </w:r>
      <w:r w:rsidRPr="0033075D">
        <w:t xml:space="preserve"> of progress in </w:t>
      </w:r>
      <w:r w:rsidRPr="00910CFD">
        <w:t>implement</w:t>
      </w:r>
      <w:r>
        <w:t>ing</w:t>
      </w:r>
      <w:r w:rsidRPr="0033075D">
        <w:t xml:space="preserve"> the ECE Road Safety Action Plan (ECE/TRANS/</w:t>
      </w:r>
      <w:r w:rsidRPr="00910CFD">
        <w:t>2019/11).</w:t>
      </w:r>
    </w:p>
    <w:p w:rsidR="006D1B78" w:rsidRPr="00910CFD" w:rsidRDefault="006D1B78" w:rsidP="006D1B78">
      <w:pPr>
        <w:pStyle w:val="SingleTxtG"/>
      </w:pPr>
      <w:r w:rsidRPr="00910CFD">
        <w:t xml:space="preserve">The Committee will be </w:t>
      </w:r>
      <w:r w:rsidRPr="00910CFD">
        <w:rPr>
          <w:b/>
        </w:rPr>
        <w:t>informed</w:t>
      </w:r>
      <w:r w:rsidRPr="00910CFD">
        <w:t xml:space="preserve"> about results of the </w:t>
      </w:r>
      <w:r w:rsidRPr="00F668E4">
        <w:t>United Nations Development Account</w:t>
      </w:r>
      <w:r w:rsidRPr="0033075D">
        <w:t xml:space="preserve">-financed Road Safety Performance Reviews (RSPR) in Albania and Georgia (ECE/TRANS/2019/12). </w:t>
      </w:r>
      <w:r w:rsidRPr="00910CFD">
        <w:t>RSPR were conducted to assess the current road safety situation, to help the beneficiary countries to identify the most critical road safety issues and to recommend actions to be taken. Based on the critical issues identified, capacity-building workshops for national road safety stakeholders were organized. The project raised public awareness on road safety issues and sensitized national experts and the non-government sector to the need to set ambitious road safety targets and take specific measures to improve road safety.</w:t>
      </w:r>
    </w:p>
    <w:p w:rsidR="006D1B78" w:rsidRPr="0033075D" w:rsidRDefault="006D1B78" w:rsidP="006D1B78">
      <w:pPr>
        <w:pStyle w:val="SingleTxtG"/>
      </w:pPr>
      <w:r w:rsidRPr="00910CFD">
        <w:t xml:space="preserve">The Committee may wish to </w:t>
      </w:r>
      <w:r w:rsidRPr="00910CFD">
        <w:rPr>
          <w:b/>
        </w:rPr>
        <w:t>welcome</w:t>
      </w:r>
      <w:r w:rsidRPr="00910CFD">
        <w:t xml:space="preserve"> RSPR project results and to </w:t>
      </w:r>
      <w:r w:rsidRPr="00910CFD">
        <w:rPr>
          <w:b/>
          <w:bCs/>
        </w:rPr>
        <w:t>express its</w:t>
      </w:r>
      <w:r w:rsidRPr="00910CFD">
        <w:t xml:space="preserve"> </w:t>
      </w:r>
      <w:r w:rsidRPr="00910CFD">
        <w:rPr>
          <w:b/>
        </w:rPr>
        <w:t>support</w:t>
      </w:r>
      <w:r w:rsidRPr="00910CFD">
        <w:t xml:space="preserve"> for the upcoming </w:t>
      </w:r>
      <w:r w:rsidRPr="0033075D">
        <w:t>RSPR</w:t>
      </w:r>
      <w:r w:rsidRPr="0033075D" w:rsidDel="0033075D">
        <w:t xml:space="preserve"> </w:t>
      </w:r>
      <w:r>
        <w:t xml:space="preserve">in </w:t>
      </w:r>
      <w:r w:rsidRPr="0033075D">
        <w:t xml:space="preserve">Kazakhstan. </w:t>
      </w:r>
    </w:p>
    <w:p w:rsidR="006D1B78" w:rsidRPr="00910CFD" w:rsidRDefault="006D1B78" w:rsidP="006D1B78">
      <w:pPr>
        <w:pStyle w:val="SingleTxtG"/>
      </w:pPr>
      <w:r w:rsidRPr="00910CFD">
        <w:t xml:space="preserve">The Committee will be </w:t>
      </w:r>
      <w:r w:rsidRPr="00910CFD">
        <w:rPr>
          <w:b/>
        </w:rPr>
        <w:t>informed</w:t>
      </w:r>
      <w:r w:rsidRPr="00910CFD">
        <w:t xml:space="preserve"> about the main developments in the activities of the United Nations Secretary-General’s Special Envoy for Road Safety, Mr. Jean Todt</w:t>
      </w:r>
      <w:r>
        <w:t>,</w:t>
      </w:r>
      <w:r w:rsidRPr="0033075D">
        <w:t xml:space="preserve"> and areas of cooperat</w:t>
      </w:r>
      <w:r w:rsidRPr="00910CFD">
        <w:t xml:space="preserve">ion with the Committee (ECE/TRANS/2019/13). </w:t>
      </w:r>
    </w:p>
    <w:p w:rsidR="006D1B78" w:rsidRPr="00301619" w:rsidRDefault="006D1B78" w:rsidP="006D1B78">
      <w:pPr>
        <w:pStyle w:val="SingleTxtG"/>
      </w:pPr>
      <w:r w:rsidRPr="00910CFD">
        <w:t xml:space="preserve">The Committee will be </w:t>
      </w:r>
      <w:r w:rsidRPr="00910CFD">
        <w:rPr>
          <w:b/>
          <w:bCs/>
        </w:rPr>
        <w:t>informed</w:t>
      </w:r>
      <w:r w:rsidRPr="00910CFD">
        <w:t xml:space="preserve"> about the establishment of the United Nations Road Safety Trust Fund (UNRSTF) and the efforts to operationalize it</w:t>
      </w:r>
      <w:r w:rsidRPr="00301619">
        <w:t xml:space="preserve">. Furthermore, the Committee </w:t>
      </w:r>
      <w:r w:rsidRPr="00301619">
        <w:rPr>
          <w:b/>
          <w:bCs/>
        </w:rPr>
        <w:t xml:space="preserve">will be informed </w:t>
      </w:r>
      <w:r w:rsidRPr="00301619">
        <w:t xml:space="preserve">about the appointment of Sweden to the Fund’s Advisory Board as representative of the ECE region. The Fund’s Advisory Board consists of Member State Representatives of the five United Nations Regions, United Nations agencies, government and private sector donors, multilateral development banks, civil society and academia, reflecting the Fund’s broad partnership-based approach to improving road safety. The Committee may wish </w:t>
      </w:r>
      <w:r w:rsidRPr="00301619">
        <w:rPr>
          <w:b/>
          <w:bCs/>
        </w:rPr>
        <w:t>to take note</w:t>
      </w:r>
      <w:r w:rsidRPr="00301619">
        <w:t xml:space="preserve"> of progress in setting up the secretariat of the Fund, which is hosted by ECE. </w:t>
      </w:r>
    </w:p>
    <w:p w:rsidR="006D1B78" w:rsidRPr="00910CFD" w:rsidRDefault="006D1B78" w:rsidP="006D1B78">
      <w:pPr>
        <w:pStyle w:val="SingleTxtG"/>
      </w:pPr>
      <w:r w:rsidRPr="00301619">
        <w:t xml:space="preserve">The Committee </w:t>
      </w:r>
      <w:r w:rsidRPr="00301619">
        <w:rPr>
          <w:b/>
          <w:bCs/>
        </w:rPr>
        <w:t>may wish to express its strong support</w:t>
      </w:r>
      <w:r w:rsidRPr="00301619">
        <w:t xml:space="preserve"> for the regional and global work of UNRSTF, </w:t>
      </w:r>
      <w:r w:rsidRPr="00301619">
        <w:rPr>
          <w:b/>
          <w:bCs/>
        </w:rPr>
        <w:t>encourage</w:t>
      </w:r>
      <w:r w:rsidRPr="00301619">
        <w:t xml:space="preserve"> its member States to extend their cooperation in support of its mission, </w:t>
      </w:r>
      <w:r w:rsidRPr="00301619">
        <w:rPr>
          <w:b/>
          <w:bCs/>
        </w:rPr>
        <w:t>welcome</w:t>
      </w:r>
      <w:r w:rsidRPr="00301619">
        <w:t xml:space="preserve"> the hosting of the secretariat by ECE, and </w:t>
      </w:r>
      <w:r w:rsidRPr="00301619">
        <w:rPr>
          <w:b/>
          <w:bCs/>
        </w:rPr>
        <w:t>request</w:t>
      </w:r>
      <w:r w:rsidRPr="00301619">
        <w:t xml:space="preserve"> Sweden to convey the regional messages to the Advisory Board. </w:t>
      </w:r>
    </w:p>
    <w:p w:rsidR="006D1B78" w:rsidRPr="00513698" w:rsidRDefault="006D1B78" w:rsidP="006D1B78">
      <w:pPr>
        <w:pStyle w:val="SingleTxtG"/>
        <w:rPr>
          <w:b/>
          <w:lang w:val="fr-FR"/>
        </w:rPr>
      </w:pPr>
      <w:r w:rsidRPr="00513698">
        <w:rPr>
          <w:b/>
          <w:lang w:val="fr-FR"/>
        </w:rPr>
        <w:lastRenderedPageBreak/>
        <w:t>Documentation</w:t>
      </w:r>
    </w:p>
    <w:p w:rsidR="006D1B78" w:rsidRPr="00D13786" w:rsidRDefault="006D1B78" w:rsidP="006D1B78">
      <w:pPr>
        <w:pStyle w:val="SingleTxtG"/>
        <w:rPr>
          <w:lang w:val="fr-FR"/>
        </w:rPr>
      </w:pPr>
      <w:r w:rsidRPr="00513698">
        <w:rPr>
          <w:lang w:val="fr-FR"/>
        </w:rPr>
        <w:t xml:space="preserve">ECE/TRANS/2019/11, ECE/TRANS/2019/12, </w:t>
      </w:r>
      <w:r w:rsidRPr="00D13786">
        <w:rPr>
          <w:lang w:val="fr-FR"/>
        </w:rPr>
        <w:t>ECE/TRANS/2019/13</w:t>
      </w:r>
    </w:p>
    <w:bookmarkEnd w:id="5"/>
    <w:p w:rsidR="006D1B78" w:rsidRPr="002151BC" w:rsidRDefault="006D1B78" w:rsidP="006D1B78">
      <w:pPr>
        <w:pStyle w:val="H23G"/>
      </w:pPr>
      <w:r w:rsidRPr="00513698">
        <w:rPr>
          <w:lang w:val="fr-FR"/>
        </w:rPr>
        <w:tab/>
      </w:r>
      <w:r w:rsidRPr="002151BC">
        <w:t>(d)</w:t>
      </w:r>
      <w:r w:rsidRPr="002151BC">
        <w:tab/>
        <w:t>Road transport</w:t>
      </w:r>
    </w:p>
    <w:p w:rsidR="006D1B78" w:rsidRPr="0033075D" w:rsidRDefault="006D1B78" w:rsidP="006D1B78">
      <w:pPr>
        <w:pStyle w:val="SingleTxtG"/>
      </w:pPr>
      <w:r w:rsidRPr="0033075D">
        <w:t xml:space="preserve">The Committee </w:t>
      </w:r>
      <w:r w:rsidRPr="0033075D">
        <w:rPr>
          <w:b/>
          <w:bCs/>
        </w:rPr>
        <w:t>will be informed</w:t>
      </w:r>
      <w:r w:rsidRPr="0033075D">
        <w:t xml:space="preserve"> about the latest developments in the work carried out by the Working Party on Road Transport (SC.1) and by the Group of Experts on the European Agreement concerning the Work of Crews of Vehicles Engaged in International Road Transport (AETR). </w:t>
      </w:r>
    </w:p>
    <w:p w:rsidR="006D1B78" w:rsidRPr="00910CFD" w:rsidRDefault="006D1B78" w:rsidP="006D1B78">
      <w:pPr>
        <w:pStyle w:val="SingleTxtG"/>
      </w:pPr>
      <w:r w:rsidRPr="00910CFD">
        <w:t xml:space="preserve">In particular, the Committee </w:t>
      </w:r>
      <w:r w:rsidRPr="00910CFD">
        <w:rPr>
          <w:b/>
          <w:bCs/>
        </w:rPr>
        <w:t>will be updated</w:t>
      </w:r>
      <w:r w:rsidRPr="00910CFD">
        <w:t xml:space="preserve"> on the progress </w:t>
      </w:r>
      <w:r>
        <w:t xml:space="preserve">of </w:t>
      </w:r>
      <w:r w:rsidRPr="0033075D">
        <w:t xml:space="preserve">the proposal by the Government of Slovakia to amend AETR Article 14 (eligibility to accede), 22 and 22bis (amendment procedures) as well to simultaneously adjust the relevant parts of the AETR Agreement to accommodate references to </w:t>
      </w:r>
      <w:r w:rsidRPr="00910CFD">
        <w:t xml:space="preserve">Regulations 165/2014, 2016/799 and 2018/502 (Appendix 1C) </w:t>
      </w:r>
      <w:r>
        <w:t xml:space="preserve">of the European Union, </w:t>
      </w:r>
      <w:r w:rsidRPr="0033075D">
        <w:t xml:space="preserve">largely via an amendment proposal of the Government of Estonia. </w:t>
      </w:r>
    </w:p>
    <w:p w:rsidR="006D1B78" w:rsidRPr="0033075D" w:rsidRDefault="006D1B78" w:rsidP="006D1B78">
      <w:pPr>
        <w:pStyle w:val="SingleTxtG"/>
      </w:pPr>
      <w:r w:rsidRPr="00910CFD">
        <w:t xml:space="preserve">The secretariat </w:t>
      </w:r>
      <w:r w:rsidRPr="00910CFD">
        <w:rPr>
          <w:b/>
          <w:bCs/>
        </w:rPr>
        <w:t>will also inform</w:t>
      </w:r>
      <w:r w:rsidRPr="00910CFD">
        <w:t xml:space="preserve"> the Committee </w:t>
      </w:r>
      <w:r>
        <w:t xml:space="preserve">about </w:t>
      </w:r>
      <w:r w:rsidRPr="0033075D">
        <w:t xml:space="preserve">the reconciliation of the differences in “AETR regimes” in European Union and non-European contracting parties that will result after the compulsory adoption of the smart tachograph by the European Union AETR contracting parties after 15 June 2019. As well, the secretariat will inform about the status of any proposals to amend Article 14 (eligibility to accede) in order to make Lebanon eligible to accede to the AETR Agreement. </w:t>
      </w:r>
    </w:p>
    <w:p w:rsidR="006D1B78" w:rsidRPr="00910CFD" w:rsidRDefault="006D1B78" w:rsidP="006D1B78">
      <w:pPr>
        <w:pStyle w:val="SingleTxtG"/>
      </w:pPr>
      <w:r w:rsidRPr="00910CFD">
        <w:t>The Committee may wish to take note that the mandate of the AETR Group of Experts is expiring on 30 June 2019.</w:t>
      </w:r>
      <w:r w:rsidR="00436F23">
        <w:t xml:space="preserve"> </w:t>
      </w:r>
      <w:r w:rsidRPr="00910CFD">
        <w:t>The Group will decide at its meeting of 18 February 2019 if an extension beyond that date is necessary.</w:t>
      </w:r>
      <w:r w:rsidR="00436F23">
        <w:t xml:space="preserve"> </w:t>
      </w:r>
      <w:r w:rsidRPr="00910CFD">
        <w:t>If it is so, the secretariat will convey an appropriate request to the Committee.</w:t>
      </w:r>
    </w:p>
    <w:p w:rsidR="006D1B78" w:rsidRPr="0033075D" w:rsidRDefault="006D1B78" w:rsidP="006D1B78">
      <w:pPr>
        <w:pStyle w:val="SingleTxtG"/>
      </w:pPr>
      <w:r w:rsidRPr="00910CFD">
        <w:t xml:space="preserve">The Committee </w:t>
      </w:r>
      <w:r w:rsidRPr="00910CFD">
        <w:rPr>
          <w:b/>
          <w:bCs/>
        </w:rPr>
        <w:t>will then be informed</w:t>
      </w:r>
      <w:r w:rsidRPr="00910CFD">
        <w:t xml:space="preserve"> about the number of contracting parties to the Additional Protocol to the CMR Convention (e-CMR), the special session SC.1 session which took place on 4 April 2018 </w:t>
      </w:r>
      <w:r>
        <w:t xml:space="preserve">on </w:t>
      </w:r>
      <w:r w:rsidRPr="0033075D">
        <w:t>the operationalization of e-CMR, and a “without prejudice” guidance note on the legal aspects of the e-CMR prepared by the secretariat.</w:t>
      </w:r>
    </w:p>
    <w:p w:rsidR="006D1B78" w:rsidRPr="0033075D" w:rsidRDefault="006D1B78" w:rsidP="006D1B78">
      <w:pPr>
        <w:pStyle w:val="SingleTxtG"/>
      </w:pPr>
      <w:r w:rsidRPr="0033075D">
        <w:t xml:space="preserve">The Committee </w:t>
      </w:r>
      <w:r w:rsidRPr="0033075D">
        <w:rPr>
          <w:b/>
          <w:bCs/>
        </w:rPr>
        <w:t>will also be informed</w:t>
      </w:r>
      <w:r w:rsidRPr="0033075D">
        <w:t xml:space="preserve"> about the SC.1 workshop on digital/smart road infrastructure which took place on 5 April 2018.</w:t>
      </w:r>
    </w:p>
    <w:p w:rsidR="006D1B78" w:rsidRPr="0033075D" w:rsidRDefault="006D1B78" w:rsidP="006D1B78">
      <w:pPr>
        <w:pStyle w:val="SingleTxtG"/>
      </w:pPr>
      <w:r w:rsidRPr="00910CFD">
        <w:t xml:space="preserve">Finally, the Committee </w:t>
      </w:r>
      <w:r w:rsidRPr="00910CFD">
        <w:rPr>
          <w:b/>
          <w:bCs/>
        </w:rPr>
        <w:t>will be informed</w:t>
      </w:r>
      <w:r w:rsidRPr="00910CFD">
        <w:t xml:space="preserve"> about the progress in developing a global multilateral agreement on the international regular transport of passengers by coach and bus (OmniBus</w:t>
      </w:r>
      <w:r w:rsidRPr="002151BC">
        <w:t>) sin</w:t>
      </w:r>
      <w:r w:rsidRPr="0033075D">
        <w:t>ce SC.1 resumed this task in 2018.</w:t>
      </w:r>
    </w:p>
    <w:p w:rsidR="006D1B78" w:rsidRPr="00910CFD" w:rsidRDefault="006D1B78" w:rsidP="006D1B78">
      <w:pPr>
        <w:pStyle w:val="H23G"/>
      </w:pPr>
      <w:r w:rsidRPr="00910CFD">
        <w:tab/>
        <w:t>(e)</w:t>
      </w:r>
      <w:r w:rsidRPr="00910CFD">
        <w:tab/>
        <w:t>Rail transport</w:t>
      </w:r>
    </w:p>
    <w:p w:rsidR="006D1B78" w:rsidRPr="0033075D" w:rsidRDefault="006D1B78" w:rsidP="006D1B78">
      <w:pPr>
        <w:pStyle w:val="SingleTxtG"/>
      </w:pPr>
      <w:r w:rsidRPr="00910CFD">
        <w:t xml:space="preserve">The Committee </w:t>
      </w:r>
      <w:r w:rsidRPr="00910CFD">
        <w:rPr>
          <w:b/>
          <w:bCs/>
        </w:rPr>
        <w:t>will be informed</w:t>
      </w:r>
      <w:r w:rsidRPr="00910CFD">
        <w:t xml:space="preserve"> about the results of the seventy-second session of the Working Party on Rail Transport (SC.2) (ECE/TRANS/SC.2/230). The Committee may wish also </w:t>
      </w:r>
      <w:r w:rsidRPr="00910CFD">
        <w:rPr>
          <w:b/>
          <w:bCs/>
        </w:rPr>
        <w:t>to be informed</w:t>
      </w:r>
      <w:r w:rsidRPr="00910CFD">
        <w:t xml:space="preserve"> about the results of the workshop on “Innovation in the railways -</w:t>
      </w:r>
      <w:r w:rsidR="00436F23">
        <w:t xml:space="preserve"> </w:t>
      </w:r>
      <w:r w:rsidRPr="00910CFD">
        <w:t xml:space="preserve">making the railways of the future for the region” held during the last session of SC.2. The Committee may wish to </w:t>
      </w:r>
      <w:r w:rsidRPr="00910CFD">
        <w:rPr>
          <w:b/>
          <w:bCs/>
        </w:rPr>
        <w:t>note</w:t>
      </w:r>
      <w:r w:rsidRPr="00910CFD">
        <w:t xml:space="preserve"> that further modifications to AGC have been accepted and a consolidated version of the agreement is currently in production. The Committee may wish to </w:t>
      </w:r>
      <w:r w:rsidRPr="00910CFD">
        <w:rPr>
          <w:b/>
          <w:bCs/>
        </w:rPr>
        <w:t>be informed</w:t>
      </w:r>
      <w:r w:rsidRPr="00910CFD">
        <w:t xml:space="preserve"> about progress on the second phase of the master plan on high-speed trains for the TER region and the cooperation with the TER project. The Committee may wish to be </w:t>
      </w:r>
      <w:r w:rsidRPr="00910CFD">
        <w:rPr>
          <w:b/>
          <w:bCs/>
        </w:rPr>
        <w:t>informed</w:t>
      </w:r>
      <w:r w:rsidRPr="00910CFD">
        <w:t xml:space="preserve"> about developments relating to the new convention on the facilitation of crossing of frontiers for passengers and baggage carried by rail. In addition, the Committee may wish to be updated on progress with the </w:t>
      </w:r>
      <w:r>
        <w:t>r</w:t>
      </w:r>
      <w:r w:rsidRPr="0033075D">
        <w:t xml:space="preserve">ail </w:t>
      </w:r>
      <w:r>
        <w:t>r</w:t>
      </w:r>
      <w:r w:rsidRPr="0033075D">
        <w:t xml:space="preserve">eview. </w:t>
      </w:r>
    </w:p>
    <w:p w:rsidR="006D1B78" w:rsidRPr="00910CFD" w:rsidRDefault="006D1B78" w:rsidP="006D1B78">
      <w:pPr>
        <w:pStyle w:val="SingleTxtG"/>
      </w:pPr>
      <w:r w:rsidRPr="0033075D">
        <w:t xml:space="preserve">The Committee may wish to be </w:t>
      </w:r>
      <w:r w:rsidRPr="0033075D">
        <w:rPr>
          <w:b/>
          <w:bCs/>
        </w:rPr>
        <w:t>informed</w:t>
      </w:r>
      <w:r w:rsidRPr="0033075D">
        <w:t xml:space="preserve"> about the results of the Group of Experts on Unified Railway Law </w:t>
      </w:r>
      <w:r>
        <w:t xml:space="preserve">on </w:t>
      </w:r>
      <w:r w:rsidRPr="0033075D">
        <w:t xml:space="preserve">preparing a new legal regime for rail transport in particular in </w:t>
      </w:r>
      <w:r w:rsidRPr="0033075D">
        <w:lastRenderedPageBreak/>
        <w:t xml:space="preserve">relation to </w:t>
      </w:r>
      <w:r w:rsidRPr="00910CFD">
        <w:t>the progress with the pilot tests.</w:t>
      </w:r>
      <w:r w:rsidR="00436F23">
        <w:t xml:space="preserve"> </w:t>
      </w:r>
      <w:r w:rsidRPr="00910CFD">
        <w:t xml:space="preserve">The Committee may wish to be </w:t>
      </w:r>
      <w:r w:rsidRPr="00910CFD">
        <w:rPr>
          <w:b/>
          <w:bCs/>
        </w:rPr>
        <w:t>informed</w:t>
      </w:r>
      <w:r w:rsidRPr="00910CFD">
        <w:t xml:space="preserve"> about the results of Group’s work, the recommendations prepared by the experts, and </w:t>
      </w:r>
      <w:r w:rsidRPr="00910CFD">
        <w:rPr>
          <w:b/>
          <w:bCs/>
        </w:rPr>
        <w:t xml:space="preserve">provide guidance </w:t>
      </w:r>
      <w:r w:rsidRPr="00910CFD">
        <w:t>on the future work of the Group accordingly.</w:t>
      </w:r>
    </w:p>
    <w:p w:rsidR="006D1B78" w:rsidRPr="00910CFD" w:rsidRDefault="006D1B78" w:rsidP="006D1B78">
      <w:pPr>
        <w:pStyle w:val="SingleTxtG"/>
      </w:pPr>
      <w:r w:rsidRPr="00910CFD">
        <w:t>The Committee is invited to give guidance on these activities.</w:t>
      </w:r>
    </w:p>
    <w:p w:rsidR="006D1B78" w:rsidRPr="00910CFD" w:rsidRDefault="006D1B78" w:rsidP="006D1B78">
      <w:pPr>
        <w:pStyle w:val="H23G"/>
      </w:pPr>
      <w:r w:rsidRPr="00910CFD">
        <w:tab/>
        <w:t>(f)</w:t>
      </w:r>
      <w:r w:rsidRPr="00910CFD">
        <w:tab/>
        <w:t>Intermodal transport and logistics</w:t>
      </w:r>
    </w:p>
    <w:p w:rsidR="006D1B78" w:rsidRPr="00910CFD" w:rsidRDefault="006D1B78" w:rsidP="006D1B78">
      <w:pPr>
        <w:pStyle w:val="SingleTxtG"/>
      </w:pPr>
      <w:r w:rsidRPr="00910CFD">
        <w:t xml:space="preserve">The Committee will be </w:t>
      </w:r>
      <w:r w:rsidRPr="00910CFD">
        <w:rPr>
          <w:b/>
          <w:bCs/>
        </w:rPr>
        <w:t>informed</w:t>
      </w:r>
      <w:r w:rsidRPr="00910CFD">
        <w:t xml:space="preserve"> about the results of the sixty</w:t>
      </w:r>
      <w:r>
        <w:t>-</w:t>
      </w:r>
      <w:r w:rsidRPr="0033075D">
        <w:t xml:space="preserve">first session of the Working Party on Intermodal Transport and Logistics (ECE/TRANS/WP.24/143). </w:t>
      </w:r>
      <w:r w:rsidRPr="00BF53E2">
        <w:t>In particular,</w:t>
      </w:r>
      <w:r>
        <w:t xml:space="preserve"> t</w:t>
      </w:r>
      <w:r w:rsidRPr="0033075D">
        <w:t xml:space="preserve">he Committee may wish to be </w:t>
      </w:r>
      <w:r w:rsidRPr="0033075D">
        <w:rPr>
          <w:b/>
          <w:bCs/>
        </w:rPr>
        <w:t>i</w:t>
      </w:r>
      <w:r w:rsidRPr="00910CFD">
        <w:rPr>
          <w:b/>
          <w:bCs/>
        </w:rPr>
        <w:t>nformed</w:t>
      </w:r>
      <w:r w:rsidRPr="00910CFD">
        <w:t xml:space="preserve"> on the work carried out by the Working Party on:</w:t>
      </w:r>
    </w:p>
    <w:p w:rsidR="006D1B78" w:rsidRPr="00910CFD" w:rsidRDefault="006D1B78" w:rsidP="006D1B78">
      <w:pPr>
        <w:pStyle w:val="SingleTxtG"/>
        <w:ind w:firstLine="567"/>
      </w:pPr>
      <w:r>
        <w:t>(a)</w:t>
      </w:r>
      <w:r>
        <w:tab/>
      </w:r>
      <w:r w:rsidRPr="00910CFD">
        <w:t>intermodal transport terminals</w:t>
      </w:r>
      <w:r>
        <w:t>;</w:t>
      </w:r>
      <w:r w:rsidRPr="00910CFD">
        <w:t xml:space="preserve"> </w:t>
      </w:r>
    </w:p>
    <w:p w:rsidR="006D1B78" w:rsidRPr="00910CFD" w:rsidRDefault="006D1B78" w:rsidP="006D1B78">
      <w:pPr>
        <w:pStyle w:val="SingleTxtG"/>
        <w:ind w:firstLine="567"/>
      </w:pPr>
      <w:r>
        <w:t>(b)</w:t>
      </w:r>
      <w:r>
        <w:tab/>
      </w:r>
      <w:r w:rsidRPr="00910CFD">
        <w:t>preparing national master plans on freight transport and logistics</w:t>
      </w:r>
      <w:r>
        <w:t>;</w:t>
      </w:r>
      <w:r w:rsidRPr="00910CFD">
        <w:t xml:space="preserve"> </w:t>
      </w:r>
    </w:p>
    <w:p w:rsidR="006D1B78" w:rsidRPr="00910CFD" w:rsidRDefault="006D1B78" w:rsidP="006D1B78">
      <w:pPr>
        <w:pStyle w:val="SingleTxtG"/>
        <w:ind w:firstLine="567"/>
      </w:pPr>
      <w:r>
        <w:t>(c)</w:t>
      </w:r>
      <w:r>
        <w:tab/>
      </w:r>
      <w:r w:rsidRPr="00910CFD">
        <w:t>the Code of Practice for Packing of Cargo Transport Units</w:t>
      </w:r>
      <w:r>
        <w:t xml:space="preserve"> (CTU Code);</w:t>
      </w:r>
    </w:p>
    <w:p w:rsidR="006D1B78" w:rsidRPr="00910CFD" w:rsidRDefault="006D1B78" w:rsidP="006D1B78">
      <w:pPr>
        <w:pStyle w:val="SingleTxtG"/>
        <w:ind w:firstLine="567"/>
      </w:pPr>
      <w:r>
        <w:t>(d)</w:t>
      </w:r>
      <w:r>
        <w:tab/>
      </w:r>
      <w:r w:rsidRPr="00910CFD">
        <w:t>National policy measures to promote intermodal transport</w:t>
      </w:r>
      <w:r>
        <w:t>;</w:t>
      </w:r>
    </w:p>
    <w:p w:rsidR="006D1B78" w:rsidRPr="0033075D" w:rsidRDefault="006D1B78" w:rsidP="006D1B78">
      <w:pPr>
        <w:pStyle w:val="SingleTxtG"/>
        <w:ind w:firstLine="567"/>
      </w:pPr>
      <w:r>
        <w:t>(e)</w:t>
      </w:r>
      <w:r>
        <w:tab/>
      </w:r>
      <w:r>
        <w:rPr>
          <w:lang w:val="en-US"/>
        </w:rPr>
        <w:t>I</w:t>
      </w:r>
      <w:r w:rsidRPr="00910CFD">
        <w:t>ntermodal issues along Euro -Asian Transport Links</w:t>
      </w:r>
      <w:r>
        <w:t>.</w:t>
      </w:r>
    </w:p>
    <w:p w:rsidR="006D1B78" w:rsidRDefault="006D1B78" w:rsidP="006D1B78">
      <w:pPr>
        <w:pStyle w:val="SingleTxtG"/>
      </w:pPr>
      <w:r w:rsidRPr="0033075D">
        <w:t xml:space="preserve">The Committee may wish also to </w:t>
      </w:r>
      <w:r w:rsidRPr="0033075D">
        <w:rPr>
          <w:b/>
          <w:bCs/>
        </w:rPr>
        <w:t>be informed</w:t>
      </w:r>
      <w:r w:rsidRPr="0033075D">
        <w:t xml:space="preserve"> about the results of the workshop held on “</w:t>
      </w:r>
      <w:r w:rsidRPr="00910CFD">
        <w:t xml:space="preserve">Operational challenges of regional intermodal transport and innovative solutions” and the recommendations provided by the experts and other stakeholders (ECE/TRANS/2019/14). Furthermore, the Committee will be informed that a number of amendments to the European Agreement on Important International Combined Transport Lines and Related Installations (AGTC) and </w:t>
      </w:r>
      <w:r>
        <w:t xml:space="preserve">to </w:t>
      </w:r>
      <w:r w:rsidRPr="0033075D">
        <w:t xml:space="preserve">the Protocol of the AGTC have been accepted and have </w:t>
      </w:r>
      <w:r>
        <w:t xml:space="preserve">entered </w:t>
      </w:r>
      <w:r w:rsidRPr="0033075D">
        <w:t>into force.</w:t>
      </w:r>
    </w:p>
    <w:p w:rsidR="006D1B78" w:rsidRPr="00910CFD" w:rsidRDefault="006D1B78" w:rsidP="006D1B78">
      <w:pPr>
        <w:pStyle w:val="SingleTxtG"/>
      </w:pPr>
      <w:r w:rsidRPr="006818D6">
        <w:t xml:space="preserve">The Committee will be </w:t>
      </w:r>
      <w:r w:rsidRPr="006818D6">
        <w:rPr>
          <w:b/>
          <w:bCs/>
        </w:rPr>
        <w:t>invited to consider</w:t>
      </w:r>
      <w:r w:rsidRPr="006818D6">
        <w:t xml:space="preserve"> ECE/TRANS/2019/14 which contains the Terms of Reference for the Group of Experts on CTU Code agreed by the Working Party at its 61st session. The Committee </w:t>
      </w:r>
      <w:r w:rsidRPr="006818D6">
        <w:rPr>
          <w:b/>
          <w:bCs/>
        </w:rPr>
        <w:t>will be requested to establish</w:t>
      </w:r>
      <w:r w:rsidRPr="006818D6">
        <w:t xml:space="preserve"> the Group of Experts on CTU Code and endorse its Terms of Reference. As the CTU Code is a product of the consortium by ILO, IMO and UNECE, the Group of Experts would only start its work when ILO and IMO approve the Group’s Terms of Reference. The Group will be expected to meet twice in year one, at least three times in year two and at least twice in year three before concluding its work with its final report.</w:t>
      </w:r>
    </w:p>
    <w:p w:rsidR="006D1B78" w:rsidRPr="00796C8D" w:rsidRDefault="006D1B78" w:rsidP="006D1B78">
      <w:pPr>
        <w:pStyle w:val="SingleTxtG"/>
        <w:rPr>
          <w:b/>
        </w:rPr>
      </w:pPr>
      <w:r w:rsidRPr="00796C8D">
        <w:rPr>
          <w:b/>
        </w:rPr>
        <w:t>Documentation</w:t>
      </w:r>
    </w:p>
    <w:p w:rsidR="006D1B78" w:rsidRPr="002151BC" w:rsidRDefault="006D1B78" w:rsidP="006D1B78">
      <w:pPr>
        <w:pStyle w:val="SingleTxtG"/>
      </w:pPr>
      <w:r w:rsidRPr="00796C8D">
        <w:t>ECE/TRANS/2019/14</w:t>
      </w:r>
    </w:p>
    <w:p w:rsidR="006D1B78" w:rsidRPr="00910CFD" w:rsidRDefault="006D1B78" w:rsidP="006D1B78">
      <w:pPr>
        <w:pStyle w:val="H23G"/>
      </w:pPr>
      <w:r w:rsidRPr="00910CFD">
        <w:tab/>
        <w:t>(g)</w:t>
      </w:r>
      <w:r w:rsidRPr="00910CFD">
        <w:tab/>
        <w:t>Inland water transport</w:t>
      </w:r>
    </w:p>
    <w:p w:rsidR="006D1B78" w:rsidRPr="002151BC" w:rsidRDefault="006D1B78" w:rsidP="006D1B78">
      <w:pPr>
        <w:pStyle w:val="SingleTxtG"/>
      </w:pPr>
      <w:r w:rsidRPr="00910CFD">
        <w:t xml:space="preserve">The Committee will be </w:t>
      </w:r>
      <w:r w:rsidRPr="00910CFD">
        <w:rPr>
          <w:b/>
          <w:bCs/>
        </w:rPr>
        <w:t xml:space="preserve">informed </w:t>
      </w:r>
      <w:r w:rsidRPr="00910CFD">
        <w:t xml:space="preserve">about the </w:t>
      </w:r>
      <w:r w:rsidRPr="002151BC">
        <w:t xml:space="preserve">outcome of the </w:t>
      </w:r>
      <w:r>
        <w:t>i</w:t>
      </w:r>
      <w:r w:rsidRPr="002151BC">
        <w:t xml:space="preserve">nternational </w:t>
      </w:r>
      <w:r>
        <w:t>c</w:t>
      </w:r>
      <w:r w:rsidRPr="002151BC">
        <w:t xml:space="preserve">onference on </w:t>
      </w:r>
      <w:r>
        <w:t>i</w:t>
      </w:r>
      <w:r w:rsidRPr="002151BC">
        <w:t xml:space="preserve">nland </w:t>
      </w:r>
      <w:r>
        <w:t>w</w:t>
      </w:r>
      <w:r w:rsidRPr="002151BC">
        <w:t xml:space="preserve">ater </w:t>
      </w:r>
      <w:r>
        <w:t>t</w:t>
      </w:r>
      <w:r w:rsidRPr="002151BC">
        <w:t xml:space="preserve">ransport “Connecting by Inland Navigation” </w:t>
      </w:r>
      <w:r>
        <w:t xml:space="preserve">that was </w:t>
      </w:r>
      <w:r w:rsidRPr="002151BC">
        <w:t xml:space="preserve">held </w:t>
      </w:r>
      <w:r w:rsidRPr="0033075D">
        <w:t>on 18</w:t>
      </w:r>
      <w:r>
        <w:t xml:space="preserve"> and </w:t>
      </w:r>
      <w:r w:rsidRPr="0033075D">
        <w:t xml:space="preserve">19 April 2018 in Wrocław (Poland), organized jointly by ECE and the Ministry of Maritime Economy and Inland Navigation of Poland, and the adoption of the </w:t>
      </w:r>
      <w:r>
        <w:t>m</w:t>
      </w:r>
      <w:r w:rsidRPr="0033075D">
        <w:t xml:space="preserve">inisterial </w:t>
      </w:r>
      <w:r>
        <w:t>d</w:t>
      </w:r>
      <w:r w:rsidRPr="0033075D">
        <w:t>eclaration “Inland Navigation in a Global Setting”.</w:t>
      </w:r>
      <w:r w:rsidRPr="002151BC">
        <w:rPr>
          <w:vertAlign w:val="superscript"/>
        </w:rPr>
        <w:footnoteReference w:id="6"/>
      </w:r>
      <w:r w:rsidRPr="002151BC">
        <w:t xml:space="preserve"> </w:t>
      </w:r>
    </w:p>
    <w:p w:rsidR="006D1B78" w:rsidRPr="0033075D" w:rsidRDefault="006D1B78" w:rsidP="006D1B78">
      <w:pPr>
        <w:pStyle w:val="SingleTxtG"/>
      </w:pPr>
      <w:r w:rsidRPr="0033075D">
        <w:t>The Committee may wish to</w:t>
      </w:r>
      <w:r w:rsidRPr="0033075D">
        <w:rPr>
          <w:b/>
        </w:rPr>
        <w:t xml:space="preserve"> adopt</w:t>
      </w:r>
      <w:r w:rsidRPr="0033075D">
        <w:t xml:space="preserve"> a resolution “Facilitating the Development of Inland Water Transport” (ECE/TRANS/2019/15) prepared by the Working Party on Inland Water Transport (SC.3) </w:t>
      </w:r>
      <w:r w:rsidRPr="002151BC">
        <w:t>at its sixty-second sess</w:t>
      </w:r>
      <w:r w:rsidRPr="0033075D">
        <w:t xml:space="preserve">ion </w:t>
      </w:r>
      <w:r w:rsidRPr="002151BC">
        <w:t xml:space="preserve">in support of the declaration. The Committee </w:t>
      </w:r>
      <w:r w:rsidRPr="002151BC">
        <w:lastRenderedPageBreak/>
        <w:t>may also</w:t>
      </w:r>
      <w:r w:rsidRPr="0033075D">
        <w:rPr>
          <w:b/>
        </w:rPr>
        <w:t xml:space="preserve"> </w:t>
      </w:r>
      <w:r w:rsidRPr="0033075D">
        <w:t xml:space="preserve">wish </w:t>
      </w:r>
      <w:r w:rsidRPr="0033075D">
        <w:rPr>
          <w:b/>
        </w:rPr>
        <w:t>to encourage</w:t>
      </w:r>
      <w:r w:rsidRPr="0033075D">
        <w:t xml:space="preserve"> member States with a vested interest </w:t>
      </w:r>
      <w:r>
        <w:t>in</w:t>
      </w:r>
      <w:r w:rsidRPr="0033075D">
        <w:t xml:space="preserve"> inland water transport to become signatories of the </w:t>
      </w:r>
      <w:r>
        <w:t>m</w:t>
      </w:r>
      <w:r w:rsidRPr="0033075D">
        <w:t xml:space="preserve">inisterial </w:t>
      </w:r>
      <w:r>
        <w:t>d</w:t>
      </w:r>
      <w:r w:rsidRPr="0033075D">
        <w:t>eclaration, if they have not yet done so.</w:t>
      </w:r>
    </w:p>
    <w:p w:rsidR="006D1B78" w:rsidRPr="002151BC" w:rsidRDefault="006D1B78" w:rsidP="006D1B78">
      <w:pPr>
        <w:pStyle w:val="SingleTxtG"/>
      </w:pPr>
      <w:r w:rsidRPr="00910CFD">
        <w:t xml:space="preserve">The Committee will be </w:t>
      </w:r>
      <w:r w:rsidRPr="00910CFD">
        <w:rPr>
          <w:b/>
          <w:bCs/>
        </w:rPr>
        <w:t xml:space="preserve">informed </w:t>
      </w:r>
      <w:r w:rsidRPr="00910CFD">
        <w:t>about</w:t>
      </w:r>
      <w:r w:rsidRPr="00910CFD" w:rsidDel="00F947EF">
        <w:t xml:space="preserve"> </w:t>
      </w:r>
      <w:r w:rsidRPr="002151BC">
        <w:t>the progress reached by SC.3 and its subsidiary bodies in 2018:</w:t>
      </w:r>
    </w:p>
    <w:p w:rsidR="006D1B78" w:rsidRPr="002151BC" w:rsidRDefault="006D1B78" w:rsidP="006D1B78">
      <w:pPr>
        <w:pStyle w:val="SingleTxtG"/>
        <w:ind w:firstLine="567"/>
      </w:pPr>
      <w:r w:rsidRPr="002151BC">
        <w:t>(a)</w:t>
      </w:r>
      <w:r w:rsidRPr="002151BC">
        <w:tab/>
        <w:t xml:space="preserve">the adoption of </w:t>
      </w:r>
      <w:r>
        <w:t>a</w:t>
      </w:r>
      <w:r w:rsidRPr="002151BC">
        <w:t xml:space="preserve">ddendum No. 1 to </w:t>
      </w:r>
      <w:r w:rsidRPr="0033075D">
        <w:t xml:space="preserve">the third </w:t>
      </w:r>
      <w:r w:rsidRPr="002151BC">
        <w:t>revision</w:t>
      </w:r>
      <w:r w:rsidRPr="0033075D">
        <w:t xml:space="preserve"> of the Inventory of Main Standards and Parameters of the E Waterway Network (“Blue Book”) </w:t>
      </w:r>
      <w:r w:rsidRPr="002151BC">
        <w:t>by the sixty-second session of SC.3 (ECE/TRANS/SC.3/144/Rev.3/Amend.1);</w:t>
      </w:r>
    </w:p>
    <w:p w:rsidR="006D1B78" w:rsidRPr="0033075D" w:rsidRDefault="006D1B78" w:rsidP="006D1B78">
      <w:pPr>
        <w:pStyle w:val="SingleTxtG"/>
        <w:ind w:firstLine="567"/>
      </w:pPr>
      <w:r w:rsidRPr="0033075D">
        <w:t>(b)</w:t>
      </w:r>
      <w:r w:rsidRPr="0033075D">
        <w:tab/>
        <w:t>the updated version of the map of the European Inland Waterway Network;</w:t>
      </w:r>
    </w:p>
    <w:p w:rsidR="006D1B78" w:rsidRPr="0033075D" w:rsidRDefault="006D1B78" w:rsidP="006D1B78">
      <w:pPr>
        <w:pStyle w:val="SingleTxtG"/>
        <w:ind w:firstLine="567"/>
      </w:pPr>
      <w:r w:rsidRPr="0033075D">
        <w:t>(c)</w:t>
      </w:r>
      <w:r w:rsidRPr="0033075D">
        <w:tab/>
        <w:t>ongoing work on the European Code for Inland Waterways (CEVNI) and the publication “Implementation of CEVNI Revision 5” (ECE/TRANS/266);</w:t>
      </w:r>
    </w:p>
    <w:p w:rsidR="006D1B78" w:rsidRPr="00910CFD" w:rsidRDefault="006D1B78" w:rsidP="006D1B78">
      <w:pPr>
        <w:pStyle w:val="SingleTxtG"/>
        <w:ind w:firstLine="567"/>
      </w:pPr>
      <w:r w:rsidRPr="00910CFD">
        <w:t>(d)</w:t>
      </w:r>
      <w:r w:rsidRPr="00910CFD">
        <w:tab/>
        <w:t>the adoption of the European Code for Signs and Signals on Inland Waterways by SC.3 as resolution No. 90;</w:t>
      </w:r>
    </w:p>
    <w:p w:rsidR="006D1B78" w:rsidRPr="00910CFD" w:rsidRDefault="006D1B78" w:rsidP="006D1B78">
      <w:pPr>
        <w:pStyle w:val="SingleTxtG"/>
        <w:ind w:firstLine="567"/>
      </w:pPr>
      <w:r w:rsidRPr="00910CFD">
        <w:t>(e)</w:t>
      </w:r>
      <w:r w:rsidRPr="00910CFD">
        <w:tab/>
        <w:t>the adoption of the second revision of resolution No. 61 as resolution No. 91;</w:t>
      </w:r>
    </w:p>
    <w:p w:rsidR="006D1B78" w:rsidRPr="00910CFD" w:rsidRDefault="006D1B78" w:rsidP="006D1B78">
      <w:pPr>
        <w:pStyle w:val="SingleTxtG"/>
        <w:ind w:firstLine="567"/>
      </w:pPr>
      <w:r w:rsidRPr="00910CFD">
        <w:t>(f)</w:t>
      </w:r>
      <w:r w:rsidRPr="00910CFD">
        <w:tab/>
        <w:t>the promotion of recreational navigation, including the activities of the Informal Working Group on Recreational Navigation, the adoption of the second revision of the European Recreational Inland Navigation Network (resolution N</w:t>
      </w:r>
      <w:r>
        <w:t>o. 52) as resolution No. 92 and</w:t>
      </w:r>
      <w:r w:rsidRPr="00910CFD">
        <w:t xml:space="preserve"> the publication “Guidelines to resolution No. 40, International Certificate for Operators of Pleasure Craft” (ECE/TRANS/NONE/2018/5). </w:t>
      </w:r>
    </w:p>
    <w:p w:rsidR="006D1B78" w:rsidRPr="002151BC" w:rsidRDefault="006D1B78" w:rsidP="006D1B78">
      <w:pPr>
        <w:pStyle w:val="SingleTxtG"/>
      </w:pPr>
      <w:r w:rsidRPr="00910CFD">
        <w:t>The Committee will be further</w:t>
      </w:r>
      <w:r w:rsidRPr="00910CFD">
        <w:rPr>
          <w:b/>
        </w:rPr>
        <w:t xml:space="preserve"> informed </w:t>
      </w:r>
      <w:r w:rsidRPr="00910CFD">
        <w:t xml:space="preserve">about the </w:t>
      </w:r>
      <w:r w:rsidRPr="002151BC">
        <w:t>current work on automation, smart shipping and digitalization on inland waterways in Europe:</w:t>
      </w:r>
    </w:p>
    <w:p w:rsidR="006D1B78" w:rsidRPr="0033075D" w:rsidRDefault="006D1B78" w:rsidP="006D1B78">
      <w:pPr>
        <w:pStyle w:val="Bullet1G"/>
        <w:numPr>
          <w:ilvl w:val="0"/>
          <w:numId w:val="24"/>
        </w:numPr>
      </w:pPr>
      <w:r w:rsidRPr="002151BC">
        <w:t>The workshop “Autonomous shipping</w:t>
      </w:r>
      <w:r w:rsidRPr="0033075D">
        <w:t xml:space="preserve"> and </w:t>
      </w:r>
      <w:r w:rsidRPr="002151BC">
        <w:t>Inland Navigation” held on 14 February</w:t>
      </w:r>
      <w:r w:rsidR="00436F23">
        <w:t xml:space="preserve"> </w:t>
      </w:r>
      <w:r w:rsidRPr="002151BC">
        <w:t>at the fifty-second</w:t>
      </w:r>
      <w:r w:rsidRPr="0033075D">
        <w:t xml:space="preserve"> session of the Working Party on the Standardization of Technical and Safety Requirements in Inland Navigation (SC.3/WP.3), </w:t>
      </w:r>
      <w:r w:rsidRPr="002151BC">
        <w:t>organized jointly by ECE and De Vlaamse Waterweg nv (ECE/TRANS/2019/16)</w:t>
      </w:r>
      <w:r>
        <w:t>.</w:t>
      </w:r>
    </w:p>
    <w:p w:rsidR="006D1B78" w:rsidRPr="0033075D" w:rsidRDefault="006D1B78" w:rsidP="006D1B78">
      <w:pPr>
        <w:pStyle w:val="Bullet1G"/>
        <w:numPr>
          <w:ilvl w:val="0"/>
          <w:numId w:val="24"/>
        </w:numPr>
      </w:pPr>
      <w:r w:rsidRPr="00910CFD">
        <w:t>The workshop “Digitalization in inland water transport” held on 4 October 2018 at the sixty-second session of SC.3</w:t>
      </w:r>
      <w:r>
        <w:t>.</w:t>
      </w:r>
    </w:p>
    <w:p w:rsidR="006D1B78" w:rsidRPr="00910CFD" w:rsidRDefault="006D1B78" w:rsidP="006D1B78">
      <w:pPr>
        <w:pStyle w:val="SingleTxtG"/>
      </w:pPr>
      <w:r w:rsidRPr="00910CFD">
        <w:t xml:space="preserve">The Committee may </w:t>
      </w:r>
      <w:r w:rsidRPr="00910CFD">
        <w:rPr>
          <w:b/>
        </w:rPr>
        <w:t>wish to encourage</w:t>
      </w:r>
      <w:r w:rsidRPr="00910CFD">
        <w:t xml:space="preserve"> member States to actively participate in this work.</w:t>
      </w:r>
    </w:p>
    <w:p w:rsidR="006D1B78" w:rsidRPr="00910CFD" w:rsidRDefault="006D1B78" w:rsidP="006D1B78">
      <w:pPr>
        <w:pStyle w:val="SingleTxtG"/>
        <w:rPr>
          <w:b/>
        </w:rPr>
      </w:pPr>
      <w:r w:rsidRPr="00910CFD">
        <w:rPr>
          <w:b/>
        </w:rPr>
        <w:t>Documentation</w:t>
      </w:r>
    </w:p>
    <w:p w:rsidR="006D1B78" w:rsidRPr="00910CFD" w:rsidRDefault="006D1B78" w:rsidP="006D1B78">
      <w:pPr>
        <w:pStyle w:val="SingleTxtG"/>
      </w:pPr>
      <w:r w:rsidRPr="00910CFD">
        <w:t>ECE/TRANS/2019/15, ECE/TRANS/2019/16, ECE/TRANS/266, ECE/TRANS/SC.3/144/Rev.3/Amend.1, ECE/TRANS/SC.3/115/Rev.5/Amend.2, ECE/TRANS/SC.3/208, ECE/TRANS/NONE/2018/5</w:t>
      </w:r>
    </w:p>
    <w:p w:rsidR="006D1B78" w:rsidRPr="00910CFD" w:rsidRDefault="006D1B78" w:rsidP="006D1B78">
      <w:pPr>
        <w:pStyle w:val="H23G"/>
      </w:pPr>
      <w:r w:rsidRPr="00910CFD">
        <w:tab/>
        <w:t>(h)</w:t>
      </w:r>
      <w:r w:rsidRPr="00910CFD">
        <w:tab/>
        <w:t>Strengthening border crossing facilitation (Harmonization Convention, TIR Convention, eTIR Project and other Customs transit facilitation measures)</w:t>
      </w:r>
    </w:p>
    <w:p w:rsidR="006D1B78" w:rsidRPr="00910CFD" w:rsidRDefault="006D1B78" w:rsidP="006D1B78">
      <w:pPr>
        <w:pStyle w:val="SingleTxtG"/>
      </w:pPr>
      <w:r w:rsidRPr="00910CFD">
        <w:t xml:space="preserve">The Committee will be </w:t>
      </w:r>
      <w:r w:rsidRPr="00910CFD">
        <w:rPr>
          <w:b/>
          <w:bCs/>
        </w:rPr>
        <w:t xml:space="preserve">informed </w:t>
      </w:r>
      <w:r w:rsidRPr="00910CFD">
        <w:t xml:space="preserve">about the main outcome of the 148th, 149th and 150th sessions of the Working Party on Customs Questions affecting Transport (WP.30) (ECE/TRANS/WP.30/296, ECE/TRANS/WP.30/298 and ECE/TRANS/WP.30/300) and will be invited to </w:t>
      </w:r>
      <w:r w:rsidRPr="00910CFD">
        <w:rPr>
          <w:b/>
          <w:bCs/>
        </w:rPr>
        <w:t xml:space="preserve">take note </w:t>
      </w:r>
      <w:r w:rsidRPr="00910CFD">
        <w:t>of the activities of the TIR Administrative Committee (AC.2) in the year 2018, including, but not limited to, amendments adopted (ECE/TRANS/WP.30/AC.2/137 and ECE/TRANS/WP.30/AC.2/139), as contained in document ECE/TRANS/2019/17. The secretariat will further inform the Committee about the most recent accessions to the TIR Convention.</w:t>
      </w:r>
    </w:p>
    <w:p w:rsidR="006D1B78" w:rsidRPr="00910CFD" w:rsidRDefault="006D1B78" w:rsidP="006D1B78">
      <w:pPr>
        <w:pStyle w:val="SingleTxtG"/>
      </w:pPr>
      <w:r w:rsidRPr="00910CFD">
        <w:t xml:space="preserve">In particular, the Committee will be </w:t>
      </w:r>
      <w:r w:rsidRPr="00910CFD">
        <w:rPr>
          <w:b/>
          <w:bCs/>
        </w:rPr>
        <w:t xml:space="preserve">informed </w:t>
      </w:r>
      <w:r w:rsidRPr="00910CFD">
        <w:t xml:space="preserve">about progress in the discussions at WP.30 on the eTIR legal framework and will be asked to </w:t>
      </w:r>
      <w:r w:rsidRPr="008B58AD">
        <w:rPr>
          <w:b/>
        </w:rPr>
        <w:t>e</w:t>
      </w:r>
      <w:r w:rsidRPr="0033075D">
        <w:rPr>
          <w:b/>
          <w:bCs/>
        </w:rPr>
        <w:t xml:space="preserve">xpress its </w:t>
      </w:r>
      <w:r w:rsidRPr="00910CFD">
        <w:rPr>
          <w:b/>
          <w:bCs/>
        </w:rPr>
        <w:t xml:space="preserve">support </w:t>
      </w:r>
      <w:r w:rsidRPr="00910CFD">
        <w:t xml:space="preserve">for continuing the eTIR project, and to this end: (a) </w:t>
      </w:r>
      <w:r w:rsidRPr="00910CFD">
        <w:rPr>
          <w:b/>
          <w:bCs/>
        </w:rPr>
        <w:t xml:space="preserve">decide to prolong </w:t>
      </w:r>
      <w:r w:rsidRPr="00910CFD">
        <w:t xml:space="preserve">the mandate of the Ad hoc Expert Group on Conceptual and Technical Aspects of Computerization of the TIR Procedure </w:t>
      </w:r>
      <w:r w:rsidRPr="00910CFD">
        <w:lastRenderedPageBreak/>
        <w:t xml:space="preserve">(WP.30/GE.1) to the year 2019, (b) </w:t>
      </w:r>
      <w:r w:rsidRPr="00910CFD">
        <w:rPr>
          <w:b/>
          <w:bCs/>
        </w:rPr>
        <w:t xml:space="preserve">urge </w:t>
      </w:r>
      <w:r w:rsidRPr="00910CFD">
        <w:t xml:space="preserve">contracting parties and relevant stakeholders to secure the funds required to operationalize the eTIR project and (c) </w:t>
      </w:r>
      <w:r w:rsidRPr="00910CFD">
        <w:rPr>
          <w:b/>
          <w:bCs/>
        </w:rPr>
        <w:t xml:space="preserve">urge </w:t>
      </w:r>
      <w:r w:rsidRPr="00910CFD">
        <w:t xml:space="preserve">contracting parties to expediently finalize considerations on a new </w:t>
      </w:r>
      <w:r w:rsidRPr="0033075D">
        <w:t xml:space="preserve">Annex 11 to the TIR Convention, introducing the computerization of the TIR procedure </w:t>
      </w:r>
      <w:r w:rsidRPr="00910CFD">
        <w:t>into the legal text of the Convention;</w:t>
      </w:r>
    </w:p>
    <w:p w:rsidR="006D1B78" w:rsidRPr="00910CFD" w:rsidRDefault="006D1B78" w:rsidP="006D1B78">
      <w:pPr>
        <w:pStyle w:val="SingleTxtG"/>
      </w:pPr>
      <w:r w:rsidRPr="00910CFD">
        <w:t xml:space="preserve">The Committee will be </w:t>
      </w:r>
      <w:r w:rsidRPr="00910CFD">
        <w:rPr>
          <w:b/>
          <w:bCs/>
        </w:rPr>
        <w:t xml:space="preserve">informed </w:t>
      </w:r>
      <w:r w:rsidRPr="00910CFD">
        <w:t xml:space="preserve">about the latest developments in the application of the International Convention on the Harmonization of Frontier Controls of Goods (Harmonization Convention, 1982), and about issues in the application of the Customs Convention on the Temporary Importation of Private Road Vehicles (1954). Finally, the Committee will be </w:t>
      </w:r>
      <w:r w:rsidRPr="00910CFD">
        <w:rPr>
          <w:b/>
          <w:bCs/>
        </w:rPr>
        <w:t xml:space="preserve">informed </w:t>
      </w:r>
      <w:r w:rsidRPr="00910CFD">
        <w:t xml:space="preserve">about the drafting of a new convention on the facilitation of border crossing procedures for passengers, luggage and load-luggage carried in international traffic by rail. In this context, the Committee may wish </w:t>
      </w:r>
      <w:r w:rsidRPr="00910CFD">
        <w:rPr>
          <w:b/>
          <w:bCs/>
        </w:rPr>
        <w:t>to take note</w:t>
      </w:r>
      <w:r w:rsidRPr="00910CFD">
        <w:t xml:space="preserve"> or, possibly, </w:t>
      </w:r>
      <w:r w:rsidRPr="00910CFD">
        <w:rPr>
          <w:b/>
          <w:bCs/>
        </w:rPr>
        <w:t>endorse</w:t>
      </w:r>
      <w:r w:rsidRPr="00910CFD">
        <w:t xml:space="preserve"> document ECE/TRANS/2019/18 containing the latest agreed text of the new </w:t>
      </w:r>
      <w:r>
        <w:t>c</w:t>
      </w:r>
      <w:r w:rsidRPr="0033075D">
        <w:t>onvention</w:t>
      </w:r>
      <w:r w:rsidRPr="00910CFD">
        <w:t xml:space="preserve">. </w:t>
      </w:r>
    </w:p>
    <w:p w:rsidR="006D1B78" w:rsidRPr="00D13786" w:rsidRDefault="006D1B78" w:rsidP="006D1B78">
      <w:pPr>
        <w:pStyle w:val="SingleTxtG"/>
        <w:rPr>
          <w:lang w:val="fr-FR"/>
        </w:rPr>
      </w:pPr>
      <w:r w:rsidRPr="00D13786">
        <w:rPr>
          <w:b/>
          <w:bCs/>
          <w:lang w:val="fr-FR"/>
        </w:rPr>
        <w:t>Documentation</w:t>
      </w:r>
    </w:p>
    <w:p w:rsidR="006D1B78" w:rsidRPr="00D13786" w:rsidRDefault="006D1B78" w:rsidP="006D1B78">
      <w:pPr>
        <w:pStyle w:val="SingleTxtG"/>
        <w:rPr>
          <w:lang w:val="fr-FR"/>
        </w:rPr>
      </w:pPr>
      <w:r w:rsidRPr="00D13786">
        <w:rPr>
          <w:lang w:val="fr-FR"/>
        </w:rPr>
        <w:t>ECE/TRANS/2019/17, ECE/TRANS/2019/18</w:t>
      </w:r>
    </w:p>
    <w:p w:rsidR="006D1B78" w:rsidRPr="0033075D" w:rsidRDefault="006D1B78" w:rsidP="006D1B78">
      <w:pPr>
        <w:pStyle w:val="H23G"/>
      </w:pPr>
      <w:r w:rsidRPr="00513698">
        <w:rPr>
          <w:lang w:val="fr-FR"/>
        </w:rPr>
        <w:tab/>
      </w:r>
      <w:r w:rsidRPr="002151BC">
        <w:t>(i)</w:t>
      </w:r>
      <w:r w:rsidRPr="002151BC">
        <w:tab/>
        <w:t>Transport of dangerous goods</w:t>
      </w:r>
    </w:p>
    <w:p w:rsidR="006D1B78" w:rsidRPr="00910CFD" w:rsidRDefault="006D1B78" w:rsidP="006D1B78">
      <w:pPr>
        <w:pStyle w:val="SingleTxtG"/>
      </w:pPr>
      <w:r w:rsidRPr="00910CFD">
        <w:t xml:space="preserve">The Committee may wish to </w:t>
      </w:r>
      <w:r w:rsidRPr="00910CFD">
        <w:rPr>
          <w:b/>
          <w:bCs/>
        </w:rPr>
        <w:t xml:space="preserve">note </w:t>
      </w:r>
      <w:r w:rsidRPr="00910CFD">
        <w:t xml:space="preserve">that the Sub-Committee of Experts on the Transport of Dangerous Goods of the Economic and Social Council met from 25 June to 4 July 2018 (see report </w:t>
      </w:r>
      <w:r w:rsidRPr="002151BC">
        <w:t>ST/SG/AC.10/C.3/106</w:t>
      </w:r>
      <w:r w:rsidRPr="0033075D">
        <w:t xml:space="preserve"> and Add.1) and from 26 November to </w:t>
      </w:r>
      <w:r w:rsidRPr="00910CFD">
        <w:t xml:space="preserve">4 December 2018 (see report ST/SG/AC.10/C.3/108). The Sub-Committee of Experts on the Globally Harmonized System of Classification and Labelling of Chemicals met from 4 to 6 July 2018 (see report ST/SG/AC.10/C.4/70) and from 5 to 7 December 2018 (see report ST/SG/AC.10/C.4/72). </w:t>
      </w:r>
    </w:p>
    <w:p w:rsidR="006D1B78" w:rsidRPr="0033075D" w:rsidRDefault="006D1B78" w:rsidP="006D1B78">
      <w:pPr>
        <w:pStyle w:val="SingleTxtG"/>
      </w:pPr>
      <w:r w:rsidRPr="00910CFD">
        <w:t>The Committee of Experts on the Transport of Dangerous Goods and on the Globally Harmonized System of Classification and Labelling of Chemicals held its ninth session on 7 December 2018, to consider the work of both Sub-Committees over the 2017</w:t>
      </w:r>
      <w:r>
        <w:t>-</w:t>
      </w:r>
      <w:r w:rsidRPr="0033075D">
        <w:t>2018 biennium (see report ST/SG/AC.10/46). It adopted recommendations (ST/SG/AC.10/46/Adds.1-3) that will be reflected in publications to be prepared by the secretariat in 2019 (twenty-first revised edition of the Recommendations on the Transport of Dangerous Goods, Model Regulations; seventh revised edition of the Recommendations on the Transport of Dangerous Goods, Manual of Tests and Criteria; and eighth revised edition of the Globally Harmonized System of Classification and Labelling of Chemicals).</w:t>
      </w:r>
    </w:p>
    <w:p w:rsidR="006D1B78" w:rsidRPr="0033075D" w:rsidRDefault="006D1B78" w:rsidP="006D1B78">
      <w:pPr>
        <w:pStyle w:val="SingleTxtG"/>
      </w:pPr>
      <w:r w:rsidRPr="0033075D">
        <w:t xml:space="preserve">The Committee </w:t>
      </w:r>
      <w:r w:rsidRPr="0033075D">
        <w:rPr>
          <w:b/>
          <w:bCs/>
        </w:rPr>
        <w:t>will be informed</w:t>
      </w:r>
      <w:r w:rsidRPr="00910CFD">
        <w:t xml:space="preserve"> that IMO, ICAO as well as the ECE bodies dealing with land transport of dangerous goods, will </w:t>
      </w:r>
      <w:r>
        <w:t xml:space="preserve">begin </w:t>
      </w:r>
      <w:r w:rsidRPr="008D2461">
        <w:t xml:space="preserve">work </w:t>
      </w:r>
      <w:r w:rsidRPr="0033075D">
        <w:t xml:space="preserve">in 2019 </w:t>
      </w:r>
      <w:r>
        <w:t xml:space="preserve">on </w:t>
      </w:r>
      <w:r w:rsidRPr="0033075D">
        <w:t>transpos</w:t>
      </w:r>
      <w:r>
        <w:t>ing</w:t>
      </w:r>
      <w:r w:rsidRPr="0033075D">
        <w:t xml:space="preserve"> the recommendations made by the ECOSOC Committee into their respective legal instruments, to ensure their simultaneous application for all modes of transport as of 1 January 2021. </w:t>
      </w:r>
    </w:p>
    <w:p w:rsidR="006D1B78" w:rsidRPr="00910CFD" w:rsidRDefault="006D1B78" w:rsidP="006D1B78">
      <w:pPr>
        <w:pStyle w:val="SingleTxtG"/>
      </w:pPr>
      <w:r w:rsidRPr="0033075D">
        <w:t xml:space="preserve">The Committee may wish to </w:t>
      </w:r>
      <w:r w:rsidRPr="0033075D">
        <w:rPr>
          <w:b/>
        </w:rPr>
        <w:t>note</w:t>
      </w:r>
      <w:r w:rsidRPr="0033075D">
        <w:t xml:space="preserve"> that Nigeria acceded to the European Agreement concerning the International Carriage of Dangerous Goods by Road (ADR) in October 2018 bringing </w:t>
      </w:r>
      <w:r w:rsidRPr="00910CFD">
        <w:t xml:space="preserve">the number of </w:t>
      </w:r>
      <w:r>
        <w:t>c</w:t>
      </w:r>
      <w:r w:rsidRPr="0033075D">
        <w:t xml:space="preserve">ontracting </w:t>
      </w:r>
      <w:r>
        <w:t>p</w:t>
      </w:r>
      <w:r w:rsidRPr="0033075D">
        <w:t xml:space="preserve">arties to 51. The Protocol amending articles 1 (a), 14 (1) and 14 (3) (b) of the ADR, adopted by the </w:t>
      </w:r>
      <w:r w:rsidRPr="00910CFD">
        <w:t xml:space="preserve">Conference of the Contracting Parties on 28 October 1993, has not yet entered into force as not all </w:t>
      </w:r>
      <w:r>
        <w:t>c</w:t>
      </w:r>
      <w:r w:rsidRPr="0033075D">
        <w:t xml:space="preserve">ontracting </w:t>
      </w:r>
      <w:r>
        <w:t>p</w:t>
      </w:r>
      <w:r w:rsidRPr="0033075D">
        <w:t xml:space="preserve">arties to ADR have become </w:t>
      </w:r>
      <w:r>
        <w:t>p</w:t>
      </w:r>
      <w:r w:rsidRPr="0033075D">
        <w:t>arties to it (</w:t>
      </w:r>
      <w:r>
        <w:t>36</w:t>
      </w:r>
      <w:r w:rsidRPr="0033075D">
        <w:t xml:space="preserve"> </w:t>
      </w:r>
      <w:r>
        <w:t>c</w:t>
      </w:r>
      <w:r w:rsidRPr="0033075D">
        <w:t xml:space="preserve">ontracting </w:t>
      </w:r>
      <w:r>
        <w:t>p</w:t>
      </w:r>
      <w:r w:rsidRPr="0033075D">
        <w:t xml:space="preserve">arties have done so to date). The Committee </w:t>
      </w:r>
      <w:r w:rsidRPr="0033075D">
        <w:rPr>
          <w:b/>
          <w:bCs/>
        </w:rPr>
        <w:t>may wish to urge</w:t>
      </w:r>
      <w:r w:rsidRPr="00910CFD">
        <w:t xml:space="preserve"> the remaining </w:t>
      </w:r>
      <w:r>
        <w:t>c</w:t>
      </w:r>
      <w:r w:rsidRPr="0033075D">
        <w:t xml:space="preserve">ontracting </w:t>
      </w:r>
      <w:r>
        <w:t>p</w:t>
      </w:r>
      <w:r w:rsidRPr="0033075D">
        <w:t>arties (Azerbaijan, Belarus, Bosnia and Herzegovina, Croatia, Georgia, Iceland, Kazakhstan, Malta, Montenegro, Morocco, Nigeria, Tajikistan, the former Yugoslav Republic of Macedonia, San Marino and Tunisia) to take the necessary steps to allow the Protocol t</w:t>
      </w:r>
      <w:r w:rsidRPr="00910CFD">
        <w:t>o come into force.</w:t>
      </w:r>
    </w:p>
    <w:p w:rsidR="006D1B78" w:rsidRPr="0033075D" w:rsidRDefault="006D1B78" w:rsidP="006D1B78">
      <w:pPr>
        <w:pStyle w:val="SingleTxtG"/>
      </w:pPr>
      <w:r w:rsidRPr="00910CFD">
        <w:t xml:space="preserve">The Committee may also </w:t>
      </w:r>
      <w:r w:rsidRPr="00910CFD">
        <w:rPr>
          <w:b/>
          <w:bCs/>
        </w:rPr>
        <w:t>wish to note</w:t>
      </w:r>
      <w:r w:rsidRPr="00910CFD">
        <w:t xml:space="preserve"> that the Working Party on the Transport of Dangerous Goods (WP.15) examined at its 104</w:t>
      </w:r>
      <w:r w:rsidRPr="00910CFD">
        <w:rPr>
          <w:vertAlign w:val="superscript"/>
        </w:rPr>
        <w:t>th</w:t>
      </w:r>
      <w:r w:rsidRPr="00910CFD">
        <w:t xml:space="preserve"> session, a proposal to delete the word </w:t>
      </w:r>
      <w:r w:rsidRPr="00910CFD">
        <w:lastRenderedPageBreak/>
        <w:t>“European” from the current title of the ADR (see ECE/TRANS/WP.15/242, para</w:t>
      </w:r>
      <w:r>
        <w:t>s.</w:t>
      </w:r>
      <w:r w:rsidRPr="00910CFD">
        <w:t xml:space="preserve"> 45</w:t>
      </w:r>
      <w:r>
        <w:t>-</w:t>
      </w:r>
      <w:r w:rsidRPr="0033075D">
        <w:t xml:space="preserve">49), to encourage accession from additional non-European countries. The Working Party did not raise any objection. Consequently, the Government of Portugal has submitted, in accordance with paragraph 1 of </w:t>
      </w:r>
      <w:r>
        <w:t>a</w:t>
      </w:r>
      <w:r w:rsidRPr="0033075D">
        <w:t xml:space="preserve">rticle 13 of the </w:t>
      </w:r>
      <w:r>
        <w:t>a</w:t>
      </w:r>
      <w:r w:rsidRPr="0033075D">
        <w:t xml:space="preserve">greement, a request to convene a </w:t>
      </w:r>
      <w:r>
        <w:t>c</w:t>
      </w:r>
      <w:r w:rsidRPr="0033075D">
        <w:t xml:space="preserve">onference of the </w:t>
      </w:r>
      <w:r>
        <w:t>p</w:t>
      </w:r>
      <w:r w:rsidRPr="0033075D">
        <w:t xml:space="preserve">arties to amend the title of the </w:t>
      </w:r>
      <w:r>
        <w:t>a</w:t>
      </w:r>
      <w:r w:rsidRPr="0033075D">
        <w:t xml:space="preserve">greement. The notification of such request has been circulated by the secretariat on 12 October to all </w:t>
      </w:r>
      <w:r>
        <w:t>c</w:t>
      </w:r>
      <w:r w:rsidRPr="0033075D">
        <w:t xml:space="preserve">ontracting </w:t>
      </w:r>
      <w:r>
        <w:t>p</w:t>
      </w:r>
      <w:r w:rsidRPr="0033075D">
        <w:t xml:space="preserve">arties. Since the convening of a conference of the </w:t>
      </w:r>
      <w:r>
        <w:t>c</w:t>
      </w:r>
      <w:r w:rsidRPr="0033075D">
        <w:t xml:space="preserve">ontracting </w:t>
      </w:r>
      <w:r>
        <w:t>p</w:t>
      </w:r>
      <w:r w:rsidRPr="0033075D">
        <w:t xml:space="preserve">arties is subject to the expression of concurrence of at least one-fourth of the </w:t>
      </w:r>
      <w:r>
        <w:t>c</w:t>
      </w:r>
      <w:r w:rsidRPr="0033075D">
        <w:t xml:space="preserve">ontracting </w:t>
      </w:r>
      <w:r>
        <w:t>p</w:t>
      </w:r>
      <w:r w:rsidRPr="0033075D">
        <w:t xml:space="preserve">arties (in this case thirteen), the Committee </w:t>
      </w:r>
      <w:r w:rsidRPr="0033075D">
        <w:rPr>
          <w:b/>
          <w:bCs/>
        </w:rPr>
        <w:t xml:space="preserve">may wish to invite </w:t>
      </w:r>
      <w:r>
        <w:rPr>
          <w:b/>
          <w:bCs/>
        </w:rPr>
        <w:t>c</w:t>
      </w:r>
      <w:r w:rsidRPr="0033075D">
        <w:rPr>
          <w:b/>
          <w:bCs/>
        </w:rPr>
        <w:t xml:space="preserve">ontracting </w:t>
      </w:r>
      <w:r>
        <w:rPr>
          <w:b/>
          <w:bCs/>
        </w:rPr>
        <w:t>p</w:t>
      </w:r>
      <w:r w:rsidRPr="0033075D">
        <w:rPr>
          <w:b/>
          <w:bCs/>
        </w:rPr>
        <w:t>arties</w:t>
      </w:r>
      <w:r w:rsidRPr="0033075D">
        <w:t xml:space="preserve"> to notify concurrence with this request as soon as possible so that the conference can be held during the 106</w:t>
      </w:r>
      <w:r w:rsidRPr="0033075D">
        <w:rPr>
          <w:vertAlign w:val="superscript"/>
        </w:rPr>
        <w:t>th</w:t>
      </w:r>
      <w:r w:rsidRPr="0033075D">
        <w:t xml:space="preserve"> session of WP.15 (13</w:t>
      </w:r>
      <w:r>
        <w:t>-</w:t>
      </w:r>
      <w:r w:rsidRPr="0033075D">
        <w:t>17 May 2019), as requested by the Working Party at i</w:t>
      </w:r>
      <w:r>
        <w:t>t</w:t>
      </w:r>
      <w:r w:rsidRPr="0033075D">
        <w:t>s 104</w:t>
      </w:r>
      <w:r w:rsidRPr="0033075D">
        <w:rPr>
          <w:vertAlign w:val="superscript"/>
        </w:rPr>
        <w:t>th</w:t>
      </w:r>
      <w:r w:rsidRPr="0033075D">
        <w:t xml:space="preserve"> session.</w:t>
      </w:r>
    </w:p>
    <w:p w:rsidR="006D1B78" w:rsidRPr="0033075D" w:rsidRDefault="006D1B78" w:rsidP="006D1B78">
      <w:pPr>
        <w:pStyle w:val="SingleTxtG"/>
      </w:pPr>
      <w:r w:rsidRPr="0033075D">
        <w:t xml:space="preserve">The Committee may wish to </w:t>
      </w:r>
      <w:r w:rsidRPr="0033075D">
        <w:rPr>
          <w:b/>
        </w:rPr>
        <w:t>note</w:t>
      </w:r>
      <w:r w:rsidRPr="0033075D">
        <w:t xml:space="preserve"> that the draft amendments to </w:t>
      </w:r>
      <w:r>
        <w:t>a</w:t>
      </w:r>
      <w:r w:rsidRPr="0033075D">
        <w:t xml:space="preserve">nnexes A and B of the ADR adopted in 2016, 2017 and May 2018 for an intended entry into force on 1 January 2019, as reproduced in ECE/TRANS/WP.15/240 and Corr.1 and ECE/TRANS/WP.15/240/Add.1 have been transmitted to the Secretary-General by the Government of Portugal, and thereafter by the Secretary-General to </w:t>
      </w:r>
      <w:r>
        <w:t>the c</w:t>
      </w:r>
      <w:r w:rsidRPr="0033075D">
        <w:t xml:space="preserve">ontracting </w:t>
      </w:r>
      <w:r>
        <w:t>p</w:t>
      </w:r>
      <w:r w:rsidRPr="0033075D">
        <w:t>arties for acceptance. They were deemed accepted on 1 October 2018 and will enter into force on 1 January 2019. The secretariat has published accordingly a new “2019” consolidated edition of ADR (ECE/TRANS/275, Vols. I and II).</w:t>
      </w:r>
    </w:p>
    <w:p w:rsidR="006D1B78" w:rsidRPr="0033075D" w:rsidRDefault="006D1B78" w:rsidP="006D1B78">
      <w:pPr>
        <w:pStyle w:val="SingleTxtG"/>
      </w:pPr>
      <w:r w:rsidRPr="0033075D">
        <w:t xml:space="preserve">The Committee may wish to </w:t>
      </w:r>
      <w:r w:rsidRPr="0033075D">
        <w:rPr>
          <w:b/>
        </w:rPr>
        <w:t>note</w:t>
      </w:r>
      <w:r w:rsidRPr="0033075D">
        <w:t xml:space="preserve"> that draft amendments to the Regulations annexed to ADN adopted in 2016, 2017 and 2018, as reproduced in ECE/ADN/45, were deemed accepted on 1 October 2018 for entry into force </w:t>
      </w:r>
      <w:r w:rsidRPr="00910CFD">
        <w:t xml:space="preserve">on 1 January 2019. Other amendments adopted in August 2018, reproduced in ECE/ADN/45/Corr.1 and ECE/ADN/45/Add.1, have also been circulated for acceptance and entry into force on 1 January 2019. The secretariat is publishing accordingly a new </w:t>
      </w:r>
      <w:r>
        <w:t>“</w:t>
      </w:r>
      <w:r w:rsidRPr="0033075D">
        <w:t>2019</w:t>
      </w:r>
      <w:r>
        <w:t>”</w:t>
      </w:r>
      <w:r w:rsidRPr="0033075D">
        <w:t xml:space="preserve"> consolidated edition of ADN (ECE/TRANS/276, Vols. I and II). The number of </w:t>
      </w:r>
      <w:r>
        <w:t>c</w:t>
      </w:r>
      <w:r w:rsidRPr="0033075D">
        <w:t xml:space="preserve">ontracting </w:t>
      </w:r>
      <w:r>
        <w:t>p</w:t>
      </w:r>
      <w:r w:rsidRPr="0033075D">
        <w:t>arties to ADN remains at 18.</w:t>
      </w:r>
    </w:p>
    <w:p w:rsidR="006D1B78" w:rsidRPr="00910CFD" w:rsidRDefault="006D1B78" w:rsidP="006D1B78">
      <w:pPr>
        <w:pStyle w:val="SingleTxtG"/>
      </w:pPr>
      <w:r w:rsidRPr="0033075D">
        <w:t xml:space="preserve">The Committee may wish to </w:t>
      </w:r>
      <w:r w:rsidRPr="0033075D">
        <w:rPr>
          <w:b/>
        </w:rPr>
        <w:t>note</w:t>
      </w:r>
      <w:r w:rsidRPr="0033075D">
        <w:t xml:space="preserve"> that other draft amendments to ADR, RID and ADN have been adopted by the Joint Meeting of the RID Committee of Exp</w:t>
      </w:r>
      <w:r w:rsidRPr="00910CFD">
        <w:t>erts and the Working Party on the Transport of Dangerous Goods, by the Working Party itself and by the Joint Meeting of Experts on the Regulations annexed to ADN, which are intended to enter into force on 1 January 2021.</w:t>
      </w:r>
    </w:p>
    <w:p w:rsidR="006D1B78" w:rsidRPr="0033075D" w:rsidRDefault="006D1B78" w:rsidP="006D1B78">
      <w:pPr>
        <w:pStyle w:val="SingleTxtG"/>
      </w:pPr>
      <w:r w:rsidRPr="00910CFD">
        <w:t xml:space="preserve">The Committee may wish to </w:t>
      </w:r>
      <w:r w:rsidRPr="00910CFD">
        <w:rPr>
          <w:b/>
        </w:rPr>
        <w:t>note</w:t>
      </w:r>
      <w:r w:rsidRPr="00910CFD">
        <w:t xml:space="preserve"> that the Joint Meeting of Experts on the Regulations annexed to ADN (ADN Safety Committee) (WP.15/AC.2) and the ADN Administrative Committee will hold their thirty-fourth</w:t>
      </w:r>
      <w:r w:rsidRPr="00910CFD" w:rsidDel="00386529">
        <w:t xml:space="preserve"> </w:t>
      </w:r>
      <w:r w:rsidRPr="00910CFD">
        <w:t xml:space="preserve">and twenty-second sessions, respectively, from 21 to 25 January 2019 and </w:t>
      </w:r>
      <w:r>
        <w:t xml:space="preserve">on </w:t>
      </w:r>
      <w:r w:rsidRPr="0033075D">
        <w:t>25 January 2019.</w:t>
      </w:r>
    </w:p>
    <w:p w:rsidR="006D1B78" w:rsidRPr="00910CFD" w:rsidRDefault="006D1B78" w:rsidP="006D1B78">
      <w:pPr>
        <w:pStyle w:val="SingleTxtG"/>
        <w:rPr>
          <w:b/>
        </w:rPr>
      </w:pPr>
      <w:r w:rsidRPr="00910CFD">
        <w:rPr>
          <w:b/>
        </w:rPr>
        <w:t xml:space="preserve">Documentation </w:t>
      </w:r>
    </w:p>
    <w:p w:rsidR="006D1B78" w:rsidRPr="00910CFD" w:rsidRDefault="006D1B78" w:rsidP="006D1B78">
      <w:pPr>
        <w:pStyle w:val="SingleTxtG"/>
      </w:pPr>
      <w:r w:rsidRPr="00910CFD">
        <w:t>Informal document No.6, ST/SG/AC.10/C.3/106 and Add.1, ST/SG/AC.10/C.3/108, ST/SG/AC.10/C.4/70, ST/SG/AC.10/C.4/72; ST/SG/AC.10/46 and Add.1-3; ECE/TRANS/WP.15/240 and Corr.1 and Add.1; ECE/TRANS/WP.15/242, ECE/TRANS/WP.15/244; ECE/TRANS/WP.15/AC.1/150 and Add.1; ECE/TRANS/WP.15/AC.1/152 and Add.1; ECE/TRANS/WP.15/AC.2/68; ECE/TRANS/WP.15/AC.2/62; ECE/ADN/45 and Corr.1 and Add.1 ECE/ADN/47, ECE/ADN/44; ECE/TRANS/275; ECE/TRANS/276</w:t>
      </w:r>
    </w:p>
    <w:p w:rsidR="006D1B78" w:rsidRPr="00910CFD" w:rsidRDefault="006D1B78" w:rsidP="006D1B78">
      <w:pPr>
        <w:pStyle w:val="H23G"/>
        <w:keepNext w:val="0"/>
        <w:keepLines w:val="0"/>
      </w:pPr>
      <w:r w:rsidRPr="00910CFD">
        <w:tab/>
        <w:t>(j)</w:t>
      </w:r>
      <w:r w:rsidRPr="00910CFD">
        <w:tab/>
        <w:t>Transport of perishable foodstuffs</w:t>
      </w:r>
    </w:p>
    <w:p w:rsidR="006D1B78" w:rsidRPr="0033075D" w:rsidRDefault="006D1B78" w:rsidP="006D1B78">
      <w:pPr>
        <w:pStyle w:val="SingleTxtG"/>
      </w:pPr>
      <w:r w:rsidRPr="00910CFD">
        <w:t xml:space="preserve">The Committee will be </w:t>
      </w:r>
      <w:r w:rsidRPr="00910CFD">
        <w:rPr>
          <w:b/>
          <w:bCs/>
        </w:rPr>
        <w:t>informed</w:t>
      </w:r>
      <w:r w:rsidRPr="00910CFD">
        <w:t xml:space="preserve"> about the status of proposed amendments to the Agreement on the International Carriage of Perishable Foodstuffs and on the Special Equipment to be Used for such Carriage (ATP) </w:t>
      </w:r>
      <w:r>
        <w:t xml:space="preserve">which were </w:t>
      </w:r>
      <w:r w:rsidRPr="0033075D">
        <w:t xml:space="preserve">adopted at the seventy-third and seventy-fourth sessions of the Working Party on the Transport of Perishable Foodstuffs </w:t>
      </w:r>
      <w:r w:rsidRPr="0033075D">
        <w:lastRenderedPageBreak/>
        <w:t xml:space="preserve">(WP.11) in 2017 and 2018 </w:t>
      </w:r>
      <w:r w:rsidRPr="00910CFD">
        <w:t xml:space="preserve">(ECE/TRANS/WP.11/237, </w:t>
      </w:r>
      <w:r w:rsidRPr="0033075D">
        <w:t xml:space="preserve">Annex I and ECE/TRANS/WP.11/239, Annex I). </w:t>
      </w:r>
    </w:p>
    <w:p w:rsidR="006D1B78" w:rsidRPr="0033075D" w:rsidRDefault="006D1B78" w:rsidP="006D1B78">
      <w:pPr>
        <w:pStyle w:val="SingleTxtG"/>
      </w:pPr>
      <w:r w:rsidRPr="0033075D">
        <w:t xml:space="preserve">The Committee may also wish to </w:t>
      </w:r>
      <w:r w:rsidRPr="0033075D">
        <w:rPr>
          <w:b/>
        </w:rPr>
        <w:t>note</w:t>
      </w:r>
      <w:r w:rsidRPr="0033075D">
        <w:t xml:space="preserve"> that the number of </w:t>
      </w:r>
      <w:r>
        <w:t>c</w:t>
      </w:r>
      <w:r w:rsidRPr="0033075D">
        <w:t xml:space="preserve">ontracting </w:t>
      </w:r>
      <w:r>
        <w:t>p</w:t>
      </w:r>
      <w:r w:rsidRPr="0033075D">
        <w:t xml:space="preserve">arties to the </w:t>
      </w:r>
      <w:r>
        <w:t>a</w:t>
      </w:r>
      <w:r w:rsidRPr="0033075D">
        <w:t xml:space="preserve">greement remains at </w:t>
      </w:r>
      <w:r>
        <w:t>50</w:t>
      </w:r>
      <w:r w:rsidRPr="0033075D">
        <w:t>.</w:t>
      </w:r>
    </w:p>
    <w:p w:rsidR="006D1B78" w:rsidRPr="00910CFD" w:rsidRDefault="006D1B78" w:rsidP="006D1B78">
      <w:pPr>
        <w:pStyle w:val="SingleTxtG"/>
      </w:pPr>
      <w:r w:rsidRPr="0033075D">
        <w:t xml:space="preserve">The Committee may wish to </w:t>
      </w:r>
      <w:r w:rsidRPr="0033075D">
        <w:rPr>
          <w:b/>
          <w:bCs/>
        </w:rPr>
        <w:t>note</w:t>
      </w:r>
      <w:r w:rsidRPr="0033075D">
        <w:t xml:space="preserve"> that WP.11 </w:t>
      </w:r>
      <w:r w:rsidRPr="00910CFD">
        <w:t xml:space="preserve">held a round table discussion on the ways </w:t>
      </w:r>
      <w:r>
        <w:t>to</w:t>
      </w:r>
      <w:r w:rsidRPr="0033075D">
        <w:t xml:space="preserve"> improv</w:t>
      </w:r>
      <w:r>
        <w:t>e</w:t>
      </w:r>
      <w:r w:rsidRPr="0033075D">
        <w:t xml:space="preserve"> the functioning of </w:t>
      </w:r>
      <w:r w:rsidRPr="00910CFD">
        <w:t>the Working Party during its seventy-fourth session and decided the following:</w:t>
      </w:r>
    </w:p>
    <w:p w:rsidR="006D1B78" w:rsidRDefault="006D1B78" w:rsidP="006D1B78">
      <w:pPr>
        <w:pStyle w:val="SingleTxtG"/>
        <w:ind w:firstLine="567"/>
      </w:pPr>
      <w:r w:rsidRPr="00910CFD">
        <w:t>(a)</w:t>
      </w:r>
      <w:r w:rsidRPr="00910CFD">
        <w:tab/>
        <w:t>To explore the possibility of including non-legally binding provisions for the transport of fresh fruits and vegetables</w:t>
      </w:r>
      <w:r>
        <w:t>;</w:t>
      </w:r>
    </w:p>
    <w:p w:rsidR="006D1B78" w:rsidRDefault="006D1B78" w:rsidP="006D1B78">
      <w:pPr>
        <w:pStyle w:val="SingleTxtG"/>
        <w:ind w:left="1701"/>
      </w:pPr>
      <w:r w:rsidRPr="0033075D">
        <w:t>(b)</w:t>
      </w:r>
      <w:r w:rsidRPr="0033075D">
        <w:tab/>
        <w:t>To increase the number of sessions from two to three per biennium, with one session on the first year and two sessions on the second year</w:t>
      </w:r>
      <w:r>
        <w:t>;</w:t>
      </w:r>
    </w:p>
    <w:p w:rsidR="006D1B78" w:rsidRDefault="006D1B78" w:rsidP="006D1B78">
      <w:pPr>
        <w:pStyle w:val="SingleTxtG"/>
        <w:ind w:firstLine="567"/>
      </w:pPr>
      <w:r w:rsidRPr="0033075D">
        <w:t>(c)</w:t>
      </w:r>
      <w:r w:rsidRPr="0033075D">
        <w:tab/>
        <w:t xml:space="preserve">To extend the cycle of amendments to two years </w:t>
      </w:r>
      <w:r w:rsidRPr="00910CFD">
        <w:t>with the possibility of notifying amendments dealing with urgent matters at any time during the cycle</w:t>
      </w:r>
      <w:r>
        <w:t>;</w:t>
      </w:r>
    </w:p>
    <w:p w:rsidR="006D1B78" w:rsidRPr="00910CFD" w:rsidRDefault="006D1B78" w:rsidP="006D1B78">
      <w:pPr>
        <w:pStyle w:val="SingleTxtG"/>
        <w:ind w:firstLine="567"/>
      </w:pPr>
      <w:r w:rsidRPr="0033075D">
        <w:t>(d)</w:t>
      </w:r>
      <w:r w:rsidRPr="0033075D">
        <w:tab/>
        <w:t xml:space="preserve">Not to change </w:t>
      </w:r>
      <w:r w:rsidRPr="00910CFD">
        <w:t>the Rules of Procedure of the Working Party or article 18 of the ATP agreement to remove the consensus requirement. The Working Party:</w:t>
      </w:r>
    </w:p>
    <w:p w:rsidR="006D1B78" w:rsidRPr="0033075D" w:rsidRDefault="006D1B78" w:rsidP="006D1B78">
      <w:pPr>
        <w:pStyle w:val="SingleTxtG"/>
        <w:ind w:left="1701"/>
      </w:pPr>
      <w:r>
        <w:t>(i)</w:t>
      </w:r>
      <w:r>
        <w:tab/>
      </w:r>
      <w:r w:rsidRPr="00910CFD">
        <w:t>considered that there are other ways of increasing the number of amendments adopted and keeping the agreement relevant</w:t>
      </w:r>
      <w:r>
        <w:t>;</w:t>
      </w:r>
    </w:p>
    <w:p w:rsidR="006D1B78" w:rsidRPr="0033075D" w:rsidRDefault="006D1B78" w:rsidP="006D1B78">
      <w:pPr>
        <w:pStyle w:val="SingleTxtG"/>
        <w:ind w:left="1701"/>
      </w:pPr>
      <w:r>
        <w:t>(ii)</w:t>
      </w:r>
      <w:r>
        <w:tab/>
      </w:r>
      <w:r w:rsidRPr="0033075D">
        <w:t>encouraged members to work harder between sessions to negotiate proposals and to explain clearly the reasons for rejection, so</w:t>
      </w:r>
      <w:r w:rsidRPr="00910CFD">
        <w:t xml:space="preserve"> proposals can be improved</w:t>
      </w:r>
      <w:r>
        <w:t>;</w:t>
      </w:r>
    </w:p>
    <w:p w:rsidR="006D1B78" w:rsidRPr="00910CFD" w:rsidRDefault="006D1B78" w:rsidP="006D1B78">
      <w:pPr>
        <w:pStyle w:val="SingleTxtG"/>
        <w:ind w:left="1701"/>
      </w:pPr>
      <w:r>
        <w:t>(iii)</w:t>
      </w:r>
      <w:r>
        <w:tab/>
      </w:r>
      <w:r w:rsidRPr="0033075D">
        <w:t xml:space="preserve">suggested to consider making a clear distinction between the articles of the agreement and its technical provisions/conditions of use, to facilitate the adoption </w:t>
      </w:r>
      <w:r w:rsidRPr="00910CFD">
        <w:t>of amendments of technical nature.</w:t>
      </w:r>
    </w:p>
    <w:p w:rsidR="006D1B78" w:rsidRPr="00910CFD" w:rsidRDefault="006D1B78" w:rsidP="006D1B78">
      <w:pPr>
        <w:pStyle w:val="SingleTxtG"/>
      </w:pPr>
      <w:r w:rsidRPr="00910CFD">
        <w:t xml:space="preserve">The Committee may wish to </w:t>
      </w:r>
      <w:r w:rsidRPr="00910CFD">
        <w:rPr>
          <w:b/>
          <w:bCs/>
        </w:rPr>
        <w:t>endorse</w:t>
      </w:r>
      <w:r w:rsidRPr="00910CFD">
        <w:t xml:space="preserve"> the decision of the Working Party to extend the number of sessions from two to three per biennium as indicated in subparagraph (b).</w:t>
      </w:r>
    </w:p>
    <w:p w:rsidR="006D1B78" w:rsidRPr="00910CFD" w:rsidRDefault="006D1B78" w:rsidP="006D1B78">
      <w:pPr>
        <w:pStyle w:val="SingleTxtG"/>
      </w:pPr>
      <w:r w:rsidRPr="00910CFD">
        <w:t>Other topics of importance to keep the agreement up to date and in sync with economic, technological and political developments/challenges, were forwarded for further discussion:</w:t>
      </w:r>
    </w:p>
    <w:p w:rsidR="006D1B78" w:rsidRPr="0033075D" w:rsidRDefault="006D1B78" w:rsidP="006D1B78">
      <w:pPr>
        <w:pStyle w:val="SingleTxtG"/>
        <w:ind w:firstLine="567"/>
      </w:pPr>
      <w:r w:rsidRPr="00910CFD">
        <w:t>(a)</w:t>
      </w:r>
      <w:r w:rsidRPr="00910CFD">
        <w:tab/>
        <w:t>Agree on a clear definition of the scope of the ATP including an opening clause/extension clause to provide flexibility to extend the scope of application if necessary</w:t>
      </w:r>
      <w:r>
        <w:t>;</w:t>
      </w:r>
    </w:p>
    <w:p w:rsidR="006D1B78" w:rsidRPr="0033075D" w:rsidRDefault="006D1B78" w:rsidP="006D1B78">
      <w:pPr>
        <w:pStyle w:val="SingleTxtG"/>
        <w:ind w:firstLine="567"/>
      </w:pPr>
      <w:r w:rsidRPr="0033075D">
        <w:t>(b)</w:t>
      </w:r>
      <w:r w:rsidRPr="0033075D">
        <w:tab/>
        <w:t>Include in the agreement a definition of “perishable foodstuffs”</w:t>
      </w:r>
      <w:r>
        <w:t>;</w:t>
      </w:r>
    </w:p>
    <w:p w:rsidR="006D1B78" w:rsidRPr="0033075D" w:rsidRDefault="006D1B78" w:rsidP="006D1B78">
      <w:pPr>
        <w:pStyle w:val="SingleTxtG"/>
        <w:ind w:firstLine="567"/>
      </w:pPr>
      <w:r w:rsidRPr="0033075D">
        <w:t>(c)</w:t>
      </w:r>
      <w:r w:rsidRPr="0033075D">
        <w:tab/>
        <w:t>Seek a common interpretation of the preamble of the agreement, particularly related to the quality v</w:t>
      </w:r>
      <w:r>
        <w:t>ersu</w:t>
      </w:r>
      <w:r w:rsidRPr="0033075D">
        <w:t>s safety issue</w:t>
      </w:r>
      <w:r>
        <w:t>;</w:t>
      </w:r>
    </w:p>
    <w:p w:rsidR="006D1B78" w:rsidRPr="0033075D" w:rsidRDefault="006D1B78" w:rsidP="006D1B78">
      <w:pPr>
        <w:pStyle w:val="SingleTxtG"/>
        <w:ind w:firstLine="567"/>
      </w:pPr>
      <w:r w:rsidRPr="0033075D">
        <w:t>(d)</w:t>
      </w:r>
      <w:r w:rsidRPr="0033075D">
        <w:tab/>
        <w:t>Agree on the elaboration of a list of goods covered by the scope of application</w:t>
      </w:r>
      <w:r>
        <w:t>;</w:t>
      </w:r>
    </w:p>
    <w:p w:rsidR="006D1B78" w:rsidRPr="00910CFD" w:rsidRDefault="006D1B78" w:rsidP="006D1B78">
      <w:pPr>
        <w:pStyle w:val="SingleTxtG"/>
        <w:ind w:firstLine="567"/>
      </w:pPr>
      <w:r w:rsidRPr="0033075D">
        <w:t>(e)</w:t>
      </w:r>
      <w:r w:rsidRPr="0033075D">
        <w:tab/>
        <w:t xml:space="preserve">Adapting ATP standards and requirements to the </w:t>
      </w:r>
      <w:r w:rsidRPr="00910CFD">
        <w:t>climatic and technical conditions encountered during the carriage of perishable foodstuffs in different climatic zones.</w:t>
      </w:r>
    </w:p>
    <w:p w:rsidR="006D1B78" w:rsidRPr="00910CFD" w:rsidRDefault="006D1B78" w:rsidP="006D1B78">
      <w:pPr>
        <w:pStyle w:val="SingleTxtG"/>
      </w:pPr>
      <w:r w:rsidRPr="00910CFD">
        <w:t>Overall, it was agreed that further steps to increase harmonization on the implementation of the agreement should be taken:</w:t>
      </w:r>
    </w:p>
    <w:p w:rsidR="006D1B78" w:rsidRPr="0033075D" w:rsidRDefault="006D1B78" w:rsidP="006D1B78">
      <w:pPr>
        <w:pStyle w:val="SingleTxtG"/>
        <w:ind w:firstLine="567"/>
      </w:pPr>
      <w:r w:rsidRPr="00910CFD">
        <w:t>(a)</w:t>
      </w:r>
      <w:r w:rsidRPr="00910CFD">
        <w:tab/>
        <w:t>A single database containing ATP model certificates may be created to help reduce forgery, misuse and to simplify the procedure for issuing new ATP certificates in the case of transfer of special equipment to another State</w:t>
      </w:r>
      <w:r>
        <w:t>;</w:t>
      </w:r>
    </w:p>
    <w:p w:rsidR="006D1B78" w:rsidRPr="0033075D" w:rsidRDefault="006D1B78" w:rsidP="006D1B78">
      <w:pPr>
        <w:pStyle w:val="SingleTxtG"/>
        <w:ind w:firstLine="567"/>
      </w:pPr>
      <w:r w:rsidRPr="0033075D">
        <w:t>(b)</w:t>
      </w:r>
      <w:r w:rsidRPr="0033075D">
        <w:tab/>
        <w:t xml:space="preserve">Contracting </w:t>
      </w:r>
      <w:r>
        <w:t>p</w:t>
      </w:r>
      <w:r w:rsidRPr="0033075D">
        <w:t xml:space="preserve">arties should strive to homogenize procedures for enforcement, checks and penalties across countries. WP.11 was encouraged to analyse the way other </w:t>
      </w:r>
      <w:r w:rsidRPr="0033075D">
        <w:lastRenderedPageBreak/>
        <w:t>Working Parties deal with similar problems of harmonization and implementation and take note of best practices.</w:t>
      </w:r>
    </w:p>
    <w:p w:rsidR="006D1B78" w:rsidRPr="0033075D" w:rsidRDefault="006D1B78" w:rsidP="006D1B78">
      <w:pPr>
        <w:pStyle w:val="SingleTxtG"/>
        <w:rPr>
          <w:b/>
          <w:bCs/>
        </w:rPr>
      </w:pPr>
      <w:r w:rsidRPr="0033075D">
        <w:rPr>
          <w:b/>
          <w:bCs/>
        </w:rPr>
        <w:t>Documentation</w:t>
      </w:r>
    </w:p>
    <w:p w:rsidR="006D1B78" w:rsidRPr="00910CFD" w:rsidRDefault="006D1B78" w:rsidP="006D1B78">
      <w:pPr>
        <w:pStyle w:val="SingleTxtG"/>
      </w:pPr>
      <w:r w:rsidRPr="00910CFD">
        <w:t>ECE/TRANS/WP.11/237, ECE/TRANS/WP.11/239</w:t>
      </w:r>
    </w:p>
    <w:p w:rsidR="006D1B78" w:rsidRPr="00910CFD" w:rsidRDefault="006D1B78" w:rsidP="006D1B78">
      <w:pPr>
        <w:pStyle w:val="H23G"/>
      </w:pPr>
      <w:r w:rsidRPr="00910CFD">
        <w:tab/>
        <w:t>(k)</w:t>
      </w:r>
      <w:r w:rsidRPr="00910CFD">
        <w:tab/>
        <w:t xml:space="preserve">Transport </w:t>
      </w:r>
      <w:r w:rsidRPr="00802295">
        <w:t>statistics</w:t>
      </w:r>
      <w:r w:rsidRPr="00910CFD">
        <w:t xml:space="preserve"> and data</w:t>
      </w:r>
    </w:p>
    <w:p w:rsidR="006D1B78" w:rsidRPr="00910CFD" w:rsidRDefault="006D1B78" w:rsidP="006D1B78">
      <w:pPr>
        <w:pStyle w:val="SingleTxtG"/>
      </w:pPr>
      <w:r w:rsidRPr="00910CFD">
        <w:t xml:space="preserve">The Committee will be </w:t>
      </w:r>
      <w:r w:rsidRPr="00910CFD">
        <w:rPr>
          <w:b/>
          <w:bCs/>
        </w:rPr>
        <w:t>informed</w:t>
      </w:r>
      <w:r w:rsidRPr="00910CFD">
        <w:t xml:space="preserve"> of the latest activities in transport statistics and the status of the 2015 E-Road and E-Rail Traffic Census Programmes in accordance with </w:t>
      </w:r>
      <w:r>
        <w:t>r</w:t>
      </w:r>
      <w:r w:rsidRPr="0033075D">
        <w:t xml:space="preserve">esolutions Nos. 261 and 262 </w:t>
      </w:r>
      <w:r>
        <w:t xml:space="preserve">that had been </w:t>
      </w:r>
      <w:r w:rsidRPr="0033075D">
        <w:t xml:space="preserve">adopted at its seventy-sixth session in 2014. </w:t>
      </w:r>
    </w:p>
    <w:p w:rsidR="006D1B78" w:rsidRPr="00910CFD" w:rsidRDefault="006D1B78" w:rsidP="006D1B78">
      <w:pPr>
        <w:pStyle w:val="SingleTxtG"/>
      </w:pPr>
      <w:r w:rsidRPr="00910CFD">
        <w:t xml:space="preserve">The Committee will be </w:t>
      </w:r>
      <w:r w:rsidRPr="00910CFD">
        <w:rPr>
          <w:b/>
          <w:bCs/>
        </w:rPr>
        <w:t>informed</w:t>
      </w:r>
      <w:r w:rsidRPr="00910CFD">
        <w:t xml:space="preserve"> that during its sixty-ninth session</w:t>
      </w:r>
      <w:r>
        <w:t>,</w:t>
      </w:r>
      <w:r w:rsidRPr="0033075D">
        <w:t xml:space="preserve"> the Working Party on Transport Statistics (WP.6) held a workshop on promoting data quality in inland waterway statistics, where discussion topics included innovative </w:t>
      </w:r>
      <w:r w:rsidRPr="00910CFD">
        <w:t xml:space="preserve">data collection techniques such as the use of Automatic Identification System (AIS) data for statistics production, the common challenge of measuring foreign vessels’ movements, and the importance of disaggregating inland waterway statistics by type of good. </w:t>
      </w:r>
    </w:p>
    <w:p w:rsidR="006D1B78" w:rsidRPr="00910CFD" w:rsidRDefault="006D1B78" w:rsidP="006D1B78">
      <w:pPr>
        <w:pStyle w:val="SingleTxtG"/>
      </w:pPr>
      <w:r w:rsidRPr="00910CFD">
        <w:t xml:space="preserve">The Committee will be </w:t>
      </w:r>
      <w:r w:rsidRPr="00910CFD">
        <w:rPr>
          <w:b/>
          <w:bCs/>
        </w:rPr>
        <w:t>informed</w:t>
      </w:r>
      <w:r w:rsidRPr="00910CFD">
        <w:t xml:space="preserve"> that the secretariat has recently prepared a number of publications including the Bulletin of Transport Statistics, the Bulletin of Road Safety Statistics, and the Transport Statistics Infocards</w:t>
      </w:r>
      <w:r>
        <w:t xml:space="preserve"> which</w:t>
      </w:r>
      <w:r w:rsidRPr="0033075D">
        <w:t xml:space="preserve"> summari</w:t>
      </w:r>
      <w:r>
        <w:t>ze</w:t>
      </w:r>
      <w:r w:rsidRPr="0033075D">
        <w:t xml:space="preserve"> key transport statistics for ECE member States (ECE/TRANS/2019/19 and Informal document No. 7). The Committee may wish to </w:t>
      </w:r>
      <w:r w:rsidRPr="00910CFD">
        <w:rPr>
          <w:b/>
          <w:bCs/>
        </w:rPr>
        <w:t>note</w:t>
      </w:r>
      <w:r w:rsidRPr="00910CFD">
        <w:t xml:space="preserve"> that WP.6 continues to be actively involved in the production of data relevant to monitoring the transport-related Sustainable Development Goals and has been increasing the visibility of these data in a number of ways. </w:t>
      </w:r>
    </w:p>
    <w:p w:rsidR="006D1B78" w:rsidRPr="00910CFD" w:rsidRDefault="006D1B78" w:rsidP="006D1B78">
      <w:pPr>
        <w:pStyle w:val="SingleTxtG"/>
      </w:pPr>
      <w:r w:rsidRPr="00910CFD">
        <w:t xml:space="preserve">The Committee will be </w:t>
      </w:r>
      <w:r w:rsidRPr="00910CFD">
        <w:rPr>
          <w:b/>
          <w:bCs/>
        </w:rPr>
        <w:t>informed</w:t>
      </w:r>
      <w:r w:rsidRPr="00910CFD">
        <w:t xml:space="preserve"> that WP.6 approved progress made so far in producing a </w:t>
      </w:r>
      <w:r>
        <w:t>fifth</w:t>
      </w:r>
      <w:r w:rsidRPr="0033075D">
        <w:t xml:space="preserve"> version of the Glossary for Transport Statistics in cooperation with Eurostat and the International Transport Forum</w:t>
      </w:r>
      <w:r w:rsidRPr="00910CFD">
        <w:t xml:space="preserve">. </w:t>
      </w:r>
    </w:p>
    <w:p w:rsidR="006D1B78" w:rsidRPr="00910CFD" w:rsidRDefault="006D1B78" w:rsidP="006D1B78">
      <w:pPr>
        <w:pStyle w:val="SingleTxtG"/>
      </w:pPr>
      <w:r w:rsidRPr="00910CFD">
        <w:t xml:space="preserve">The Committee may wish to </w:t>
      </w:r>
      <w:r w:rsidRPr="00910CFD">
        <w:rPr>
          <w:b/>
          <w:bCs/>
        </w:rPr>
        <w:t>consider and approve</w:t>
      </w:r>
      <w:r w:rsidRPr="00910CFD">
        <w:t xml:space="preserve"> the recommendations to Governments related to the 2020 E-Road Traffic Census (ECE/TRANS/WP.6/2018/11) and the corresponding draft resolution (ECE/TRANS/WP.6/2018/11</w:t>
      </w:r>
      <w:r>
        <w:t>,</w:t>
      </w:r>
      <w:r w:rsidRPr="0033075D">
        <w:t xml:space="preserve"> Chapter XIII) that were adopted by WP.6</w:t>
      </w:r>
      <w:r w:rsidRPr="00910CFD">
        <w:t>, noting the potential usefulness of the visualized census data as elaborated upon in ECE/TRANS/2019/20.</w:t>
      </w:r>
    </w:p>
    <w:p w:rsidR="006D1B78" w:rsidRPr="0033075D" w:rsidRDefault="006D1B78" w:rsidP="006D1B78">
      <w:pPr>
        <w:pStyle w:val="SingleTxtG"/>
      </w:pPr>
      <w:r w:rsidRPr="00910CFD">
        <w:t xml:space="preserve">The Committee may also wish </w:t>
      </w:r>
      <w:r w:rsidRPr="00910CFD">
        <w:rPr>
          <w:b/>
          <w:bCs/>
        </w:rPr>
        <w:t>to consider and approve</w:t>
      </w:r>
      <w:r w:rsidRPr="00910CFD">
        <w:t xml:space="preserve"> the recommendations to Governments related to the 2020 E-Rail Traffic Census (ECE/TRANS/WP.6/2018/8) and the corresponding draft resolution (ECE/TRANS/WP.6/2018/8</w:t>
      </w:r>
      <w:r>
        <w:t>,</w:t>
      </w:r>
      <w:r w:rsidRPr="0033075D">
        <w:t xml:space="preserve"> Chapter XII) that were adopted by WP.6.</w:t>
      </w:r>
    </w:p>
    <w:p w:rsidR="006D1B78" w:rsidRPr="00D13786" w:rsidRDefault="006D1B78" w:rsidP="006D1B78">
      <w:pPr>
        <w:pStyle w:val="SingleTxtG"/>
      </w:pPr>
      <w:r w:rsidRPr="00D13786">
        <w:rPr>
          <w:b/>
          <w:bCs/>
        </w:rPr>
        <w:t>Documentation</w:t>
      </w:r>
      <w:r w:rsidRPr="00D13786">
        <w:t xml:space="preserve"> </w:t>
      </w:r>
    </w:p>
    <w:p w:rsidR="006D1B78" w:rsidRPr="0033075D" w:rsidRDefault="006D1B78" w:rsidP="006D1B78">
      <w:pPr>
        <w:pStyle w:val="SingleTxtG"/>
      </w:pPr>
      <w:r w:rsidRPr="00D13786">
        <w:t xml:space="preserve">ECE/TRANS/2019/19, Informal document No. </w:t>
      </w:r>
      <w:r w:rsidRPr="002151BC">
        <w:t xml:space="preserve">7 </w:t>
      </w:r>
      <w:r w:rsidRPr="0033075D">
        <w:t>(Actual infocards), ECE/TRANS/2019/20, ECE/TRANS/WP.6/2018/11, ECE/TRANS/WP.6/2018/8</w:t>
      </w:r>
    </w:p>
    <w:p w:rsidR="006D1B78" w:rsidRPr="00910CFD" w:rsidRDefault="006D1B78" w:rsidP="006D1B78">
      <w:pPr>
        <w:pStyle w:val="H1G"/>
      </w:pPr>
      <w:r w:rsidRPr="00910CFD">
        <w:tab/>
        <w:t>6.</w:t>
      </w:r>
      <w:r w:rsidRPr="00910CFD">
        <w:tab/>
      </w:r>
      <w:r w:rsidR="00204B05" w:rsidRPr="002D4CAD">
        <w:t>Matters arising from the United Nations Economic Commission for Europe (ECE), the Economic and Social Council (ECOSOC) and other United Nations bodies and Conferences</w:t>
      </w:r>
    </w:p>
    <w:p w:rsidR="006D1B78" w:rsidRPr="00910CFD" w:rsidRDefault="006D1B78" w:rsidP="006D1B78">
      <w:pPr>
        <w:pStyle w:val="H23G"/>
      </w:pPr>
      <w:r>
        <w:tab/>
      </w:r>
      <w:r w:rsidRPr="00910CFD">
        <w:t>(a)</w:t>
      </w:r>
      <w:r w:rsidRPr="00910CFD">
        <w:tab/>
      </w:r>
      <w:r w:rsidR="00204B05" w:rsidRPr="002D4CAD">
        <w:t>ECE, ECOSOC, and other United Nations bodies and Conferences</w:t>
      </w:r>
    </w:p>
    <w:p w:rsidR="006D1B78" w:rsidRPr="00910CFD" w:rsidRDefault="006D1B78" w:rsidP="006D1B78">
      <w:pPr>
        <w:pStyle w:val="SingleTxtG"/>
      </w:pPr>
      <w:r w:rsidRPr="00910CFD">
        <w:t xml:space="preserve">The Committee will be </w:t>
      </w:r>
      <w:r w:rsidRPr="00910CFD">
        <w:rPr>
          <w:b/>
        </w:rPr>
        <w:t>informed</w:t>
      </w:r>
      <w:r w:rsidRPr="00910CFD">
        <w:t xml:space="preserve"> by the secretariat about recent matters arising from ECE, ECOSOC and other United Nations bodies and Conferences of interest to the Committee.</w:t>
      </w:r>
    </w:p>
    <w:p w:rsidR="006D1B78" w:rsidRPr="00910CFD" w:rsidRDefault="006D1B78" w:rsidP="006D1B78">
      <w:pPr>
        <w:pStyle w:val="H23G"/>
      </w:pPr>
      <w:bookmarkStart w:id="6" w:name="_Hlk531876769"/>
      <w:r>
        <w:lastRenderedPageBreak/>
        <w:tab/>
      </w:r>
      <w:r w:rsidRPr="00910CFD">
        <w:t>(b)</w:t>
      </w:r>
      <w:r w:rsidRPr="00910CFD">
        <w:tab/>
        <w:t>Dialogue with United Nations Regional Commissions on ongoing activities related to inland transport</w:t>
      </w:r>
    </w:p>
    <w:p w:rsidR="006D1B78" w:rsidRPr="0033075D" w:rsidRDefault="006D1B78" w:rsidP="006D1B78">
      <w:pPr>
        <w:pStyle w:val="SingleTxtG"/>
      </w:pPr>
      <w:r w:rsidRPr="00910CFD">
        <w:t>The Committee</w:t>
      </w:r>
      <w:r w:rsidRPr="00910CFD">
        <w:rPr>
          <w:b/>
        </w:rPr>
        <w:t xml:space="preserve"> will invite </w:t>
      </w:r>
      <w:r w:rsidRPr="00910CFD">
        <w:t xml:space="preserve">representatives of the other United Nations </w:t>
      </w:r>
      <w:r>
        <w:t>r</w:t>
      </w:r>
      <w:r w:rsidRPr="0033075D">
        <w:t xml:space="preserve">egional </w:t>
      </w:r>
      <w:r>
        <w:t>c</w:t>
      </w:r>
      <w:r w:rsidRPr="0033075D">
        <w:t xml:space="preserve">ommissions </w:t>
      </w:r>
      <w:r w:rsidR="008A23F7" w:rsidRPr="008A23F7">
        <w:rPr>
          <w:b/>
          <w:bCs/>
        </w:rPr>
        <w:t>and be informed on</w:t>
      </w:r>
      <w:r w:rsidR="008A23F7">
        <w:t xml:space="preserve"> </w:t>
      </w:r>
      <w:r w:rsidRPr="0033075D">
        <w:t>ongoing activities of inland transport in their regions</w:t>
      </w:r>
      <w:r w:rsidR="008A23F7">
        <w:t xml:space="preserve">, </w:t>
      </w:r>
      <w:r w:rsidR="00CC3042">
        <w:t>such as</w:t>
      </w:r>
      <w:r w:rsidR="008A23F7" w:rsidRPr="00301619">
        <w:t xml:space="preserve"> a</w:t>
      </w:r>
      <w:r w:rsidR="008A23F7">
        <w:t xml:space="preserve"> proposed </w:t>
      </w:r>
      <w:r w:rsidR="008A23F7" w:rsidRPr="00301619">
        <w:t>interregional coordination committee on transport between Asia and Europe (ICCTAE)</w:t>
      </w:r>
      <w:r w:rsidR="00CC3042">
        <w:t xml:space="preserve"> </w:t>
      </w:r>
      <w:r w:rsidR="008E68C5">
        <w:t>by</w:t>
      </w:r>
      <w:r w:rsidR="00CC3042">
        <w:t xml:space="preserve"> ESCAP</w:t>
      </w:r>
      <w:r w:rsidRPr="0033075D">
        <w:t>.</w:t>
      </w:r>
      <w:bookmarkEnd w:id="6"/>
    </w:p>
    <w:p w:rsidR="006D1B78" w:rsidRPr="00910CFD" w:rsidRDefault="006D1B78" w:rsidP="006D1B78">
      <w:pPr>
        <w:pStyle w:val="H1G"/>
      </w:pPr>
      <w:r w:rsidRPr="00910CFD">
        <w:tab/>
        <w:t>7.</w:t>
      </w:r>
      <w:r w:rsidRPr="00910CFD">
        <w:tab/>
        <w:t xml:space="preserve">Draft Annual </w:t>
      </w:r>
      <w:r w:rsidRPr="00802295">
        <w:t>Report</w:t>
      </w:r>
      <w:r w:rsidRPr="00910CFD">
        <w:t xml:space="preserve"> of activities undertaken by the Committee’s subsidiary bodies in 2018</w:t>
      </w:r>
    </w:p>
    <w:p w:rsidR="006D1B78" w:rsidRPr="00910CFD" w:rsidRDefault="006D1B78" w:rsidP="006D1B78">
      <w:pPr>
        <w:spacing w:after="120"/>
        <w:ind w:left="1134" w:right="1134"/>
        <w:jc w:val="both"/>
      </w:pPr>
      <w:r w:rsidRPr="00910CFD">
        <w:t xml:space="preserve">The Committee will be </w:t>
      </w:r>
      <w:r w:rsidRPr="00910CFD">
        <w:rPr>
          <w:b/>
        </w:rPr>
        <w:t>presented</w:t>
      </w:r>
      <w:r w:rsidRPr="00910CFD">
        <w:t xml:space="preserve"> with a comprehensive report of activities undertaken by the Committee’s subsidiary bodies during 2018 in administering the 58 United Nations conventions, agreements and other types of legal instrument which shape the international legal framework for road, rail, inland waterway, intermodal transport, dangerous goods transport and vehicle construction (ECE/TRANS/2019/21). These activities contributed to the achievement of the Sustainable Development Goals and took the form of policy dialogue and regulatory work, analytical activities, as well as capacity-building and technical assistance. The draft annual report presents concise information to ITC delegates in a form suitable for broader publicity. The polished version with photos of the </w:t>
      </w:r>
      <w:r>
        <w:t>d</w:t>
      </w:r>
      <w:r w:rsidRPr="0033075D">
        <w:t xml:space="preserve">raft </w:t>
      </w:r>
      <w:r>
        <w:t>a</w:t>
      </w:r>
      <w:r w:rsidRPr="0033075D">
        <w:t xml:space="preserve">nnual </w:t>
      </w:r>
      <w:r>
        <w:t>r</w:t>
      </w:r>
      <w:r w:rsidRPr="0033075D">
        <w:t xml:space="preserve">eport will also be presented to the Committee </w:t>
      </w:r>
      <w:r>
        <w:t xml:space="preserve">in </w:t>
      </w:r>
      <w:r w:rsidRPr="0033075D">
        <w:t>Informal document No. 8</w:t>
      </w:r>
      <w:r w:rsidRPr="00910CFD">
        <w:t>.</w:t>
      </w:r>
    </w:p>
    <w:p w:rsidR="006D1B78" w:rsidRPr="00910CFD" w:rsidRDefault="006D1B78" w:rsidP="006D1B78">
      <w:pPr>
        <w:pStyle w:val="SingleTxtG"/>
      </w:pPr>
      <w:r w:rsidRPr="00910CFD">
        <w:t xml:space="preserve">The Committee is invited to </w:t>
      </w:r>
      <w:r w:rsidRPr="00910CFD">
        <w:rPr>
          <w:b/>
        </w:rPr>
        <w:t>discuss</w:t>
      </w:r>
      <w:r w:rsidRPr="00910CFD">
        <w:t xml:space="preserve"> the annual report and to </w:t>
      </w:r>
      <w:r w:rsidRPr="00910CFD">
        <w:rPr>
          <w:b/>
        </w:rPr>
        <w:t>provide guidance</w:t>
      </w:r>
      <w:r w:rsidRPr="00910CFD">
        <w:t xml:space="preserve"> on improving the visibility of the results and on the future use.</w:t>
      </w:r>
    </w:p>
    <w:p w:rsidR="006D1B78" w:rsidRPr="00513698" w:rsidRDefault="006D1B78" w:rsidP="006D1B78">
      <w:pPr>
        <w:spacing w:after="120"/>
        <w:ind w:left="1134" w:right="1134"/>
        <w:jc w:val="both"/>
        <w:rPr>
          <w:b/>
          <w:lang w:val="fr-FR"/>
        </w:rPr>
      </w:pPr>
      <w:r w:rsidRPr="00513698">
        <w:rPr>
          <w:b/>
          <w:lang w:val="fr-FR"/>
        </w:rPr>
        <w:t>Documentation</w:t>
      </w:r>
    </w:p>
    <w:p w:rsidR="006D1B78" w:rsidRPr="00D13786" w:rsidRDefault="006D1B78" w:rsidP="006D1B78">
      <w:pPr>
        <w:pStyle w:val="SingleTxtG"/>
        <w:rPr>
          <w:lang w:val="fr-FR"/>
        </w:rPr>
      </w:pPr>
      <w:r w:rsidRPr="00513698">
        <w:rPr>
          <w:lang w:val="fr-FR"/>
        </w:rPr>
        <w:t xml:space="preserve">ECE/TRANS/2019/21, Informal document No. </w:t>
      </w:r>
      <w:r w:rsidRPr="00D13786">
        <w:rPr>
          <w:lang w:val="fr-FR"/>
        </w:rPr>
        <w:t>8</w:t>
      </w:r>
    </w:p>
    <w:p w:rsidR="006D1B78" w:rsidRPr="002151BC" w:rsidRDefault="006D1B78" w:rsidP="006D1B78">
      <w:pPr>
        <w:pStyle w:val="HChG"/>
      </w:pPr>
      <w:r w:rsidRPr="00D13786">
        <w:rPr>
          <w:lang w:val="fr-FR"/>
        </w:rPr>
        <w:tab/>
      </w:r>
      <w:r w:rsidRPr="002151BC">
        <w:t>IV.</w:t>
      </w:r>
      <w:r w:rsidRPr="002151BC">
        <w:tab/>
        <w:t xml:space="preserve">Other </w:t>
      </w:r>
      <w:r w:rsidRPr="00802295">
        <w:t>questions</w:t>
      </w:r>
      <w:r w:rsidRPr="002151BC">
        <w:t xml:space="preserve"> relating to the work of the Committee</w:t>
      </w:r>
      <w:r>
        <w:t xml:space="preserve"> and its </w:t>
      </w:r>
      <w:r w:rsidRPr="002151BC">
        <w:t>subsidiary bodies</w:t>
      </w:r>
    </w:p>
    <w:p w:rsidR="006D1B78" w:rsidRPr="00910CFD" w:rsidRDefault="006D1B78" w:rsidP="00436F23">
      <w:pPr>
        <w:pStyle w:val="H1G"/>
        <w:spacing w:before="240"/>
      </w:pPr>
      <w:r w:rsidRPr="00910CFD">
        <w:tab/>
        <w:t>8.</w:t>
      </w:r>
      <w:r w:rsidRPr="00910CFD">
        <w:tab/>
        <w:t>Issues for approval by the Committee and of an informative character: Approval of the reports of the Committee’s subsidiary bodies</w:t>
      </w:r>
    </w:p>
    <w:p w:rsidR="006D1B78" w:rsidRPr="005C5938" w:rsidRDefault="006D1B78" w:rsidP="006D1B78">
      <w:pPr>
        <w:pStyle w:val="SingleTxtG"/>
      </w:pPr>
      <w:r w:rsidRPr="005C5938">
        <w:t xml:space="preserve">The Committee may wish to </w:t>
      </w:r>
      <w:r w:rsidRPr="005C5938">
        <w:rPr>
          <w:b/>
        </w:rPr>
        <w:t>approve</w:t>
      </w:r>
      <w:r w:rsidRPr="005C5938">
        <w:t xml:space="preserve"> as a whole the reports and related activities of its subsidiary bodies and </w:t>
      </w:r>
      <w:r w:rsidRPr="005C5938">
        <w:rPr>
          <w:b/>
        </w:rPr>
        <w:t>request</w:t>
      </w:r>
      <w:r w:rsidRPr="005C5938">
        <w:t xml:space="preserve"> the secretariat to incorporate related references in the complete ITC report on the basis of the respective annotations contained in this document.</w:t>
      </w:r>
    </w:p>
    <w:p w:rsidR="006D1B78" w:rsidRPr="005C5938" w:rsidRDefault="006D1B78" w:rsidP="006D1B78">
      <w:pPr>
        <w:pStyle w:val="SingleTxtG"/>
      </w:pPr>
      <w:r w:rsidRPr="005C5938">
        <w:rPr>
          <w:b/>
          <w:bCs/>
        </w:rPr>
        <w:t>Documentation</w:t>
      </w:r>
      <w:r w:rsidRPr="005C5938">
        <w:t xml:space="preserve"> </w:t>
      </w:r>
    </w:p>
    <w:p w:rsidR="006D1B78" w:rsidRPr="005C5938" w:rsidRDefault="006D1B78" w:rsidP="006D1B78">
      <w:pPr>
        <w:pStyle w:val="SingleTxtG"/>
      </w:pPr>
      <w:r w:rsidRPr="005C5938">
        <w:t>ECE/TRANS/WP.1/165</w:t>
      </w:r>
      <w:r>
        <w:t>,</w:t>
      </w:r>
      <w:r w:rsidRPr="005C5938">
        <w:t xml:space="preserve"> ECE/TRANS/WP.1/163</w:t>
      </w:r>
      <w:r>
        <w:t>;</w:t>
      </w:r>
      <w:r w:rsidRPr="005C5938">
        <w:t xml:space="preserve"> </w:t>
      </w:r>
      <w:r w:rsidRPr="00A20E74">
        <w:t>ECE/TRANS/WP.5/64</w:t>
      </w:r>
      <w:r>
        <w:t>,</w:t>
      </w:r>
      <w:r w:rsidRPr="00A20E74">
        <w:t xml:space="preserve"> </w:t>
      </w:r>
      <w:r w:rsidRPr="005C5938">
        <w:t>ECE/TRANS/WP.6/175, ECE/TRANS/WP.11/237, ECE/TRANS/WP.11/239, ECE/TRANS/WP.15/240 and Corr.1 and Add.1; ECE/TRANS/WP.15/242, ECE/TRANS/WP.15/244; ECE/TRANS/WP.15/AC.1/150 and Add.1; ECE/TRANS/WP.15/AC.1/152 and Add.1; ECE/TRANS/WP.15/AC.2/68; ECE/TRANS/WP.15/AC.2/62; ECE/ADN/45 and Corr.1 and Add.1, ECE/ADN/47, ECE/ADN/44; ECE/TRANS/275; ECE/TRANS/276, ECE/TRANS/WP.24/143, ECE/TRANS/WP.29/1137, ECE/TRANS/WP.29/1139, ECE/TRANS/WP.29/1142, ECE/TRANS/WP.30/296, ECE/TRANS/WP.30/298, ECE/TRANS/WP.30/300, ECE/TRANS/WP.30/AC.2/137, ECE/TRANS/WP.30/AC.2/139 and Corr.1, ECE/TRANS/SC.1/408; ECE/TRANS/SC.1/410, ECE/TRANS/SC.2/230, ECE/TRANS/SC.3/207</w:t>
      </w:r>
    </w:p>
    <w:p w:rsidR="006D1B78" w:rsidRPr="00910CFD" w:rsidRDefault="006D1B78" w:rsidP="00436F23">
      <w:pPr>
        <w:pStyle w:val="H1G"/>
        <w:spacing w:before="240"/>
      </w:pPr>
      <w:r w:rsidRPr="005C5938">
        <w:lastRenderedPageBreak/>
        <w:tab/>
      </w:r>
      <w:r w:rsidRPr="00910CFD">
        <w:t>9.</w:t>
      </w:r>
      <w:r w:rsidRPr="00910CFD">
        <w:tab/>
      </w:r>
      <w:r w:rsidRPr="00802295">
        <w:t>Results</w:t>
      </w:r>
      <w:r w:rsidRPr="00910CFD">
        <w:t xml:space="preserve"> of the meetings of the Bureau of the Inland Transport Committee</w:t>
      </w:r>
    </w:p>
    <w:p w:rsidR="006D1B78" w:rsidRPr="00910CFD" w:rsidRDefault="006D1B78" w:rsidP="006D1B78">
      <w:pPr>
        <w:pStyle w:val="SingleTxtG"/>
      </w:pPr>
      <w:r w:rsidRPr="00910CFD">
        <w:t xml:space="preserve">The Committee will </w:t>
      </w:r>
      <w:r w:rsidRPr="00910CFD">
        <w:rPr>
          <w:b/>
        </w:rPr>
        <w:t>consider</w:t>
      </w:r>
      <w:r w:rsidRPr="00910CFD">
        <w:t xml:space="preserve"> document ECE/TRANS/2019/22, containing the results of the meetings held by the Bureau of the Inland Transport Committee in 2018. The Committee may wish to refer to the decisions of the Bureau under the relevant items of its agenda.</w:t>
      </w:r>
    </w:p>
    <w:p w:rsidR="006D1B78" w:rsidRPr="00910CFD" w:rsidRDefault="006D1B78" w:rsidP="006D1B78">
      <w:pPr>
        <w:pStyle w:val="SingleTxtG"/>
      </w:pPr>
      <w:r w:rsidRPr="00910CFD">
        <w:t xml:space="preserve">The Committee may further wish to </w:t>
      </w:r>
      <w:r w:rsidRPr="00910CFD">
        <w:rPr>
          <w:b/>
        </w:rPr>
        <w:t>note</w:t>
      </w:r>
      <w:r w:rsidRPr="00910CFD">
        <w:t xml:space="preserve"> that the adoption of the report of the eighty-first session will be limited to a list of main decisions. The complete report of the Committee will be circulated at a later stage.</w:t>
      </w:r>
    </w:p>
    <w:p w:rsidR="006D1B78" w:rsidRPr="00910CFD" w:rsidRDefault="006D1B78" w:rsidP="006D1B78">
      <w:pPr>
        <w:pStyle w:val="SingleTxtG"/>
        <w:rPr>
          <w:b/>
        </w:rPr>
      </w:pPr>
      <w:r w:rsidRPr="00910CFD">
        <w:rPr>
          <w:b/>
        </w:rPr>
        <w:t>Documentation</w:t>
      </w:r>
    </w:p>
    <w:p w:rsidR="006D1B78" w:rsidRPr="00910CFD" w:rsidRDefault="006D1B78" w:rsidP="006D1B78">
      <w:pPr>
        <w:pStyle w:val="SingleTxtG"/>
      </w:pPr>
      <w:r w:rsidRPr="00910CFD">
        <w:t>ECE/TRANS/2019/22</w:t>
      </w:r>
    </w:p>
    <w:p w:rsidR="006D1B78" w:rsidRPr="00910CFD" w:rsidRDefault="006D1B78" w:rsidP="00436F23">
      <w:pPr>
        <w:pStyle w:val="H1G"/>
        <w:spacing w:before="240"/>
      </w:pPr>
      <w:r w:rsidRPr="00910CFD">
        <w:tab/>
        <w:t>10.</w:t>
      </w:r>
      <w:r w:rsidRPr="00910CFD">
        <w:tab/>
        <w:t xml:space="preserve">Activities of the Commission and report of the Committee to the Executive </w:t>
      </w:r>
      <w:r w:rsidRPr="00802295">
        <w:t>Committee</w:t>
      </w:r>
    </w:p>
    <w:p w:rsidR="006D1B78" w:rsidRPr="00910CFD" w:rsidRDefault="006D1B78" w:rsidP="006D1B78">
      <w:pPr>
        <w:pStyle w:val="SingleTxtG"/>
      </w:pPr>
      <w:r w:rsidRPr="00910CFD">
        <w:t xml:space="preserve">The Committee may wish to </w:t>
      </w:r>
      <w:r w:rsidRPr="00910CFD">
        <w:rPr>
          <w:b/>
        </w:rPr>
        <w:t xml:space="preserve">give guidance to </w:t>
      </w:r>
      <w:r w:rsidRPr="00910CFD">
        <w:t xml:space="preserve">its Chair on the key messages in the report </w:t>
      </w:r>
      <w:r>
        <w:t>—</w:t>
      </w:r>
      <w:r w:rsidRPr="0033075D" w:rsidDel="0033075D">
        <w:t xml:space="preserve"> </w:t>
      </w:r>
      <w:r w:rsidRPr="00910CFD">
        <w:t xml:space="preserve">to be prepared in consultation with the secretariat </w:t>
      </w:r>
      <w:r>
        <w:t>—</w:t>
      </w:r>
      <w:r w:rsidRPr="00910CFD">
        <w:t xml:space="preserve"> to EXCOM at a future session.</w:t>
      </w:r>
    </w:p>
    <w:p w:rsidR="006D1B78" w:rsidRPr="00910CFD" w:rsidRDefault="006D1B78" w:rsidP="00436F23">
      <w:pPr>
        <w:pStyle w:val="H1G"/>
        <w:spacing w:before="240"/>
      </w:pPr>
      <w:r w:rsidRPr="00910CFD">
        <w:tab/>
        <w:t>11.</w:t>
      </w:r>
      <w:r w:rsidRPr="00910CFD">
        <w:tab/>
      </w:r>
      <w:r w:rsidRPr="00802295">
        <w:t>List</w:t>
      </w:r>
      <w:r w:rsidRPr="00910CFD">
        <w:t xml:space="preserve"> of publications for 2020</w:t>
      </w:r>
    </w:p>
    <w:p w:rsidR="006D1B78" w:rsidRPr="00910CFD" w:rsidRDefault="006D1B78" w:rsidP="006D1B78">
      <w:pPr>
        <w:pStyle w:val="SingleTxtG"/>
      </w:pPr>
      <w:r w:rsidRPr="00910CFD">
        <w:t>The secretariat will inform the Committee about the publications programme for 2020, in line with the United Nations management reform.</w:t>
      </w:r>
    </w:p>
    <w:p w:rsidR="006D1B78" w:rsidRPr="00910CFD" w:rsidRDefault="006D1B78" w:rsidP="006D1B78">
      <w:pPr>
        <w:pStyle w:val="SingleTxtG"/>
      </w:pPr>
      <w:r w:rsidRPr="00910CFD">
        <w:rPr>
          <w:b/>
          <w:bCs/>
        </w:rPr>
        <w:t>Documentation</w:t>
      </w:r>
      <w:r w:rsidRPr="00910CFD">
        <w:t xml:space="preserve"> </w:t>
      </w:r>
    </w:p>
    <w:p w:rsidR="006D1B78" w:rsidRPr="00910CFD" w:rsidRDefault="006D1B78" w:rsidP="006D1B78">
      <w:pPr>
        <w:pStyle w:val="SingleTxtG"/>
      </w:pPr>
      <w:r w:rsidRPr="00910CFD">
        <w:t>ECE/TRANS/2019/23</w:t>
      </w:r>
    </w:p>
    <w:p w:rsidR="006D1B78" w:rsidRPr="00910CFD" w:rsidRDefault="006D1B78" w:rsidP="00436F23">
      <w:pPr>
        <w:pStyle w:val="H1G"/>
      </w:pPr>
      <w:r w:rsidRPr="00910CFD">
        <w:tab/>
        <w:t>12.</w:t>
      </w:r>
      <w:r w:rsidRPr="00910CFD">
        <w:tab/>
      </w:r>
      <w:r w:rsidRPr="00436F23">
        <w:t>Programme</w:t>
      </w:r>
      <w:r w:rsidRPr="00910CFD">
        <w:t xml:space="preserve"> Plan for 2020</w:t>
      </w:r>
    </w:p>
    <w:p w:rsidR="006D1B78" w:rsidRPr="00DE5D91" w:rsidRDefault="006D1B78" w:rsidP="006D1B78">
      <w:pPr>
        <w:pStyle w:val="SingleTxtG"/>
      </w:pPr>
      <w:r w:rsidRPr="00DE5D91">
        <w:t xml:space="preserve">The Committee </w:t>
      </w:r>
      <w:r w:rsidRPr="00DE5D91">
        <w:rPr>
          <w:bCs/>
        </w:rPr>
        <w:t>may wish to note</w:t>
      </w:r>
      <w:r w:rsidRPr="00DE5D91">
        <w:t xml:space="preserve"> that in line with information provided at its eightieth annual session (ECE/TRANS/2018/27)</w:t>
      </w:r>
      <w:r>
        <w:t>,</w:t>
      </w:r>
      <w:r w:rsidRPr="00DE5D91">
        <w:t xml:space="preserve"> in December 2017, the seventy-second session of the General Assembly adopted resolution A/72/266 “Shifting the management paradigm in the United Nations.” In this resolution, Member States approved the proposed change from a biennial to an annual budget period on a trial basis, beginning with the programme budget for 2020, and requested the Secretary-General to conduct a review of the budgetary cycle in 2022, following the completion of the first full budgetary cycle. The General Assembly also decided to review at its seventy-seventh session, with a view to taking a final decision, the implementation of the annual budget.</w:t>
      </w:r>
    </w:p>
    <w:p w:rsidR="006D1B78" w:rsidRPr="00DE5D91" w:rsidRDefault="006D1B78" w:rsidP="006D1B78">
      <w:pPr>
        <w:pStyle w:val="SingleTxtG"/>
      </w:pPr>
      <w:r>
        <w:t>T</w:t>
      </w:r>
      <w:r w:rsidRPr="002151BC">
        <w:t xml:space="preserve">he Committee </w:t>
      </w:r>
      <w:r>
        <w:t xml:space="preserve">is invited </w:t>
      </w:r>
      <w:r w:rsidRPr="002151BC">
        <w:t xml:space="preserve">to review and comment on the Programme Plan for 2020 for the </w:t>
      </w:r>
      <w:r>
        <w:t>t</w:t>
      </w:r>
      <w:r w:rsidRPr="002151BC">
        <w:t xml:space="preserve">ransport </w:t>
      </w:r>
      <w:r>
        <w:t>s</w:t>
      </w:r>
      <w:r w:rsidRPr="002151BC">
        <w:t xml:space="preserve">ubprogramme. </w:t>
      </w:r>
      <w:r w:rsidRPr="00DE5D91">
        <w:t>(ECE/TRANS/2019/24).</w:t>
      </w:r>
    </w:p>
    <w:p w:rsidR="006D1B78" w:rsidRPr="00DE5D91" w:rsidRDefault="006D1B78" w:rsidP="006D1B78">
      <w:pPr>
        <w:pStyle w:val="SingleTxtG"/>
      </w:pPr>
      <w:r w:rsidRPr="00DE5D91">
        <w:t xml:space="preserve">The Committee </w:t>
      </w:r>
      <w:r w:rsidRPr="00DE5D91">
        <w:rPr>
          <w:b/>
          <w:bCs/>
        </w:rPr>
        <w:t>may wish to note</w:t>
      </w:r>
      <w:r w:rsidRPr="00DE5D91">
        <w:t xml:space="preserve"> that starting in 2020, the annual </w:t>
      </w:r>
      <w:r>
        <w:t>p</w:t>
      </w:r>
      <w:r w:rsidRPr="00DE5D91">
        <w:t xml:space="preserve">rogramme of </w:t>
      </w:r>
      <w:r>
        <w:t>w</w:t>
      </w:r>
      <w:r w:rsidRPr="00DE5D91">
        <w:t xml:space="preserve">ork of the Committee will replace </w:t>
      </w:r>
      <w:r>
        <w:t>the equivalent document</w:t>
      </w:r>
      <w:r w:rsidRPr="00DE5D91">
        <w:t xml:space="preserve"> with biennial coverage. The Committee may wish to note that due to these changes in the programmatic cycle and related logical framework, programmatic documents with a biennial coverage previously adopted by the Committee, including on evaluation and monitoring, will no longer be relevant for the new programmatic cycle. The Committee therefore may wish to instruct the secretariat to </w:t>
      </w:r>
      <w:r w:rsidRPr="00DE5D91">
        <w:rPr>
          <w:b/>
          <w:bCs/>
        </w:rPr>
        <w:t>discontinue</w:t>
      </w:r>
      <w:r w:rsidRPr="00DE5D91">
        <w:t xml:space="preserve"> their preparation. </w:t>
      </w:r>
    </w:p>
    <w:p w:rsidR="006D1B78" w:rsidRPr="0033075D" w:rsidRDefault="006D1B78" w:rsidP="006D1B78">
      <w:pPr>
        <w:pStyle w:val="SingleTxtG"/>
      </w:pPr>
      <w:r w:rsidRPr="002151BC">
        <w:rPr>
          <w:b/>
          <w:bCs/>
        </w:rPr>
        <w:t>D</w:t>
      </w:r>
      <w:r w:rsidRPr="0033075D">
        <w:rPr>
          <w:b/>
          <w:bCs/>
        </w:rPr>
        <w:t>ocumentation</w:t>
      </w:r>
      <w:r w:rsidRPr="0033075D">
        <w:t xml:space="preserve"> </w:t>
      </w:r>
    </w:p>
    <w:p w:rsidR="006D1B78" w:rsidRPr="00910CFD" w:rsidRDefault="006D1B78" w:rsidP="006D1B78">
      <w:pPr>
        <w:pStyle w:val="SingleTxtG"/>
      </w:pPr>
      <w:r w:rsidRPr="0033075D">
        <w:lastRenderedPageBreak/>
        <w:t>ECE/TRANS/</w:t>
      </w:r>
      <w:r w:rsidRPr="00910CFD">
        <w:t>2019/24</w:t>
      </w:r>
    </w:p>
    <w:p w:rsidR="006D1B78" w:rsidRPr="00802295" w:rsidRDefault="006D1B78" w:rsidP="00436F23">
      <w:pPr>
        <w:pStyle w:val="H1G"/>
      </w:pPr>
      <w:r w:rsidRPr="00802295">
        <w:tab/>
        <w:t>13.</w:t>
      </w:r>
      <w:r w:rsidRPr="00802295">
        <w:tab/>
        <w:t xml:space="preserve">Schedule of </w:t>
      </w:r>
      <w:r w:rsidRPr="00436F23">
        <w:t>meetings</w:t>
      </w:r>
      <w:r w:rsidRPr="00802295">
        <w:t xml:space="preserve"> in 2019</w:t>
      </w:r>
    </w:p>
    <w:p w:rsidR="006D1B78" w:rsidRPr="00910CFD" w:rsidRDefault="006D1B78" w:rsidP="006D1B78">
      <w:pPr>
        <w:pStyle w:val="SingleTxtG"/>
      </w:pPr>
      <w:r w:rsidRPr="00910CFD">
        <w:t xml:space="preserve">A preliminary list of meetings has been circulated for </w:t>
      </w:r>
      <w:r w:rsidRPr="00910CFD">
        <w:rPr>
          <w:b/>
          <w:bCs/>
        </w:rPr>
        <w:t>consideration</w:t>
      </w:r>
      <w:r w:rsidRPr="00910CFD">
        <w:t xml:space="preserve"> and </w:t>
      </w:r>
      <w:r w:rsidRPr="00910CFD">
        <w:rPr>
          <w:b/>
          <w:bCs/>
        </w:rPr>
        <w:t>adoption</w:t>
      </w:r>
      <w:r w:rsidRPr="00910CFD">
        <w:t xml:space="preserve"> by the Committee, based on proposals from the Committee’s subsidiary bodies.</w:t>
      </w:r>
    </w:p>
    <w:p w:rsidR="006D1B78" w:rsidRPr="00D13786" w:rsidRDefault="006D1B78" w:rsidP="006D1B78">
      <w:pPr>
        <w:pStyle w:val="SingleTxtG"/>
        <w:rPr>
          <w:b/>
          <w:bCs/>
        </w:rPr>
      </w:pPr>
      <w:r w:rsidRPr="00D13786">
        <w:rPr>
          <w:b/>
          <w:bCs/>
        </w:rPr>
        <w:t>Documentation</w:t>
      </w:r>
    </w:p>
    <w:p w:rsidR="006D1B78" w:rsidRPr="00D13786" w:rsidRDefault="006D1B78" w:rsidP="006D1B78">
      <w:pPr>
        <w:pStyle w:val="SingleTxtG"/>
      </w:pPr>
      <w:r w:rsidRPr="00D13786">
        <w:rPr>
          <w:bCs/>
        </w:rPr>
        <w:t>ECE/TRANS/2019/25</w:t>
      </w:r>
    </w:p>
    <w:p w:rsidR="006D1B78" w:rsidRPr="00D13786" w:rsidRDefault="006D1B78" w:rsidP="00436F23">
      <w:pPr>
        <w:pStyle w:val="HChG"/>
      </w:pPr>
      <w:r w:rsidRPr="00D13786">
        <w:tab/>
        <w:t>V.</w:t>
      </w:r>
      <w:r w:rsidRPr="00D13786">
        <w:tab/>
      </w:r>
      <w:r w:rsidRPr="00436F23">
        <w:t>Miscellaneous</w:t>
      </w:r>
    </w:p>
    <w:p w:rsidR="006D1B78" w:rsidRPr="00802295" w:rsidRDefault="006D1B78" w:rsidP="00436F23">
      <w:pPr>
        <w:pStyle w:val="H1G"/>
      </w:pPr>
      <w:r w:rsidRPr="00D13786">
        <w:rPr>
          <w:b w:val="0"/>
        </w:rPr>
        <w:tab/>
      </w:r>
      <w:r w:rsidRPr="00802295">
        <w:t>14.</w:t>
      </w:r>
      <w:r w:rsidRPr="00802295">
        <w:tab/>
        <w:t>Any other business. Date of next session</w:t>
      </w:r>
    </w:p>
    <w:p w:rsidR="006D1B78" w:rsidRPr="00910CFD" w:rsidRDefault="006D1B78" w:rsidP="006D1B78">
      <w:pPr>
        <w:pStyle w:val="SingleTxtG"/>
      </w:pPr>
      <w:r w:rsidRPr="00910CFD">
        <w:t>The Committee may</w:t>
      </w:r>
      <w:r>
        <w:t xml:space="preserve"> wish to</w:t>
      </w:r>
      <w:r w:rsidRPr="002151BC">
        <w:t xml:space="preserve"> </w:t>
      </w:r>
      <w:r w:rsidRPr="0033075D">
        <w:rPr>
          <w:b/>
        </w:rPr>
        <w:t>note</w:t>
      </w:r>
      <w:r w:rsidRPr="0033075D">
        <w:t xml:space="preserve"> that its eighty-second</w:t>
      </w:r>
      <w:r w:rsidRPr="00910CFD">
        <w:t xml:space="preserve"> session is tentatively scheduled to be held in Geneva from 24 to 27 February 2020.</w:t>
      </w:r>
    </w:p>
    <w:p w:rsidR="006D1B78" w:rsidRPr="002151BC" w:rsidRDefault="006D1B78" w:rsidP="006D1B78">
      <w:pPr>
        <w:pStyle w:val="HChG"/>
      </w:pPr>
      <w:r w:rsidRPr="00910CFD">
        <w:tab/>
      </w:r>
      <w:r w:rsidRPr="00DE5D91">
        <w:t>VI.</w:t>
      </w:r>
      <w:r w:rsidRPr="002151BC">
        <w:tab/>
        <w:t>List of decisions</w:t>
      </w:r>
    </w:p>
    <w:p w:rsidR="006D1B78" w:rsidRPr="00910CFD" w:rsidRDefault="006D1B78" w:rsidP="006D1B78">
      <w:pPr>
        <w:pStyle w:val="H1G"/>
      </w:pPr>
      <w:r w:rsidRPr="00910CFD">
        <w:tab/>
        <w:t>15.</w:t>
      </w:r>
      <w:r w:rsidRPr="00910CFD">
        <w:tab/>
      </w:r>
      <w:r w:rsidRPr="00802295">
        <w:t>Adoption</w:t>
      </w:r>
      <w:r w:rsidRPr="00910CFD">
        <w:t xml:space="preserve"> of the list of main decisions of the eighty-first session</w:t>
      </w:r>
    </w:p>
    <w:p w:rsidR="006D1B78" w:rsidRPr="00910CFD" w:rsidRDefault="006D1B78" w:rsidP="006D1B78">
      <w:pPr>
        <w:pStyle w:val="SingleTxtG"/>
      </w:pPr>
      <w:r w:rsidRPr="00910CFD">
        <w:t xml:space="preserve">The Committee will </w:t>
      </w:r>
      <w:r w:rsidRPr="00910CFD">
        <w:rPr>
          <w:b/>
        </w:rPr>
        <w:t>adopt</w:t>
      </w:r>
      <w:r w:rsidRPr="00910CFD">
        <w:t xml:space="preserve"> the list of main decisions of the eighty-first session.</w:t>
      </w:r>
    </w:p>
    <w:p w:rsidR="006D1B78" w:rsidRPr="002151BC" w:rsidRDefault="006D1B78" w:rsidP="00436F23">
      <w:pPr>
        <w:pStyle w:val="HChG"/>
      </w:pPr>
      <w:r w:rsidRPr="00910CFD">
        <w:tab/>
      </w:r>
      <w:bookmarkStart w:id="7" w:name="_Hlk531879851"/>
      <w:r w:rsidRPr="00DE5D91">
        <w:t>VII.</w:t>
      </w:r>
      <w:r w:rsidRPr="002151BC">
        <w:tab/>
      </w:r>
      <w:r w:rsidRPr="00436F23">
        <w:t>Tentative</w:t>
      </w:r>
      <w:r w:rsidRPr="002151BC">
        <w:t xml:space="preserve"> timetable</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6D1B78" w:rsidRPr="00910CFD" w:rsidTr="00022B01">
        <w:tc>
          <w:tcPr>
            <w:tcW w:w="2456" w:type="dxa"/>
            <w:tcBorders>
              <w:top w:val="single" w:sz="4" w:space="0" w:color="auto"/>
              <w:bottom w:val="single" w:sz="4" w:space="0" w:color="auto"/>
            </w:tcBorders>
            <w:shd w:val="clear" w:color="auto" w:fill="auto"/>
            <w:vAlign w:val="bottom"/>
          </w:tcPr>
          <w:p w:rsidR="006D1B78" w:rsidRPr="00910CFD" w:rsidRDefault="006D1B78" w:rsidP="00022B01">
            <w:pPr>
              <w:keepNext/>
              <w:keepLines/>
              <w:spacing w:before="80" w:after="80" w:line="200" w:lineRule="exact"/>
              <w:ind w:right="113"/>
            </w:pPr>
            <w:r w:rsidRPr="0033075D">
              <w:t>Tuesday, 19</w:t>
            </w:r>
            <w:r w:rsidRPr="00910CFD">
              <w:t xml:space="preserve"> February</w:t>
            </w:r>
          </w:p>
        </w:tc>
        <w:tc>
          <w:tcPr>
            <w:tcW w:w="2457" w:type="dxa"/>
            <w:tcBorders>
              <w:top w:val="single" w:sz="4" w:space="0" w:color="auto"/>
              <w:bottom w:val="single" w:sz="4" w:space="0" w:color="auto"/>
            </w:tcBorders>
            <w:shd w:val="clear" w:color="auto" w:fill="auto"/>
            <w:vAlign w:val="bottom"/>
          </w:tcPr>
          <w:p w:rsidR="006D1B78" w:rsidRPr="00910CFD" w:rsidRDefault="006D1B78" w:rsidP="00022B01">
            <w:pPr>
              <w:keepNext/>
              <w:keepLines/>
              <w:spacing w:before="80" w:after="80" w:line="200" w:lineRule="exact"/>
              <w:ind w:right="113"/>
            </w:pPr>
            <w:r w:rsidRPr="00910CFD">
              <w:t>10.00 a.m. - 1.00 p.m.</w:t>
            </w:r>
          </w:p>
        </w:tc>
        <w:tc>
          <w:tcPr>
            <w:tcW w:w="2457" w:type="dxa"/>
            <w:tcBorders>
              <w:top w:val="single" w:sz="4" w:space="0" w:color="auto"/>
              <w:bottom w:val="single" w:sz="4" w:space="0" w:color="auto"/>
            </w:tcBorders>
            <w:shd w:val="clear" w:color="auto" w:fill="auto"/>
            <w:vAlign w:val="bottom"/>
          </w:tcPr>
          <w:p w:rsidR="006D1B78" w:rsidRPr="00910CFD" w:rsidRDefault="006D1B78" w:rsidP="00022B01">
            <w:pPr>
              <w:keepNext/>
              <w:keepLines/>
              <w:spacing w:before="80" w:after="80" w:line="200" w:lineRule="exact"/>
              <w:ind w:right="113"/>
            </w:pPr>
            <w:r w:rsidRPr="00910CFD">
              <w:t>Items 1,2</w:t>
            </w:r>
          </w:p>
        </w:tc>
      </w:tr>
      <w:tr w:rsidR="006D1B78" w:rsidRPr="00910CFD" w:rsidTr="00022B01">
        <w:tc>
          <w:tcPr>
            <w:tcW w:w="2456" w:type="dxa"/>
            <w:tcBorders>
              <w:top w:val="single" w:sz="4" w:space="0" w:color="auto"/>
              <w:bottom w:val="single" w:sz="4" w:space="0" w:color="auto"/>
            </w:tcBorders>
            <w:shd w:val="clear" w:color="auto" w:fill="auto"/>
            <w:vAlign w:val="bottom"/>
          </w:tcPr>
          <w:p w:rsidR="006D1B78" w:rsidRPr="002151BC" w:rsidRDefault="006D1B78" w:rsidP="00022B01">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rsidR="006D1B78" w:rsidRPr="00633445" w:rsidRDefault="006D1B78" w:rsidP="00022B01">
            <w:pPr>
              <w:keepNext/>
              <w:keepLines/>
              <w:spacing w:before="80" w:after="80" w:line="200" w:lineRule="exact"/>
              <w:ind w:right="113"/>
            </w:pPr>
            <w:r w:rsidRPr="00633445">
              <w:t xml:space="preserve"> 3.00 p.m. - 6.00 p.m.</w:t>
            </w:r>
          </w:p>
        </w:tc>
        <w:tc>
          <w:tcPr>
            <w:tcW w:w="2457" w:type="dxa"/>
            <w:tcBorders>
              <w:top w:val="single" w:sz="4" w:space="0" w:color="auto"/>
              <w:bottom w:val="single" w:sz="4" w:space="0" w:color="auto"/>
            </w:tcBorders>
            <w:shd w:val="clear" w:color="auto" w:fill="auto"/>
            <w:vAlign w:val="bottom"/>
          </w:tcPr>
          <w:p w:rsidR="006D1B78" w:rsidRPr="00633445" w:rsidRDefault="006D1B78" w:rsidP="00022B01">
            <w:pPr>
              <w:keepNext/>
              <w:keepLines/>
              <w:spacing w:before="80" w:after="80" w:line="200" w:lineRule="exact"/>
              <w:ind w:right="113"/>
            </w:pPr>
            <w:r w:rsidRPr="00633445">
              <w:t>Item 3 (restricted session)</w:t>
            </w:r>
          </w:p>
        </w:tc>
      </w:tr>
      <w:tr w:rsidR="006D1B78" w:rsidRPr="00910CFD" w:rsidTr="00022B01">
        <w:tc>
          <w:tcPr>
            <w:tcW w:w="2456" w:type="dxa"/>
            <w:tcBorders>
              <w:top w:val="single" w:sz="4" w:space="0" w:color="auto"/>
              <w:bottom w:val="single" w:sz="4" w:space="0" w:color="auto"/>
            </w:tcBorders>
            <w:shd w:val="clear" w:color="auto" w:fill="auto"/>
            <w:vAlign w:val="bottom"/>
          </w:tcPr>
          <w:p w:rsidR="006D1B78" w:rsidRPr="0033075D" w:rsidRDefault="006D1B78" w:rsidP="00022B01">
            <w:pPr>
              <w:keepNext/>
              <w:keepLines/>
              <w:spacing w:before="80" w:after="80" w:line="200" w:lineRule="exact"/>
              <w:ind w:right="113"/>
            </w:pPr>
            <w:r w:rsidRPr="002151BC">
              <w:t xml:space="preserve">Wednesday, </w:t>
            </w:r>
            <w:r w:rsidRPr="0033075D">
              <w:t>20 February</w:t>
            </w:r>
          </w:p>
        </w:tc>
        <w:tc>
          <w:tcPr>
            <w:tcW w:w="2457" w:type="dxa"/>
            <w:tcBorders>
              <w:top w:val="single" w:sz="4" w:space="0" w:color="auto"/>
              <w:bottom w:val="single" w:sz="4" w:space="0" w:color="auto"/>
            </w:tcBorders>
            <w:shd w:val="clear" w:color="auto" w:fill="auto"/>
            <w:vAlign w:val="bottom"/>
          </w:tcPr>
          <w:p w:rsidR="006D1B78" w:rsidRPr="00910CFD" w:rsidRDefault="006D1B78" w:rsidP="00022B01">
            <w:pPr>
              <w:keepNext/>
              <w:keepLines/>
              <w:spacing w:before="80" w:after="80" w:line="200" w:lineRule="exact"/>
              <w:ind w:right="113"/>
            </w:pPr>
            <w:r w:rsidRPr="00910CFD">
              <w:t xml:space="preserve">10.00 a.m. - 1.00 p.m. </w:t>
            </w:r>
          </w:p>
        </w:tc>
        <w:tc>
          <w:tcPr>
            <w:tcW w:w="2457" w:type="dxa"/>
            <w:tcBorders>
              <w:top w:val="single" w:sz="4" w:space="0" w:color="auto"/>
              <w:bottom w:val="single" w:sz="4" w:space="0" w:color="auto"/>
            </w:tcBorders>
            <w:shd w:val="clear" w:color="auto" w:fill="auto"/>
            <w:vAlign w:val="bottom"/>
          </w:tcPr>
          <w:p w:rsidR="006D1B78" w:rsidRPr="00910CFD" w:rsidRDefault="006D1B78" w:rsidP="00022B01">
            <w:pPr>
              <w:keepNext/>
              <w:keepLines/>
              <w:spacing w:before="80" w:after="80" w:line="200" w:lineRule="exact"/>
              <w:ind w:right="113"/>
            </w:pPr>
            <w:r w:rsidRPr="00910CFD">
              <w:t xml:space="preserve">Item 4 </w:t>
            </w:r>
          </w:p>
        </w:tc>
      </w:tr>
      <w:tr w:rsidR="006D1B78" w:rsidRPr="00910CFD" w:rsidTr="00022B01">
        <w:tc>
          <w:tcPr>
            <w:tcW w:w="2456" w:type="dxa"/>
            <w:tcBorders>
              <w:top w:val="single" w:sz="4" w:space="0" w:color="auto"/>
              <w:bottom w:val="single" w:sz="4" w:space="0" w:color="auto"/>
            </w:tcBorders>
            <w:shd w:val="clear" w:color="auto" w:fill="auto"/>
            <w:vAlign w:val="bottom"/>
          </w:tcPr>
          <w:p w:rsidR="006D1B78" w:rsidRPr="002151BC" w:rsidRDefault="006D1B78" w:rsidP="00022B01">
            <w:pPr>
              <w:keepNext/>
              <w:keepLines/>
              <w:spacing w:before="80" w:after="80" w:line="200" w:lineRule="exact"/>
              <w:ind w:right="113"/>
            </w:pPr>
          </w:p>
        </w:tc>
        <w:tc>
          <w:tcPr>
            <w:tcW w:w="2457" w:type="dxa"/>
            <w:tcBorders>
              <w:top w:val="single" w:sz="4" w:space="0" w:color="auto"/>
              <w:bottom w:val="single" w:sz="4" w:space="0" w:color="auto"/>
            </w:tcBorders>
            <w:shd w:val="clear" w:color="auto" w:fill="auto"/>
            <w:vAlign w:val="bottom"/>
          </w:tcPr>
          <w:p w:rsidR="006D1B78" w:rsidRPr="0033075D" w:rsidRDefault="006D1B78" w:rsidP="00022B01">
            <w:pPr>
              <w:keepNext/>
              <w:keepLines/>
              <w:spacing w:before="80" w:after="80" w:line="200" w:lineRule="exact"/>
              <w:ind w:right="113"/>
            </w:pPr>
            <w:r w:rsidRPr="0033075D">
              <w:t>3.00 p.m. - 6.00 p.m.</w:t>
            </w:r>
          </w:p>
        </w:tc>
        <w:tc>
          <w:tcPr>
            <w:tcW w:w="2457" w:type="dxa"/>
            <w:tcBorders>
              <w:top w:val="single" w:sz="4" w:space="0" w:color="auto"/>
              <w:bottom w:val="single" w:sz="4" w:space="0" w:color="auto"/>
            </w:tcBorders>
            <w:shd w:val="clear" w:color="auto" w:fill="auto"/>
            <w:vAlign w:val="bottom"/>
          </w:tcPr>
          <w:p w:rsidR="006D1B78" w:rsidRPr="00910CFD" w:rsidRDefault="006D1B78" w:rsidP="00022B01">
            <w:pPr>
              <w:keepNext/>
              <w:keepLines/>
              <w:spacing w:before="80" w:after="80" w:line="200" w:lineRule="exact"/>
              <w:ind w:right="113"/>
            </w:pPr>
            <w:r w:rsidRPr="0033075D">
              <w:t xml:space="preserve">Items 4 </w:t>
            </w:r>
            <w:r w:rsidRPr="00910CFD">
              <w:t xml:space="preserve">(cont’d) and 5 </w:t>
            </w:r>
          </w:p>
        </w:tc>
      </w:tr>
      <w:tr w:rsidR="006D1B78" w:rsidRPr="00910CFD" w:rsidTr="00022B01">
        <w:tc>
          <w:tcPr>
            <w:tcW w:w="2456" w:type="dxa"/>
            <w:tcBorders>
              <w:top w:val="single" w:sz="4" w:space="0" w:color="auto"/>
              <w:bottom w:val="single" w:sz="4" w:space="0" w:color="auto"/>
            </w:tcBorders>
            <w:shd w:val="clear" w:color="auto" w:fill="auto"/>
          </w:tcPr>
          <w:p w:rsidR="006D1B78" w:rsidRPr="0033075D" w:rsidRDefault="006D1B78" w:rsidP="00022B01">
            <w:pPr>
              <w:keepNext/>
              <w:keepLines/>
              <w:spacing w:before="40" w:after="120"/>
              <w:ind w:right="113"/>
            </w:pPr>
            <w:r w:rsidRPr="002151BC">
              <w:t xml:space="preserve">Thursday, </w:t>
            </w:r>
            <w:r w:rsidRPr="0033075D">
              <w:t>21 February</w:t>
            </w:r>
          </w:p>
        </w:tc>
        <w:tc>
          <w:tcPr>
            <w:tcW w:w="2457" w:type="dxa"/>
            <w:tcBorders>
              <w:top w:val="single" w:sz="4" w:space="0" w:color="auto"/>
              <w:bottom w:val="single" w:sz="4" w:space="0" w:color="auto"/>
            </w:tcBorders>
            <w:shd w:val="clear" w:color="auto" w:fill="auto"/>
          </w:tcPr>
          <w:p w:rsidR="006D1B78" w:rsidRPr="00910CFD" w:rsidRDefault="006D1B78" w:rsidP="00022B01">
            <w:pPr>
              <w:keepNext/>
              <w:keepLines/>
              <w:spacing w:before="40" w:after="120"/>
              <w:ind w:right="113"/>
            </w:pPr>
            <w:r w:rsidRPr="00910CFD">
              <w:t xml:space="preserve">10.00 a.m. - 1.00 p.m. </w:t>
            </w:r>
          </w:p>
        </w:tc>
        <w:tc>
          <w:tcPr>
            <w:tcW w:w="2457" w:type="dxa"/>
            <w:tcBorders>
              <w:top w:val="single" w:sz="4" w:space="0" w:color="auto"/>
              <w:bottom w:val="single" w:sz="4" w:space="0" w:color="auto"/>
            </w:tcBorders>
            <w:shd w:val="clear" w:color="auto" w:fill="auto"/>
          </w:tcPr>
          <w:p w:rsidR="006D1B78" w:rsidRPr="00910CFD" w:rsidRDefault="006D1B78" w:rsidP="00022B01">
            <w:pPr>
              <w:keepNext/>
              <w:keepLines/>
              <w:spacing w:before="40" w:after="120"/>
              <w:ind w:right="113"/>
            </w:pPr>
            <w:r w:rsidRPr="00910CFD">
              <w:t>Item 5 (cont’d)</w:t>
            </w:r>
          </w:p>
        </w:tc>
      </w:tr>
      <w:tr w:rsidR="006D1B78" w:rsidRPr="00910CFD" w:rsidTr="00022B01">
        <w:tc>
          <w:tcPr>
            <w:tcW w:w="2456" w:type="dxa"/>
            <w:tcBorders>
              <w:top w:val="single" w:sz="4" w:space="0" w:color="auto"/>
              <w:bottom w:val="single" w:sz="4" w:space="0" w:color="auto"/>
            </w:tcBorders>
            <w:shd w:val="clear" w:color="auto" w:fill="auto"/>
          </w:tcPr>
          <w:p w:rsidR="006D1B78" w:rsidRPr="002151BC" w:rsidRDefault="006D1B78" w:rsidP="00022B01">
            <w:pPr>
              <w:keepNext/>
              <w:keepLines/>
              <w:spacing w:before="40" w:after="120"/>
              <w:ind w:right="113"/>
            </w:pPr>
          </w:p>
        </w:tc>
        <w:tc>
          <w:tcPr>
            <w:tcW w:w="2457" w:type="dxa"/>
            <w:tcBorders>
              <w:top w:val="single" w:sz="4" w:space="0" w:color="auto"/>
              <w:bottom w:val="single" w:sz="4" w:space="0" w:color="auto"/>
            </w:tcBorders>
            <w:shd w:val="clear" w:color="auto" w:fill="auto"/>
          </w:tcPr>
          <w:p w:rsidR="006D1B78" w:rsidRPr="0033075D" w:rsidRDefault="006D1B78" w:rsidP="00022B01">
            <w:pPr>
              <w:keepNext/>
              <w:keepLines/>
              <w:spacing w:before="40" w:after="120"/>
              <w:ind w:right="113"/>
            </w:pPr>
            <w:r w:rsidRPr="0033075D">
              <w:t>3.00 p.m. - 6.00 p.m.</w:t>
            </w:r>
          </w:p>
        </w:tc>
        <w:tc>
          <w:tcPr>
            <w:tcW w:w="2457" w:type="dxa"/>
            <w:tcBorders>
              <w:top w:val="single" w:sz="4" w:space="0" w:color="auto"/>
              <w:bottom w:val="single" w:sz="4" w:space="0" w:color="auto"/>
            </w:tcBorders>
            <w:shd w:val="clear" w:color="auto" w:fill="auto"/>
          </w:tcPr>
          <w:p w:rsidR="006D1B78" w:rsidRPr="00910CFD" w:rsidRDefault="006D1B78" w:rsidP="00022B01">
            <w:pPr>
              <w:keepNext/>
              <w:keepLines/>
              <w:spacing w:before="40" w:after="120"/>
              <w:ind w:right="113"/>
            </w:pPr>
            <w:r w:rsidRPr="0033075D">
              <w:t>Items 6-14</w:t>
            </w:r>
          </w:p>
        </w:tc>
      </w:tr>
      <w:tr w:rsidR="006D1B78" w:rsidRPr="00910CFD" w:rsidTr="00022B01">
        <w:tc>
          <w:tcPr>
            <w:tcW w:w="2456" w:type="dxa"/>
            <w:tcBorders>
              <w:top w:val="single" w:sz="4" w:space="0" w:color="auto"/>
              <w:bottom w:val="single" w:sz="4" w:space="0" w:color="auto"/>
            </w:tcBorders>
            <w:shd w:val="clear" w:color="auto" w:fill="auto"/>
          </w:tcPr>
          <w:p w:rsidR="006D1B78" w:rsidRPr="00910CFD" w:rsidRDefault="006D1B78" w:rsidP="00022B01">
            <w:pPr>
              <w:keepNext/>
              <w:keepLines/>
              <w:spacing w:before="40" w:after="120"/>
              <w:ind w:right="113"/>
            </w:pPr>
            <w:r w:rsidRPr="002151BC">
              <w:t xml:space="preserve">Friday, </w:t>
            </w:r>
            <w:r w:rsidRPr="0033075D">
              <w:t>22 Fe</w:t>
            </w:r>
            <w:r w:rsidRPr="00910CFD">
              <w:t>bruary</w:t>
            </w:r>
          </w:p>
        </w:tc>
        <w:tc>
          <w:tcPr>
            <w:tcW w:w="2457" w:type="dxa"/>
            <w:tcBorders>
              <w:top w:val="single" w:sz="4" w:space="0" w:color="auto"/>
              <w:bottom w:val="single" w:sz="4" w:space="0" w:color="auto"/>
            </w:tcBorders>
            <w:shd w:val="clear" w:color="auto" w:fill="auto"/>
          </w:tcPr>
          <w:p w:rsidR="006D1B78" w:rsidRPr="00910CFD" w:rsidRDefault="006D1B78" w:rsidP="00022B01">
            <w:pPr>
              <w:keepNext/>
              <w:keepLines/>
              <w:spacing w:before="40" w:after="120"/>
              <w:ind w:right="113"/>
            </w:pPr>
            <w:r w:rsidRPr="00910CFD">
              <w:t xml:space="preserve">10.00 a.m. - 1.00 p.m. </w:t>
            </w:r>
          </w:p>
        </w:tc>
        <w:tc>
          <w:tcPr>
            <w:tcW w:w="2457" w:type="dxa"/>
            <w:tcBorders>
              <w:top w:val="single" w:sz="4" w:space="0" w:color="auto"/>
              <w:bottom w:val="single" w:sz="4" w:space="0" w:color="auto"/>
            </w:tcBorders>
            <w:shd w:val="clear" w:color="auto" w:fill="auto"/>
          </w:tcPr>
          <w:p w:rsidR="006D1B78" w:rsidRPr="00910CFD" w:rsidRDefault="006D1B78" w:rsidP="00022B01">
            <w:pPr>
              <w:keepNext/>
              <w:keepLines/>
              <w:spacing w:before="40" w:after="120"/>
              <w:ind w:right="113"/>
            </w:pPr>
            <w:r w:rsidRPr="00910CFD">
              <w:t>Item 15</w:t>
            </w:r>
          </w:p>
        </w:tc>
      </w:tr>
    </w:tbl>
    <w:bookmarkEnd w:id="7"/>
    <w:p w:rsidR="00F507EC" w:rsidRPr="006D1B78" w:rsidRDefault="006D1B78" w:rsidP="00436F23">
      <w:pPr>
        <w:spacing w:before="240"/>
        <w:ind w:left="1134" w:right="1134"/>
        <w:jc w:val="center"/>
      </w:pPr>
      <w:r w:rsidRPr="00910CFD">
        <w:rPr>
          <w:u w:val="single"/>
        </w:rPr>
        <w:tab/>
      </w:r>
      <w:r w:rsidRPr="00910CFD">
        <w:rPr>
          <w:u w:val="single"/>
        </w:rPr>
        <w:tab/>
      </w:r>
      <w:r w:rsidRPr="00910CFD">
        <w:rPr>
          <w:u w:val="single"/>
        </w:rPr>
        <w:tab/>
      </w:r>
    </w:p>
    <w:sectPr w:rsidR="00F507EC" w:rsidRPr="006D1B78" w:rsidSect="006D1B7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B78" w:rsidRDefault="006D1B78"/>
  </w:endnote>
  <w:endnote w:type="continuationSeparator" w:id="0">
    <w:p w:rsidR="006D1B78" w:rsidRDefault="006D1B78"/>
  </w:endnote>
  <w:endnote w:type="continuationNotice" w:id="1">
    <w:p w:rsidR="006D1B78" w:rsidRDefault="006D1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78" w:rsidRPr="006D1B78" w:rsidRDefault="006D1B78" w:rsidP="006D1B78">
    <w:pPr>
      <w:pStyle w:val="Footer"/>
      <w:tabs>
        <w:tab w:val="right" w:pos="9638"/>
      </w:tabs>
      <w:rPr>
        <w:sz w:val="18"/>
      </w:rPr>
    </w:pPr>
    <w:r w:rsidRPr="006D1B78">
      <w:rPr>
        <w:b/>
        <w:sz w:val="18"/>
      </w:rPr>
      <w:fldChar w:fldCharType="begin"/>
    </w:r>
    <w:r w:rsidRPr="006D1B78">
      <w:rPr>
        <w:b/>
        <w:sz w:val="18"/>
      </w:rPr>
      <w:instrText xml:space="preserve"> PAGE  \* MERGEFORMAT </w:instrText>
    </w:r>
    <w:r w:rsidRPr="006D1B78">
      <w:rPr>
        <w:b/>
        <w:sz w:val="18"/>
      </w:rPr>
      <w:fldChar w:fldCharType="separate"/>
    </w:r>
    <w:r w:rsidRPr="006D1B78">
      <w:rPr>
        <w:b/>
        <w:noProof/>
        <w:sz w:val="18"/>
      </w:rPr>
      <w:t>2</w:t>
    </w:r>
    <w:r w:rsidRPr="006D1B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78" w:rsidRPr="006D1B78" w:rsidRDefault="006D1B78" w:rsidP="006D1B78">
    <w:pPr>
      <w:pStyle w:val="Footer"/>
      <w:tabs>
        <w:tab w:val="right" w:pos="9638"/>
      </w:tabs>
      <w:rPr>
        <w:b/>
        <w:sz w:val="18"/>
      </w:rPr>
    </w:pPr>
    <w:r>
      <w:tab/>
    </w:r>
    <w:r w:rsidRPr="006D1B78">
      <w:rPr>
        <w:b/>
        <w:sz w:val="18"/>
      </w:rPr>
      <w:fldChar w:fldCharType="begin"/>
    </w:r>
    <w:r w:rsidRPr="006D1B78">
      <w:rPr>
        <w:b/>
        <w:sz w:val="18"/>
      </w:rPr>
      <w:instrText xml:space="preserve"> PAGE  \* MERGEFORMAT </w:instrText>
    </w:r>
    <w:r w:rsidRPr="006D1B78">
      <w:rPr>
        <w:b/>
        <w:sz w:val="18"/>
      </w:rPr>
      <w:fldChar w:fldCharType="separate"/>
    </w:r>
    <w:r w:rsidRPr="006D1B78">
      <w:rPr>
        <w:b/>
        <w:noProof/>
        <w:sz w:val="18"/>
      </w:rPr>
      <w:t>3</w:t>
    </w:r>
    <w:r w:rsidRPr="006D1B7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B78" w:rsidRPr="000B175B" w:rsidRDefault="006D1B78" w:rsidP="000B175B">
      <w:pPr>
        <w:tabs>
          <w:tab w:val="right" w:pos="2155"/>
        </w:tabs>
        <w:spacing w:after="80"/>
        <w:ind w:left="680"/>
        <w:rPr>
          <w:u w:val="single"/>
        </w:rPr>
      </w:pPr>
      <w:r>
        <w:rPr>
          <w:u w:val="single"/>
        </w:rPr>
        <w:tab/>
      </w:r>
    </w:p>
  </w:footnote>
  <w:footnote w:type="continuationSeparator" w:id="0">
    <w:p w:rsidR="006D1B78" w:rsidRPr="00FC68B7" w:rsidRDefault="006D1B78" w:rsidP="00FC68B7">
      <w:pPr>
        <w:tabs>
          <w:tab w:val="left" w:pos="2155"/>
        </w:tabs>
        <w:spacing w:after="80"/>
        <w:ind w:left="680"/>
        <w:rPr>
          <w:u w:val="single"/>
        </w:rPr>
      </w:pPr>
      <w:r>
        <w:rPr>
          <w:u w:val="single"/>
        </w:rPr>
        <w:tab/>
      </w:r>
    </w:p>
  </w:footnote>
  <w:footnote w:type="continuationNotice" w:id="1">
    <w:p w:rsidR="006D1B78" w:rsidRDefault="006D1B78"/>
  </w:footnote>
  <w:footnote w:id="2">
    <w:p w:rsidR="006D1B78" w:rsidRPr="001170F2" w:rsidRDefault="006D1B78" w:rsidP="006D1B78">
      <w:pPr>
        <w:pStyle w:val="FootnoteText"/>
        <w:widowControl w:val="0"/>
        <w:tabs>
          <w:tab w:val="clear" w:pos="1021"/>
          <w:tab w:val="right" w:pos="1020"/>
        </w:tabs>
        <w:rPr>
          <w:lang w:val="en-US"/>
        </w:rPr>
      </w:pPr>
      <w:r>
        <w:tab/>
      </w:r>
      <w:r>
        <w:rPr>
          <w:rStyle w:val="FootnoteReference"/>
        </w:rPr>
        <w:footnoteRef/>
      </w:r>
      <w:r>
        <w:tab/>
      </w:r>
      <w:r w:rsidRPr="00D13786">
        <w:t>Originally developed by UNECE with funding from the United Nations Development Account.</w:t>
      </w:r>
      <w:r>
        <w:t xml:space="preserve"> </w:t>
      </w:r>
    </w:p>
  </w:footnote>
  <w:footnote w:id="3">
    <w:p w:rsidR="006D1B78" w:rsidRPr="001170F2" w:rsidRDefault="006D1B78" w:rsidP="006D1B78">
      <w:pPr>
        <w:pStyle w:val="FootnoteText"/>
        <w:widowControl w:val="0"/>
        <w:tabs>
          <w:tab w:val="clear" w:pos="1021"/>
          <w:tab w:val="right" w:pos="1020"/>
        </w:tabs>
        <w:rPr>
          <w:lang w:val="en-US"/>
        </w:rPr>
      </w:pPr>
      <w:r>
        <w:tab/>
      </w:r>
      <w:r>
        <w:rPr>
          <w:rStyle w:val="FootnoteReference"/>
        </w:rPr>
        <w:footnoteRef/>
      </w:r>
      <w:r>
        <w:tab/>
      </w:r>
      <w:r w:rsidRPr="00D13786">
        <w:t>Twenty-</w:t>
      </w:r>
      <w:r>
        <w:t>fourth</w:t>
      </w:r>
      <w:r w:rsidRPr="00D13786">
        <w:t xml:space="preserve"> session of the Conference of the Parties to the United Nations Framework Convention on Climate Change</w:t>
      </w:r>
      <w:r w:rsidR="009D4DB0">
        <w:t>.</w:t>
      </w:r>
    </w:p>
  </w:footnote>
  <w:footnote w:id="4">
    <w:p w:rsidR="006D1B78" w:rsidRPr="001170F2" w:rsidRDefault="006D1B78" w:rsidP="006D1B78">
      <w:pPr>
        <w:pStyle w:val="FootnoteText"/>
        <w:widowControl w:val="0"/>
        <w:tabs>
          <w:tab w:val="clear" w:pos="1021"/>
          <w:tab w:val="right" w:pos="1020"/>
        </w:tabs>
        <w:rPr>
          <w:lang w:val="en-US"/>
        </w:rPr>
      </w:pPr>
      <w:r>
        <w:tab/>
      </w:r>
      <w:r>
        <w:rPr>
          <w:rStyle w:val="FootnoteReference"/>
        </w:rPr>
        <w:footnoteRef/>
      </w:r>
      <w:r>
        <w:tab/>
      </w:r>
      <w:r>
        <w:rPr>
          <w:lang w:val="en-US"/>
        </w:rPr>
        <w:t>More details on automated vehicles and traffic regulations are also addressed under agenda item 5 (b); elements on the use of automated vehicles are addressed under agenda item 5 (c).</w:t>
      </w:r>
    </w:p>
  </w:footnote>
  <w:footnote w:id="5">
    <w:p w:rsidR="006D1B78" w:rsidRPr="00783737" w:rsidRDefault="006D1B78" w:rsidP="006D1B78">
      <w:pPr>
        <w:pStyle w:val="FootnoteText"/>
        <w:widowControl w:val="0"/>
        <w:tabs>
          <w:tab w:val="clear" w:pos="1021"/>
          <w:tab w:val="right" w:pos="1020"/>
        </w:tabs>
        <w:rPr>
          <w:lang w:val="en-US"/>
        </w:rPr>
      </w:pPr>
      <w:r>
        <w:tab/>
      </w:r>
      <w:r>
        <w:rPr>
          <w:rStyle w:val="FootnoteReference"/>
        </w:rPr>
        <w:footnoteRef/>
      </w:r>
      <w:r>
        <w:tab/>
      </w:r>
      <w:r w:rsidRPr="00D13786">
        <w:t>Database for the Exchange of Vehicle Type Approvals</w:t>
      </w:r>
      <w:r>
        <w:t xml:space="preserve"> (DETA). </w:t>
      </w:r>
    </w:p>
  </w:footnote>
  <w:footnote w:id="6">
    <w:p w:rsidR="006D1B78" w:rsidRPr="0022391D" w:rsidRDefault="006D1B78" w:rsidP="006D1B78">
      <w:pPr>
        <w:pStyle w:val="FootnoteText"/>
      </w:pPr>
      <w:r w:rsidRPr="0062303A">
        <w:tab/>
      </w:r>
      <w:r>
        <w:rPr>
          <w:rStyle w:val="FootnoteReference"/>
        </w:rPr>
        <w:footnoteRef/>
      </w:r>
      <w:r w:rsidRPr="0022391D">
        <w:tab/>
        <w:t>The text of the Ministerial Declaration is available at www.unece.org/fileadmin/DAM/trans/doc/2018/sc3/Ministerial-declaration_e.pdf.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78" w:rsidRPr="006D1B78" w:rsidRDefault="006D1B78">
    <w:pPr>
      <w:pStyle w:val="Header"/>
    </w:pPr>
    <w:r>
      <w:t>ECE/TRANS/287/Add.1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B78" w:rsidRPr="006D1B78" w:rsidRDefault="006D1B78" w:rsidP="006D1B78">
    <w:pPr>
      <w:pStyle w:val="Header"/>
      <w:jc w:val="right"/>
    </w:pPr>
    <w:r>
      <w:t>ECE/TRANS/287/Add.1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4" w15:restartNumberingAfterBreak="0">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5" w15:restartNumberingAfterBreak="0">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CF4EB2"/>
    <w:multiLevelType w:val="hybridMultilevel"/>
    <w:tmpl w:val="E68AE2B2"/>
    <w:lvl w:ilvl="0" w:tplc="4424A01A">
      <w:start w:val="1"/>
      <w:numFmt w:val="lowerLetter"/>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E312EDD"/>
    <w:multiLevelType w:val="multilevel"/>
    <w:tmpl w:val="043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8B113C"/>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2" w15:restartNumberingAfterBreak="0">
    <w:nsid w:val="4DF0259F"/>
    <w:multiLevelType w:val="hybridMultilevel"/>
    <w:tmpl w:val="2BA242F0"/>
    <w:lvl w:ilvl="0" w:tplc="6C2C2E72">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36" w15:restartNumberingAfterBreak="0">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46" w15:restartNumberingAfterBreak="0">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7"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0"/>
  </w:num>
  <w:num w:numId="13">
    <w:abstractNumId w:val="10"/>
  </w:num>
  <w:num w:numId="14">
    <w:abstractNumId w:val="18"/>
  </w:num>
  <w:num w:numId="15">
    <w:abstractNumId w:val="27"/>
  </w:num>
  <w:num w:numId="16">
    <w:abstractNumId w:val="19"/>
  </w:num>
  <w:num w:numId="17">
    <w:abstractNumId w:val="39"/>
  </w:num>
  <w:num w:numId="18">
    <w:abstractNumId w:val="44"/>
  </w:num>
  <w:num w:numId="19">
    <w:abstractNumId w:val="47"/>
  </w:num>
  <w:num w:numId="20">
    <w:abstractNumId w:val="23"/>
  </w:num>
  <w:num w:numId="21">
    <w:abstractNumId w:val="31"/>
  </w:num>
  <w:num w:numId="22">
    <w:abstractNumId w:val="40"/>
  </w:num>
  <w:num w:numId="23">
    <w:abstractNumId w:val="36"/>
  </w:num>
  <w:num w:numId="24">
    <w:abstractNumId w:val="41"/>
  </w:num>
  <w:num w:numId="25">
    <w:abstractNumId w:val="28"/>
  </w:num>
  <w:num w:numId="26">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2"/>
  </w:num>
  <w:num w:numId="29">
    <w:abstractNumId w:val="35"/>
  </w:num>
  <w:num w:numId="30">
    <w:abstractNumId w:val="42"/>
  </w:num>
  <w:num w:numId="31">
    <w:abstractNumId w:val="37"/>
  </w:num>
  <w:num w:numId="32">
    <w:abstractNumId w:val="21"/>
  </w:num>
  <w:num w:numId="33">
    <w:abstractNumId w:val="43"/>
  </w:num>
  <w:num w:numId="34">
    <w:abstractNumId w:val="34"/>
  </w:num>
  <w:num w:numId="35">
    <w:abstractNumId w:val="15"/>
  </w:num>
  <w:num w:numId="36">
    <w:abstractNumId w:val="30"/>
  </w:num>
  <w:num w:numId="37">
    <w:abstractNumId w:val="16"/>
  </w:num>
  <w:num w:numId="38">
    <w:abstractNumId w:val="13"/>
  </w:num>
  <w:num w:numId="39">
    <w:abstractNumId w:val="14"/>
  </w:num>
  <w:num w:numId="40">
    <w:abstractNumId w:val="12"/>
  </w:num>
  <w:num w:numId="41">
    <w:abstractNumId w:val="45"/>
  </w:num>
  <w:num w:numId="42">
    <w:abstractNumId w:val="33"/>
  </w:num>
  <w:num w:numId="43">
    <w:abstractNumId w:val="46"/>
  </w:num>
  <w:num w:numId="44">
    <w:abstractNumId w:val="17"/>
  </w:num>
  <w:num w:numId="45">
    <w:abstractNumId w:val="38"/>
  </w:num>
  <w:num w:numId="46">
    <w:abstractNumId w:val="11"/>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1B7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4B05"/>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0C84"/>
    <w:rsid w:val="0035223F"/>
    <w:rsid w:val="00352D4B"/>
    <w:rsid w:val="0035638C"/>
    <w:rsid w:val="003672C4"/>
    <w:rsid w:val="003A46BB"/>
    <w:rsid w:val="003A4EC7"/>
    <w:rsid w:val="003A7295"/>
    <w:rsid w:val="003B1F60"/>
    <w:rsid w:val="003C2CC4"/>
    <w:rsid w:val="003D4B23"/>
    <w:rsid w:val="003E278A"/>
    <w:rsid w:val="00413520"/>
    <w:rsid w:val="004325CB"/>
    <w:rsid w:val="00436F23"/>
    <w:rsid w:val="00440A07"/>
    <w:rsid w:val="00462880"/>
    <w:rsid w:val="00472F79"/>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0776"/>
    <w:rsid w:val="006A3C72"/>
    <w:rsid w:val="006A7392"/>
    <w:rsid w:val="006B03A1"/>
    <w:rsid w:val="006B3129"/>
    <w:rsid w:val="006B67D9"/>
    <w:rsid w:val="006C5535"/>
    <w:rsid w:val="006D0589"/>
    <w:rsid w:val="006D1B78"/>
    <w:rsid w:val="006E564B"/>
    <w:rsid w:val="006E7154"/>
    <w:rsid w:val="007003CD"/>
    <w:rsid w:val="0070701E"/>
    <w:rsid w:val="0072632A"/>
    <w:rsid w:val="007358E8"/>
    <w:rsid w:val="00736ECE"/>
    <w:rsid w:val="0074533B"/>
    <w:rsid w:val="007643BC"/>
    <w:rsid w:val="007832E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23F7"/>
    <w:rsid w:val="008A6B25"/>
    <w:rsid w:val="008A6C4F"/>
    <w:rsid w:val="008B389E"/>
    <w:rsid w:val="008D045E"/>
    <w:rsid w:val="008D3F25"/>
    <w:rsid w:val="008D4D82"/>
    <w:rsid w:val="008E0E46"/>
    <w:rsid w:val="008E68C5"/>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4DB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15925"/>
    <w:rsid w:val="00C463DD"/>
    <w:rsid w:val="00C745C3"/>
    <w:rsid w:val="00CA24A4"/>
    <w:rsid w:val="00CB348D"/>
    <w:rsid w:val="00CC3042"/>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02AE3"/>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0464D3-4B29-4E41-8B51-55677E7C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customStyle="1" w:styleId="Rom1">
    <w:name w:val="Rom1"/>
    <w:basedOn w:val="SingleTxtG"/>
    <w:semiHidden/>
    <w:rsid w:val="006D1B78"/>
    <w:pPr>
      <w:numPr>
        <w:numId w:val="19"/>
      </w:numPr>
      <w:tabs>
        <w:tab w:val="clear" w:pos="1440"/>
      </w:tabs>
      <w:ind w:left="2268" w:hanging="397"/>
    </w:pPr>
    <w:rPr>
      <w:lang w:val="fr-CH"/>
    </w:rPr>
  </w:style>
  <w:style w:type="paragraph" w:customStyle="1" w:styleId="Rom2">
    <w:name w:val="Rom2"/>
    <w:basedOn w:val="SingleTxtG"/>
    <w:semiHidden/>
    <w:rsid w:val="006D1B78"/>
    <w:pPr>
      <w:numPr>
        <w:numId w:val="20"/>
      </w:numPr>
      <w:tabs>
        <w:tab w:val="clear" w:pos="2160"/>
      </w:tabs>
      <w:ind w:left="2835" w:hanging="397"/>
    </w:pPr>
    <w:rPr>
      <w:lang w:val="fr-CH"/>
    </w:rPr>
  </w:style>
  <w:style w:type="paragraph" w:customStyle="1" w:styleId="Agendaitem1">
    <w:name w:val="Agenda item 1"/>
    <w:basedOn w:val="Normal"/>
    <w:rsid w:val="006D1B78"/>
    <w:pPr>
      <w:numPr>
        <w:numId w:val="26"/>
      </w:numPr>
      <w:suppressAutoHyphens w:val="0"/>
      <w:snapToGrid w:val="0"/>
      <w:spacing w:after="240" w:line="240" w:lineRule="auto"/>
      <w:jc w:val="both"/>
    </w:pPr>
    <w:rPr>
      <w:snapToGrid w:val="0"/>
      <w:sz w:val="24"/>
    </w:rPr>
  </w:style>
  <w:style w:type="paragraph" w:styleId="PlainText">
    <w:name w:val="Plain Text"/>
    <w:basedOn w:val="Normal"/>
    <w:link w:val="PlainTextChar"/>
    <w:semiHidden/>
    <w:rsid w:val="006D1B78"/>
    <w:rPr>
      <w:rFonts w:cs="Courier New"/>
      <w:lang w:val="fr-CH"/>
    </w:rPr>
  </w:style>
  <w:style w:type="character" w:customStyle="1" w:styleId="PlainTextChar">
    <w:name w:val="Plain Text Char"/>
    <w:basedOn w:val="DefaultParagraphFont"/>
    <w:link w:val="PlainText"/>
    <w:semiHidden/>
    <w:rsid w:val="006D1B78"/>
    <w:rPr>
      <w:rFonts w:cs="Courier New"/>
      <w:lang w:val="fr-CH" w:eastAsia="en-US"/>
    </w:rPr>
  </w:style>
  <w:style w:type="paragraph" w:styleId="BodyText">
    <w:name w:val="Body Text"/>
    <w:basedOn w:val="Normal"/>
    <w:next w:val="Normal"/>
    <w:link w:val="BodyTextChar"/>
    <w:semiHidden/>
    <w:rsid w:val="006D1B78"/>
    <w:rPr>
      <w:lang w:val="fr-CH"/>
    </w:rPr>
  </w:style>
  <w:style w:type="character" w:customStyle="1" w:styleId="BodyTextChar">
    <w:name w:val="Body Text Char"/>
    <w:basedOn w:val="DefaultParagraphFont"/>
    <w:link w:val="BodyText"/>
    <w:semiHidden/>
    <w:rsid w:val="006D1B78"/>
    <w:rPr>
      <w:lang w:val="fr-CH" w:eastAsia="en-US"/>
    </w:rPr>
  </w:style>
  <w:style w:type="paragraph" w:styleId="BodyTextIndent">
    <w:name w:val="Body Text Indent"/>
    <w:basedOn w:val="Normal"/>
    <w:link w:val="BodyTextIndentChar"/>
    <w:semiHidden/>
    <w:rsid w:val="006D1B78"/>
    <w:pPr>
      <w:spacing w:after="120"/>
      <w:ind w:left="283"/>
    </w:pPr>
    <w:rPr>
      <w:lang w:val="fr-CH"/>
    </w:rPr>
  </w:style>
  <w:style w:type="character" w:customStyle="1" w:styleId="BodyTextIndentChar">
    <w:name w:val="Body Text Indent Char"/>
    <w:basedOn w:val="DefaultParagraphFont"/>
    <w:link w:val="BodyTextIndent"/>
    <w:semiHidden/>
    <w:rsid w:val="006D1B78"/>
    <w:rPr>
      <w:lang w:val="fr-CH" w:eastAsia="en-US"/>
    </w:rPr>
  </w:style>
  <w:style w:type="paragraph" w:styleId="BlockText">
    <w:name w:val="Block Text"/>
    <w:basedOn w:val="Normal"/>
    <w:semiHidden/>
    <w:rsid w:val="006D1B78"/>
    <w:pPr>
      <w:ind w:left="1440" w:right="1440"/>
    </w:pPr>
    <w:rPr>
      <w:lang w:val="fr-CH"/>
    </w:rPr>
  </w:style>
  <w:style w:type="character" w:styleId="CommentReference">
    <w:name w:val="annotation reference"/>
    <w:semiHidden/>
    <w:rsid w:val="006D1B78"/>
    <w:rPr>
      <w:sz w:val="6"/>
    </w:rPr>
  </w:style>
  <w:style w:type="paragraph" w:styleId="CommentText">
    <w:name w:val="annotation text"/>
    <w:basedOn w:val="Normal"/>
    <w:link w:val="CommentTextChar"/>
    <w:semiHidden/>
    <w:rsid w:val="006D1B78"/>
    <w:rPr>
      <w:lang w:val="fr-CH"/>
    </w:rPr>
  </w:style>
  <w:style w:type="character" w:customStyle="1" w:styleId="CommentTextChar">
    <w:name w:val="Comment Text Char"/>
    <w:basedOn w:val="DefaultParagraphFont"/>
    <w:link w:val="CommentText"/>
    <w:semiHidden/>
    <w:rsid w:val="006D1B78"/>
    <w:rPr>
      <w:lang w:val="fr-CH" w:eastAsia="en-US"/>
    </w:rPr>
  </w:style>
  <w:style w:type="character" w:styleId="LineNumber">
    <w:name w:val="line number"/>
    <w:semiHidden/>
    <w:rsid w:val="006D1B78"/>
    <w:rPr>
      <w:sz w:val="14"/>
    </w:rPr>
  </w:style>
  <w:style w:type="character" w:customStyle="1" w:styleId="SingleTxtGChar">
    <w:name w:val="_ Single Txt_G Char"/>
    <w:link w:val="SingleTxtG"/>
    <w:rsid w:val="006D1B78"/>
    <w:rPr>
      <w:lang w:eastAsia="en-US"/>
    </w:rPr>
  </w:style>
  <w:style w:type="paragraph" w:customStyle="1" w:styleId="Itemno">
    <w:name w:val="Item no"/>
    <w:basedOn w:val="Agendaitem1"/>
    <w:link w:val="ItemnoChar"/>
    <w:rsid w:val="006D1B78"/>
    <w:pPr>
      <w:numPr>
        <w:numId w:val="0"/>
      </w:numPr>
      <w:ind w:left="1134" w:hanging="1134"/>
    </w:pPr>
    <w:rPr>
      <w:rFonts w:ascii="Times New Roman Bold" w:hAnsi="Times New Roman Bold"/>
      <w:b/>
    </w:rPr>
  </w:style>
  <w:style w:type="numbering" w:styleId="111111">
    <w:name w:val="Outline List 2"/>
    <w:basedOn w:val="NoList"/>
    <w:semiHidden/>
    <w:rsid w:val="006D1B78"/>
    <w:pPr>
      <w:numPr>
        <w:numId w:val="21"/>
      </w:numPr>
    </w:pPr>
  </w:style>
  <w:style w:type="numbering" w:styleId="1ai">
    <w:name w:val="Outline List 1"/>
    <w:basedOn w:val="NoList"/>
    <w:semiHidden/>
    <w:rsid w:val="006D1B78"/>
    <w:pPr>
      <w:numPr>
        <w:numId w:val="22"/>
      </w:numPr>
    </w:pPr>
  </w:style>
  <w:style w:type="character" w:styleId="Emphasis">
    <w:name w:val="Emphasis"/>
    <w:qFormat/>
    <w:rsid w:val="006D1B78"/>
    <w:rPr>
      <w:i/>
      <w:iCs/>
    </w:rPr>
  </w:style>
  <w:style w:type="character" w:styleId="HTMLAcronym">
    <w:name w:val="HTML Acronym"/>
    <w:basedOn w:val="DefaultParagraphFont"/>
    <w:semiHidden/>
    <w:rsid w:val="006D1B78"/>
  </w:style>
  <w:style w:type="paragraph" w:styleId="EnvelopeAddress">
    <w:name w:val="envelope address"/>
    <w:basedOn w:val="Normal"/>
    <w:semiHidden/>
    <w:rsid w:val="006D1B78"/>
    <w:pPr>
      <w:framePr w:w="7920" w:h="1980" w:hRule="exact" w:hSpace="180" w:wrap="auto" w:hAnchor="page" w:xAlign="center" w:yAlign="bottom"/>
      <w:ind w:left="2880"/>
    </w:pPr>
    <w:rPr>
      <w:rFonts w:ascii="Arial" w:hAnsi="Arial" w:cs="Arial"/>
      <w:sz w:val="24"/>
      <w:szCs w:val="24"/>
      <w:lang w:val="fr-CH"/>
    </w:rPr>
  </w:style>
  <w:style w:type="paragraph" w:styleId="EnvelopeReturn">
    <w:name w:val="envelope return"/>
    <w:basedOn w:val="Normal"/>
    <w:semiHidden/>
    <w:rsid w:val="006D1B78"/>
    <w:rPr>
      <w:rFonts w:ascii="Arial" w:hAnsi="Arial" w:cs="Arial"/>
      <w:lang w:val="fr-CH"/>
    </w:rPr>
  </w:style>
  <w:style w:type="paragraph" w:styleId="HTMLAddress">
    <w:name w:val="HTML Address"/>
    <w:basedOn w:val="Normal"/>
    <w:link w:val="HTMLAddressChar"/>
    <w:semiHidden/>
    <w:rsid w:val="006D1B78"/>
    <w:rPr>
      <w:i/>
      <w:iCs/>
      <w:lang w:val="fr-CH"/>
    </w:rPr>
  </w:style>
  <w:style w:type="character" w:customStyle="1" w:styleId="HTMLAddressChar">
    <w:name w:val="HTML Address Char"/>
    <w:basedOn w:val="DefaultParagraphFont"/>
    <w:link w:val="HTMLAddress"/>
    <w:semiHidden/>
    <w:rsid w:val="006D1B78"/>
    <w:rPr>
      <w:i/>
      <w:iCs/>
      <w:lang w:val="fr-CH" w:eastAsia="en-US"/>
    </w:rPr>
  </w:style>
  <w:style w:type="numbering" w:styleId="ArticleSection">
    <w:name w:val="Outline List 3"/>
    <w:basedOn w:val="NoList"/>
    <w:semiHidden/>
    <w:rsid w:val="006D1B78"/>
    <w:pPr>
      <w:numPr>
        <w:numId w:val="23"/>
      </w:numPr>
    </w:pPr>
  </w:style>
  <w:style w:type="character" w:styleId="HTMLCite">
    <w:name w:val="HTML Cite"/>
    <w:semiHidden/>
    <w:rsid w:val="006D1B78"/>
    <w:rPr>
      <w:i/>
      <w:iCs/>
    </w:rPr>
  </w:style>
  <w:style w:type="table" w:styleId="TableClassic1">
    <w:name w:val="Table Classic 1"/>
    <w:basedOn w:val="TableNormal"/>
    <w:semiHidden/>
    <w:rsid w:val="006D1B78"/>
    <w:pPr>
      <w:suppressAutoHyphens/>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D1B78"/>
    <w:pPr>
      <w:suppressAutoHyphens/>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D1B78"/>
    <w:pPr>
      <w:suppressAutoHyphens/>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D1B78"/>
    <w:pPr>
      <w:suppressAutoHyphens/>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6D1B78"/>
    <w:rPr>
      <w:rFonts w:ascii="Courier New" w:hAnsi="Courier New" w:cs="Courier New"/>
      <w:sz w:val="20"/>
      <w:szCs w:val="20"/>
    </w:rPr>
  </w:style>
  <w:style w:type="character" w:styleId="HTMLCode">
    <w:name w:val="HTML Code"/>
    <w:semiHidden/>
    <w:rsid w:val="006D1B78"/>
    <w:rPr>
      <w:rFonts w:ascii="Courier New" w:hAnsi="Courier New" w:cs="Courier New"/>
      <w:sz w:val="20"/>
      <w:szCs w:val="20"/>
    </w:rPr>
  </w:style>
  <w:style w:type="table" w:styleId="TableColumns1">
    <w:name w:val="Table Columns 1"/>
    <w:basedOn w:val="TableNormal"/>
    <w:semiHidden/>
    <w:rsid w:val="006D1B78"/>
    <w:pPr>
      <w:suppressAutoHyphens/>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semiHidden/>
    <w:rsid w:val="006D1B78"/>
    <w:pPr>
      <w:spacing w:after="120" w:line="480" w:lineRule="auto"/>
    </w:pPr>
    <w:rPr>
      <w:lang w:val="fr-CH"/>
    </w:rPr>
  </w:style>
  <w:style w:type="character" w:customStyle="1" w:styleId="BodyText2Char">
    <w:name w:val="Body Text 2 Char"/>
    <w:basedOn w:val="DefaultParagraphFont"/>
    <w:link w:val="BodyText2"/>
    <w:semiHidden/>
    <w:rsid w:val="006D1B78"/>
    <w:rPr>
      <w:lang w:val="fr-CH" w:eastAsia="en-US"/>
    </w:rPr>
  </w:style>
  <w:style w:type="paragraph" w:styleId="BodyText3">
    <w:name w:val="Body Text 3"/>
    <w:basedOn w:val="Normal"/>
    <w:link w:val="BodyText3Char"/>
    <w:semiHidden/>
    <w:rsid w:val="006D1B78"/>
    <w:pPr>
      <w:spacing w:after="120"/>
    </w:pPr>
    <w:rPr>
      <w:sz w:val="16"/>
      <w:szCs w:val="16"/>
      <w:lang w:val="fr-CH"/>
    </w:rPr>
  </w:style>
  <w:style w:type="character" w:customStyle="1" w:styleId="BodyText3Char">
    <w:name w:val="Body Text 3 Char"/>
    <w:basedOn w:val="DefaultParagraphFont"/>
    <w:link w:val="BodyText3"/>
    <w:semiHidden/>
    <w:rsid w:val="006D1B78"/>
    <w:rPr>
      <w:sz w:val="16"/>
      <w:szCs w:val="16"/>
      <w:lang w:val="fr-CH" w:eastAsia="en-US"/>
    </w:rPr>
  </w:style>
  <w:style w:type="paragraph" w:styleId="Date">
    <w:name w:val="Date"/>
    <w:basedOn w:val="Normal"/>
    <w:next w:val="Normal"/>
    <w:link w:val="DateChar"/>
    <w:semiHidden/>
    <w:rsid w:val="006D1B78"/>
    <w:rPr>
      <w:lang w:val="fr-CH"/>
    </w:rPr>
  </w:style>
  <w:style w:type="character" w:customStyle="1" w:styleId="DateChar">
    <w:name w:val="Date Char"/>
    <w:basedOn w:val="DefaultParagraphFont"/>
    <w:link w:val="Date"/>
    <w:semiHidden/>
    <w:rsid w:val="006D1B78"/>
    <w:rPr>
      <w:lang w:val="fr-CH" w:eastAsia="en-US"/>
    </w:rPr>
  </w:style>
  <w:style w:type="character" w:styleId="HTMLDefinition">
    <w:name w:val="HTML Definition"/>
    <w:semiHidden/>
    <w:rsid w:val="006D1B78"/>
    <w:rPr>
      <w:i/>
      <w:iCs/>
    </w:rPr>
  </w:style>
  <w:style w:type="table" w:styleId="Table3Deffects2">
    <w:name w:val="Table 3D effects 2"/>
    <w:basedOn w:val="TableNormal"/>
    <w:semiHidden/>
    <w:rsid w:val="006D1B78"/>
    <w:pPr>
      <w:suppressAutoHyphens/>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6D1B78"/>
    <w:pPr>
      <w:suppressAutoHyphens/>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6D1B78"/>
    <w:pPr>
      <w:suppressAutoHyphens/>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6D1B78"/>
    <w:pPr>
      <w:suppressAutoHyphens/>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1B78"/>
    <w:rPr>
      <w:b/>
      <w:bCs/>
    </w:rPr>
  </w:style>
  <w:style w:type="paragraph" w:styleId="MessageHeader">
    <w:name w:val="Message Header"/>
    <w:basedOn w:val="Normal"/>
    <w:link w:val="MessageHeaderChar"/>
    <w:rsid w:val="006D1B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fr-CH"/>
    </w:rPr>
  </w:style>
  <w:style w:type="character" w:customStyle="1" w:styleId="MessageHeaderChar">
    <w:name w:val="Message Header Char"/>
    <w:basedOn w:val="DefaultParagraphFont"/>
    <w:link w:val="MessageHeader"/>
    <w:rsid w:val="006D1B78"/>
    <w:rPr>
      <w:rFonts w:ascii="Arial" w:hAnsi="Arial" w:cs="Arial"/>
      <w:sz w:val="24"/>
      <w:szCs w:val="24"/>
      <w:shd w:val="pct20" w:color="auto" w:fill="auto"/>
      <w:lang w:val="fr-CH" w:eastAsia="en-US"/>
    </w:rPr>
  </w:style>
  <w:style w:type="character" w:styleId="HTMLSample">
    <w:name w:val="HTML Sample"/>
    <w:semiHidden/>
    <w:rsid w:val="006D1B78"/>
    <w:rPr>
      <w:rFonts w:ascii="Courier New" w:hAnsi="Courier New" w:cs="Courier New"/>
    </w:rPr>
  </w:style>
  <w:style w:type="paragraph" w:styleId="Closing">
    <w:name w:val="Closing"/>
    <w:basedOn w:val="Normal"/>
    <w:link w:val="ClosingChar"/>
    <w:semiHidden/>
    <w:rsid w:val="006D1B78"/>
    <w:pPr>
      <w:ind w:left="4252"/>
    </w:pPr>
    <w:rPr>
      <w:lang w:val="fr-CH"/>
    </w:rPr>
  </w:style>
  <w:style w:type="character" w:customStyle="1" w:styleId="ClosingChar">
    <w:name w:val="Closing Char"/>
    <w:basedOn w:val="DefaultParagraphFont"/>
    <w:link w:val="Closing"/>
    <w:semiHidden/>
    <w:rsid w:val="006D1B78"/>
    <w:rPr>
      <w:lang w:val="fr-CH" w:eastAsia="en-US"/>
    </w:rPr>
  </w:style>
  <w:style w:type="table" w:styleId="TableGrid1">
    <w:name w:val="Table Grid 1"/>
    <w:basedOn w:val="TableNormal"/>
    <w:semiHidden/>
    <w:rsid w:val="006D1B78"/>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D1B78"/>
    <w:pPr>
      <w:suppressAutoHyphens/>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D1B78"/>
    <w:pPr>
      <w:suppressAutoHyphens/>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D1B78"/>
    <w:pPr>
      <w:suppressAutoHyphens/>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D1B78"/>
    <w:pPr>
      <w:suppressAutoHyphens/>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D1B78"/>
    <w:pPr>
      <w:suppressAutoHyphens/>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D1B78"/>
    <w:pPr>
      <w:suppressAutoHyphens/>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D1B78"/>
    <w:pPr>
      <w:suppressAutoHyphens/>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
    <w:name w:val="List"/>
    <w:basedOn w:val="Normal"/>
    <w:semiHidden/>
    <w:rsid w:val="006D1B78"/>
    <w:pPr>
      <w:ind w:left="283" w:hanging="283"/>
    </w:pPr>
    <w:rPr>
      <w:lang w:val="fr-CH"/>
    </w:rPr>
  </w:style>
  <w:style w:type="paragraph" w:styleId="List2">
    <w:name w:val="List 2"/>
    <w:basedOn w:val="Normal"/>
    <w:semiHidden/>
    <w:rsid w:val="006D1B78"/>
    <w:pPr>
      <w:ind w:left="566" w:hanging="283"/>
    </w:pPr>
    <w:rPr>
      <w:lang w:val="fr-CH"/>
    </w:rPr>
  </w:style>
  <w:style w:type="paragraph" w:styleId="List3">
    <w:name w:val="List 3"/>
    <w:basedOn w:val="Normal"/>
    <w:semiHidden/>
    <w:rsid w:val="006D1B78"/>
    <w:pPr>
      <w:ind w:left="849" w:hanging="283"/>
    </w:pPr>
    <w:rPr>
      <w:lang w:val="fr-CH"/>
    </w:rPr>
  </w:style>
  <w:style w:type="paragraph" w:styleId="List4">
    <w:name w:val="List 4"/>
    <w:basedOn w:val="Normal"/>
    <w:semiHidden/>
    <w:rsid w:val="006D1B78"/>
    <w:pPr>
      <w:ind w:left="1132" w:hanging="283"/>
    </w:pPr>
    <w:rPr>
      <w:lang w:val="fr-CH"/>
    </w:rPr>
  </w:style>
  <w:style w:type="paragraph" w:styleId="List5">
    <w:name w:val="List 5"/>
    <w:basedOn w:val="Normal"/>
    <w:semiHidden/>
    <w:rsid w:val="006D1B78"/>
    <w:pPr>
      <w:ind w:left="1415" w:hanging="283"/>
    </w:pPr>
    <w:rPr>
      <w:lang w:val="fr-CH"/>
    </w:rPr>
  </w:style>
  <w:style w:type="paragraph" w:styleId="ListNumber">
    <w:name w:val="List Number"/>
    <w:basedOn w:val="Normal"/>
    <w:rsid w:val="006D1B78"/>
    <w:pPr>
      <w:tabs>
        <w:tab w:val="num" w:pos="360"/>
      </w:tabs>
      <w:ind w:left="360" w:hanging="360"/>
    </w:pPr>
    <w:rPr>
      <w:lang w:val="fr-CH"/>
    </w:rPr>
  </w:style>
  <w:style w:type="paragraph" w:styleId="ListNumber2">
    <w:name w:val="List Number 2"/>
    <w:basedOn w:val="Normal"/>
    <w:semiHidden/>
    <w:rsid w:val="006D1B78"/>
    <w:pPr>
      <w:tabs>
        <w:tab w:val="num" w:pos="643"/>
      </w:tabs>
      <w:ind w:left="643" w:hanging="360"/>
    </w:pPr>
    <w:rPr>
      <w:lang w:val="fr-CH"/>
    </w:rPr>
  </w:style>
  <w:style w:type="paragraph" w:styleId="ListNumber3">
    <w:name w:val="List Number 3"/>
    <w:basedOn w:val="Normal"/>
    <w:semiHidden/>
    <w:rsid w:val="006D1B78"/>
    <w:pPr>
      <w:tabs>
        <w:tab w:val="num" w:pos="926"/>
      </w:tabs>
      <w:ind w:left="926" w:hanging="360"/>
    </w:pPr>
    <w:rPr>
      <w:lang w:val="fr-CH"/>
    </w:rPr>
  </w:style>
  <w:style w:type="paragraph" w:styleId="ListNumber4">
    <w:name w:val="List Number 4"/>
    <w:basedOn w:val="Normal"/>
    <w:semiHidden/>
    <w:rsid w:val="006D1B78"/>
    <w:pPr>
      <w:tabs>
        <w:tab w:val="num" w:pos="1209"/>
      </w:tabs>
      <w:ind w:left="1209" w:hanging="360"/>
    </w:pPr>
    <w:rPr>
      <w:lang w:val="fr-CH"/>
    </w:rPr>
  </w:style>
  <w:style w:type="paragraph" w:styleId="ListNumber5">
    <w:name w:val="List Number 5"/>
    <w:basedOn w:val="Normal"/>
    <w:semiHidden/>
    <w:rsid w:val="006D1B78"/>
    <w:pPr>
      <w:tabs>
        <w:tab w:val="num" w:pos="1492"/>
      </w:tabs>
      <w:ind w:left="1492" w:hanging="360"/>
    </w:pPr>
    <w:rPr>
      <w:lang w:val="fr-CH"/>
    </w:rPr>
  </w:style>
  <w:style w:type="paragraph" w:styleId="ListBullet">
    <w:name w:val="List Bullet"/>
    <w:basedOn w:val="Normal"/>
    <w:rsid w:val="006D1B78"/>
    <w:pPr>
      <w:tabs>
        <w:tab w:val="num" w:pos="360"/>
      </w:tabs>
      <w:ind w:left="360" w:hanging="360"/>
    </w:pPr>
    <w:rPr>
      <w:lang w:val="fr-CH"/>
    </w:rPr>
  </w:style>
  <w:style w:type="paragraph" w:styleId="ListBullet2">
    <w:name w:val="List Bullet 2"/>
    <w:basedOn w:val="Normal"/>
    <w:semiHidden/>
    <w:rsid w:val="006D1B78"/>
    <w:pPr>
      <w:tabs>
        <w:tab w:val="num" w:pos="643"/>
      </w:tabs>
      <w:ind w:left="643" w:hanging="360"/>
    </w:pPr>
    <w:rPr>
      <w:lang w:val="fr-CH"/>
    </w:rPr>
  </w:style>
  <w:style w:type="paragraph" w:styleId="ListBullet3">
    <w:name w:val="List Bullet 3"/>
    <w:basedOn w:val="Normal"/>
    <w:semiHidden/>
    <w:rsid w:val="006D1B78"/>
    <w:pPr>
      <w:tabs>
        <w:tab w:val="num" w:pos="926"/>
      </w:tabs>
      <w:ind w:left="926" w:hanging="360"/>
    </w:pPr>
    <w:rPr>
      <w:lang w:val="fr-CH"/>
    </w:rPr>
  </w:style>
  <w:style w:type="paragraph" w:styleId="ListBullet4">
    <w:name w:val="List Bullet 4"/>
    <w:basedOn w:val="Normal"/>
    <w:semiHidden/>
    <w:rsid w:val="006D1B78"/>
    <w:pPr>
      <w:tabs>
        <w:tab w:val="num" w:pos="1209"/>
      </w:tabs>
      <w:ind w:left="1209" w:hanging="360"/>
    </w:pPr>
    <w:rPr>
      <w:lang w:val="fr-CH"/>
    </w:rPr>
  </w:style>
  <w:style w:type="paragraph" w:styleId="ListBullet5">
    <w:name w:val="List Bullet 5"/>
    <w:basedOn w:val="Normal"/>
    <w:semiHidden/>
    <w:rsid w:val="006D1B78"/>
    <w:pPr>
      <w:tabs>
        <w:tab w:val="num" w:pos="1492"/>
      </w:tabs>
      <w:ind w:left="1492" w:hanging="360"/>
    </w:pPr>
    <w:rPr>
      <w:lang w:val="fr-CH"/>
    </w:rPr>
  </w:style>
  <w:style w:type="paragraph" w:styleId="ListContinue">
    <w:name w:val="List Continue"/>
    <w:basedOn w:val="Normal"/>
    <w:semiHidden/>
    <w:rsid w:val="006D1B78"/>
    <w:pPr>
      <w:spacing w:after="120"/>
      <w:ind w:left="283"/>
    </w:pPr>
    <w:rPr>
      <w:lang w:val="fr-CH"/>
    </w:rPr>
  </w:style>
  <w:style w:type="paragraph" w:styleId="ListContinue2">
    <w:name w:val="List Continue 2"/>
    <w:basedOn w:val="Normal"/>
    <w:semiHidden/>
    <w:rsid w:val="006D1B78"/>
    <w:pPr>
      <w:spacing w:after="120"/>
      <w:ind w:left="566"/>
    </w:pPr>
    <w:rPr>
      <w:lang w:val="fr-CH"/>
    </w:rPr>
  </w:style>
  <w:style w:type="paragraph" w:styleId="ListContinue3">
    <w:name w:val="List Continue 3"/>
    <w:basedOn w:val="Normal"/>
    <w:rsid w:val="006D1B78"/>
    <w:pPr>
      <w:spacing w:after="120"/>
      <w:ind w:left="849"/>
    </w:pPr>
    <w:rPr>
      <w:lang w:val="fr-CH"/>
    </w:rPr>
  </w:style>
  <w:style w:type="paragraph" w:styleId="ListContinue4">
    <w:name w:val="List Continue 4"/>
    <w:basedOn w:val="Normal"/>
    <w:rsid w:val="006D1B78"/>
    <w:pPr>
      <w:spacing w:after="120"/>
      <w:ind w:left="1132"/>
    </w:pPr>
    <w:rPr>
      <w:lang w:val="fr-CH"/>
    </w:rPr>
  </w:style>
  <w:style w:type="paragraph" w:styleId="ListContinue5">
    <w:name w:val="List Continue 5"/>
    <w:basedOn w:val="Normal"/>
    <w:rsid w:val="006D1B78"/>
    <w:pPr>
      <w:spacing w:after="120"/>
      <w:ind w:left="1415"/>
    </w:pPr>
    <w:rPr>
      <w:lang w:val="fr-CH"/>
    </w:rPr>
  </w:style>
  <w:style w:type="character" w:styleId="HTMLTypewriter">
    <w:name w:val="HTML Typewriter"/>
    <w:semiHidden/>
    <w:rsid w:val="006D1B78"/>
    <w:rPr>
      <w:rFonts w:ascii="Courier New" w:hAnsi="Courier New" w:cs="Courier New"/>
      <w:sz w:val="20"/>
      <w:szCs w:val="20"/>
    </w:rPr>
  </w:style>
  <w:style w:type="paragraph" w:styleId="NormalWeb">
    <w:name w:val="Normal (Web)"/>
    <w:basedOn w:val="Normal"/>
    <w:uiPriority w:val="99"/>
    <w:semiHidden/>
    <w:rsid w:val="006D1B78"/>
    <w:rPr>
      <w:sz w:val="24"/>
      <w:szCs w:val="24"/>
      <w:lang w:val="fr-CH"/>
    </w:rPr>
  </w:style>
  <w:style w:type="table" w:styleId="TableSubtle1">
    <w:name w:val="Table Subtle 1"/>
    <w:basedOn w:val="TableNormal"/>
    <w:semiHidden/>
    <w:rsid w:val="006D1B78"/>
    <w:pPr>
      <w:suppressAutoHyphens/>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D1B78"/>
    <w:pPr>
      <w:suppressAutoHyphens/>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semiHidden/>
    <w:rsid w:val="006D1B78"/>
    <w:rPr>
      <w:rFonts w:ascii="Courier New" w:hAnsi="Courier New" w:cs="Courier New"/>
      <w:lang w:val="fr-CH"/>
    </w:rPr>
  </w:style>
  <w:style w:type="character" w:customStyle="1" w:styleId="HTMLPreformattedChar">
    <w:name w:val="HTML Preformatted Char"/>
    <w:basedOn w:val="DefaultParagraphFont"/>
    <w:link w:val="HTMLPreformatted"/>
    <w:semiHidden/>
    <w:rsid w:val="006D1B78"/>
    <w:rPr>
      <w:rFonts w:ascii="Courier New" w:hAnsi="Courier New" w:cs="Courier New"/>
      <w:lang w:val="fr-CH" w:eastAsia="en-US"/>
    </w:rPr>
  </w:style>
  <w:style w:type="table" w:styleId="TableProfessional">
    <w:name w:val="Table Professional"/>
    <w:basedOn w:val="TableNormal"/>
    <w:semiHidden/>
    <w:rsid w:val="006D1B78"/>
    <w:pPr>
      <w:suppressAutoHyphens/>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link w:val="BodyTextFirstIndentChar"/>
    <w:semiHidden/>
    <w:rsid w:val="006D1B78"/>
    <w:pPr>
      <w:spacing w:after="120"/>
      <w:ind w:firstLine="210"/>
    </w:pPr>
  </w:style>
  <w:style w:type="character" w:customStyle="1" w:styleId="BodyTextFirstIndentChar">
    <w:name w:val="Body Text First Indent Char"/>
    <w:basedOn w:val="BodyTextChar"/>
    <w:link w:val="BodyTextFirstIndent"/>
    <w:semiHidden/>
    <w:rsid w:val="006D1B78"/>
    <w:rPr>
      <w:lang w:val="fr-CH" w:eastAsia="en-US"/>
    </w:rPr>
  </w:style>
  <w:style w:type="paragraph" w:styleId="BodyTextIndent2">
    <w:name w:val="Body Text Indent 2"/>
    <w:basedOn w:val="Normal"/>
    <w:link w:val="BodyTextIndent2Char"/>
    <w:semiHidden/>
    <w:rsid w:val="006D1B78"/>
    <w:pPr>
      <w:spacing w:after="120" w:line="480" w:lineRule="auto"/>
      <w:ind w:left="283"/>
    </w:pPr>
    <w:rPr>
      <w:lang w:val="fr-CH"/>
    </w:rPr>
  </w:style>
  <w:style w:type="character" w:customStyle="1" w:styleId="BodyTextIndent2Char">
    <w:name w:val="Body Text Indent 2 Char"/>
    <w:basedOn w:val="DefaultParagraphFont"/>
    <w:link w:val="BodyTextIndent2"/>
    <w:semiHidden/>
    <w:rsid w:val="006D1B78"/>
    <w:rPr>
      <w:lang w:val="fr-CH" w:eastAsia="en-US"/>
    </w:rPr>
  </w:style>
  <w:style w:type="paragraph" w:styleId="BodyTextIndent3">
    <w:name w:val="Body Text Indent 3"/>
    <w:basedOn w:val="Normal"/>
    <w:link w:val="BodyTextIndent3Char"/>
    <w:semiHidden/>
    <w:rsid w:val="006D1B78"/>
    <w:pPr>
      <w:spacing w:after="120"/>
      <w:ind w:left="283"/>
    </w:pPr>
    <w:rPr>
      <w:sz w:val="16"/>
      <w:szCs w:val="16"/>
      <w:lang w:val="fr-CH"/>
    </w:rPr>
  </w:style>
  <w:style w:type="character" w:customStyle="1" w:styleId="BodyTextIndent3Char">
    <w:name w:val="Body Text Indent 3 Char"/>
    <w:basedOn w:val="DefaultParagraphFont"/>
    <w:link w:val="BodyTextIndent3"/>
    <w:semiHidden/>
    <w:rsid w:val="006D1B78"/>
    <w:rPr>
      <w:sz w:val="16"/>
      <w:szCs w:val="16"/>
      <w:lang w:val="fr-CH" w:eastAsia="en-US"/>
    </w:rPr>
  </w:style>
  <w:style w:type="paragraph" w:styleId="BodyTextFirstIndent2">
    <w:name w:val="Body Text First Indent 2"/>
    <w:basedOn w:val="BodyTextIndent"/>
    <w:link w:val="BodyTextFirstIndent2Char"/>
    <w:semiHidden/>
    <w:rsid w:val="006D1B78"/>
    <w:pPr>
      <w:ind w:firstLine="210"/>
    </w:pPr>
  </w:style>
  <w:style w:type="character" w:customStyle="1" w:styleId="BodyTextFirstIndent2Char">
    <w:name w:val="Body Text First Indent 2 Char"/>
    <w:basedOn w:val="BodyTextIndentChar"/>
    <w:link w:val="BodyTextFirstIndent2"/>
    <w:semiHidden/>
    <w:rsid w:val="006D1B78"/>
    <w:rPr>
      <w:lang w:val="fr-CH" w:eastAsia="en-US"/>
    </w:rPr>
  </w:style>
  <w:style w:type="paragraph" w:styleId="NormalIndent">
    <w:name w:val="Normal Indent"/>
    <w:basedOn w:val="Normal"/>
    <w:semiHidden/>
    <w:rsid w:val="006D1B78"/>
    <w:pPr>
      <w:ind w:left="567"/>
    </w:pPr>
    <w:rPr>
      <w:lang w:val="fr-CH"/>
    </w:rPr>
  </w:style>
  <w:style w:type="paragraph" w:styleId="Salutation">
    <w:name w:val="Salutation"/>
    <w:basedOn w:val="Normal"/>
    <w:next w:val="Normal"/>
    <w:link w:val="SalutationChar"/>
    <w:semiHidden/>
    <w:rsid w:val="006D1B78"/>
    <w:rPr>
      <w:lang w:val="fr-CH"/>
    </w:rPr>
  </w:style>
  <w:style w:type="character" w:customStyle="1" w:styleId="SalutationChar">
    <w:name w:val="Salutation Char"/>
    <w:basedOn w:val="DefaultParagraphFont"/>
    <w:link w:val="Salutation"/>
    <w:semiHidden/>
    <w:rsid w:val="006D1B78"/>
    <w:rPr>
      <w:lang w:val="fr-CH" w:eastAsia="en-US"/>
    </w:rPr>
  </w:style>
  <w:style w:type="paragraph" w:styleId="Signature">
    <w:name w:val="Signature"/>
    <w:basedOn w:val="Normal"/>
    <w:link w:val="SignatureChar"/>
    <w:semiHidden/>
    <w:rsid w:val="006D1B78"/>
    <w:pPr>
      <w:ind w:left="4252"/>
    </w:pPr>
    <w:rPr>
      <w:lang w:val="fr-CH"/>
    </w:rPr>
  </w:style>
  <w:style w:type="character" w:customStyle="1" w:styleId="SignatureChar">
    <w:name w:val="Signature Char"/>
    <w:basedOn w:val="DefaultParagraphFont"/>
    <w:link w:val="Signature"/>
    <w:semiHidden/>
    <w:rsid w:val="006D1B78"/>
    <w:rPr>
      <w:lang w:val="fr-CH" w:eastAsia="en-US"/>
    </w:rPr>
  </w:style>
  <w:style w:type="paragraph" w:styleId="E-mailSignature">
    <w:name w:val="E-mail Signature"/>
    <w:basedOn w:val="Normal"/>
    <w:link w:val="E-mailSignatureChar"/>
    <w:semiHidden/>
    <w:rsid w:val="006D1B78"/>
    <w:rPr>
      <w:lang w:val="fr-CH"/>
    </w:rPr>
  </w:style>
  <w:style w:type="character" w:customStyle="1" w:styleId="E-mailSignatureChar">
    <w:name w:val="E-mail Signature Char"/>
    <w:basedOn w:val="DefaultParagraphFont"/>
    <w:link w:val="E-mailSignature"/>
    <w:semiHidden/>
    <w:rsid w:val="006D1B78"/>
    <w:rPr>
      <w:lang w:val="fr-CH" w:eastAsia="en-US"/>
    </w:rPr>
  </w:style>
  <w:style w:type="table" w:styleId="TableSimple1">
    <w:name w:val="Table Simple 1"/>
    <w:basedOn w:val="TableNormal"/>
    <w:semiHidden/>
    <w:rsid w:val="006D1B78"/>
    <w:pPr>
      <w:suppressAutoHyphens/>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D1B78"/>
    <w:pPr>
      <w:suppressAutoHyphens/>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D1B78"/>
    <w:pPr>
      <w:suppressAutoHyphens/>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link w:val="SubtitleChar"/>
    <w:qFormat/>
    <w:rsid w:val="006D1B78"/>
    <w:pPr>
      <w:spacing w:after="60"/>
      <w:jc w:val="center"/>
      <w:outlineLvl w:val="1"/>
    </w:pPr>
    <w:rPr>
      <w:rFonts w:ascii="Arial" w:hAnsi="Arial" w:cs="Arial"/>
      <w:sz w:val="24"/>
      <w:szCs w:val="24"/>
      <w:lang w:val="fr-CH"/>
    </w:rPr>
  </w:style>
  <w:style w:type="character" w:customStyle="1" w:styleId="SubtitleChar">
    <w:name w:val="Subtitle Char"/>
    <w:basedOn w:val="DefaultParagraphFont"/>
    <w:link w:val="Subtitle"/>
    <w:rsid w:val="006D1B78"/>
    <w:rPr>
      <w:rFonts w:ascii="Arial" w:hAnsi="Arial" w:cs="Arial"/>
      <w:sz w:val="24"/>
      <w:szCs w:val="24"/>
      <w:lang w:val="fr-CH" w:eastAsia="en-US"/>
    </w:rPr>
  </w:style>
  <w:style w:type="table" w:styleId="TableList1">
    <w:name w:val="Table List 1"/>
    <w:basedOn w:val="TableNormal"/>
    <w:semiHidden/>
    <w:rsid w:val="006D1B78"/>
    <w:pPr>
      <w:suppressAutoHyphens/>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D1B78"/>
    <w:pPr>
      <w:suppressAutoHyphens/>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D1B78"/>
    <w:pPr>
      <w:suppressAutoHyphens/>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D1B78"/>
    <w:pPr>
      <w:suppressAutoHyphens/>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D1B78"/>
    <w:pPr>
      <w:suppressAutoHyphens/>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D1B78"/>
    <w:pPr>
      <w:suppressAutoHyphens/>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D1B78"/>
    <w:pPr>
      <w:suppressAutoHyphens/>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D1B78"/>
    <w:pPr>
      <w:suppressAutoHyphens/>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D1B78"/>
    <w:pPr>
      <w:suppressAutoHyphens/>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D1B78"/>
    <w:pPr>
      <w:spacing w:before="240" w:after="60"/>
      <w:jc w:val="center"/>
      <w:outlineLvl w:val="0"/>
    </w:pPr>
    <w:rPr>
      <w:rFonts w:ascii="Arial" w:hAnsi="Arial" w:cs="Arial"/>
      <w:b/>
      <w:bCs/>
      <w:kern w:val="28"/>
      <w:sz w:val="32"/>
      <w:szCs w:val="32"/>
      <w:lang w:val="fr-CH"/>
    </w:rPr>
  </w:style>
  <w:style w:type="character" w:customStyle="1" w:styleId="TitleChar">
    <w:name w:val="Title Char"/>
    <w:basedOn w:val="DefaultParagraphFont"/>
    <w:link w:val="Title"/>
    <w:rsid w:val="006D1B78"/>
    <w:rPr>
      <w:rFonts w:ascii="Arial" w:hAnsi="Arial" w:cs="Arial"/>
      <w:b/>
      <w:bCs/>
      <w:kern w:val="28"/>
      <w:sz w:val="32"/>
      <w:szCs w:val="32"/>
      <w:lang w:val="fr-CH" w:eastAsia="en-US"/>
    </w:rPr>
  </w:style>
  <w:style w:type="paragraph" w:styleId="NoteHeading">
    <w:name w:val="Note Heading"/>
    <w:basedOn w:val="Normal"/>
    <w:next w:val="Normal"/>
    <w:link w:val="NoteHeadingChar"/>
    <w:semiHidden/>
    <w:rsid w:val="006D1B78"/>
    <w:rPr>
      <w:lang w:val="fr-CH"/>
    </w:rPr>
  </w:style>
  <w:style w:type="character" w:customStyle="1" w:styleId="NoteHeadingChar">
    <w:name w:val="Note Heading Char"/>
    <w:basedOn w:val="DefaultParagraphFont"/>
    <w:link w:val="NoteHeading"/>
    <w:semiHidden/>
    <w:rsid w:val="006D1B78"/>
    <w:rPr>
      <w:lang w:val="fr-CH" w:eastAsia="en-US"/>
    </w:rPr>
  </w:style>
  <w:style w:type="character" w:styleId="HTMLVariable">
    <w:name w:val="HTML Variable"/>
    <w:semiHidden/>
    <w:rsid w:val="006D1B78"/>
    <w:rPr>
      <w:i/>
      <w:iCs/>
    </w:rPr>
  </w:style>
  <w:style w:type="table" w:styleId="TableWeb1">
    <w:name w:val="Table Web 1"/>
    <w:basedOn w:val="TableNormal"/>
    <w:semiHidden/>
    <w:rsid w:val="006D1B78"/>
    <w:pPr>
      <w:suppressAutoHyphens/>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D1B78"/>
    <w:pPr>
      <w:suppressAutoHyphens/>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D1B78"/>
    <w:pPr>
      <w:suppressAutoHyphens/>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6D1B78"/>
    <w:pPr>
      <w:suppressAutoHyphens/>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D1B78"/>
    <w:pPr>
      <w:suppressAutoHyphens/>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D1B78"/>
    <w:pPr>
      <w:suppressAutoHyphens/>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D1B78"/>
    <w:pPr>
      <w:suppressAutoHyphens/>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6D1B78"/>
    <w:pPr>
      <w:suppressAutoHyphens/>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D1B78"/>
    <w:pPr>
      <w:suppressAutoHyphens/>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D1B78"/>
    <w:pPr>
      <w:suppressAutoHyphens/>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6D1B78"/>
    <w:pPr>
      <w:suppressAutoHyphens/>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ItemnoChar">
    <w:name w:val="Item no Char"/>
    <w:link w:val="Itemno"/>
    <w:rsid w:val="006D1B78"/>
    <w:rPr>
      <w:rFonts w:ascii="Times New Roman Bold" w:hAnsi="Times New Roman Bold"/>
      <w:b/>
      <w:snapToGrid w:val="0"/>
      <w:sz w:val="24"/>
      <w:lang w:eastAsia="en-US"/>
    </w:rPr>
  </w:style>
  <w:style w:type="paragraph" w:styleId="BalloonText">
    <w:name w:val="Balloon Text"/>
    <w:basedOn w:val="Normal"/>
    <w:link w:val="BalloonTextChar"/>
    <w:rsid w:val="006D1B78"/>
    <w:pPr>
      <w:spacing w:line="240" w:lineRule="auto"/>
    </w:pPr>
    <w:rPr>
      <w:rFonts w:ascii="Tahoma" w:hAnsi="Tahoma" w:cs="Tahoma"/>
      <w:sz w:val="16"/>
      <w:szCs w:val="16"/>
      <w:lang w:val="fr-CH"/>
    </w:rPr>
  </w:style>
  <w:style w:type="character" w:customStyle="1" w:styleId="BalloonTextChar">
    <w:name w:val="Balloon Text Char"/>
    <w:basedOn w:val="DefaultParagraphFont"/>
    <w:link w:val="BalloonText"/>
    <w:rsid w:val="006D1B78"/>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6D1B78"/>
    <w:rPr>
      <w:sz w:val="18"/>
      <w:lang w:eastAsia="en-US"/>
    </w:rPr>
  </w:style>
  <w:style w:type="paragraph" w:styleId="CommentSubject">
    <w:name w:val="annotation subject"/>
    <w:basedOn w:val="CommentText"/>
    <w:next w:val="CommentText"/>
    <w:link w:val="CommentSubjectChar"/>
    <w:rsid w:val="006D1B78"/>
    <w:rPr>
      <w:b/>
      <w:bCs/>
    </w:rPr>
  </w:style>
  <w:style w:type="character" w:customStyle="1" w:styleId="CommentSubjectChar">
    <w:name w:val="Comment Subject Char"/>
    <w:basedOn w:val="CommentTextChar"/>
    <w:link w:val="CommentSubject"/>
    <w:rsid w:val="006D1B78"/>
    <w:rPr>
      <w:b/>
      <w:bCs/>
      <w:lang w:val="fr-CH" w:eastAsia="en-US"/>
    </w:rPr>
  </w:style>
  <w:style w:type="paragraph" w:styleId="Revision">
    <w:name w:val="Revision"/>
    <w:hidden/>
    <w:uiPriority w:val="99"/>
    <w:semiHidden/>
    <w:rsid w:val="006D1B78"/>
    <w:rPr>
      <w:lang w:val="fr-CH" w:eastAsia="en-US"/>
    </w:rPr>
  </w:style>
  <w:style w:type="paragraph" w:customStyle="1" w:styleId="Default">
    <w:name w:val="Default"/>
    <w:rsid w:val="006D1B78"/>
    <w:pPr>
      <w:autoSpaceDE w:val="0"/>
      <w:autoSpaceDN w:val="0"/>
      <w:adjustRightInd w:val="0"/>
    </w:pPr>
    <w:rPr>
      <w:color w:val="000000"/>
      <w:sz w:val="24"/>
      <w:szCs w:val="24"/>
      <w:lang w:eastAsia="en-US"/>
    </w:rPr>
  </w:style>
  <w:style w:type="character" w:customStyle="1" w:styleId="style2">
    <w:name w:val="style2"/>
    <w:basedOn w:val="DefaultParagraphFont"/>
    <w:rsid w:val="006D1B78"/>
  </w:style>
  <w:style w:type="character" w:customStyle="1" w:styleId="style10">
    <w:name w:val="style10"/>
    <w:basedOn w:val="DefaultParagraphFont"/>
    <w:rsid w:val="006D1B78"/>
  </w:style>
  <w:style w:type="character" w:customStyle="1" w:styleId="style14">
    <w:name w:val="style14"/>
    <w:basedOn w:val="DefaultParagraphFont"/>
    <w:rsid w:val="006D1B78"/>
  </w:style>
  <w:style w:type="character" w:customStyle="1" w:styleId="style19">
    <w:name w:val="style19"/>
    <w:basedOn w:val="DefaultParagraphFont"/>
    <w:rsid w:val="006D1B78"/>
  </w:style>
  <w:style w:type="paragraph" w:customStyle="1" w:styleId="style13">
    <w:name w:val="style13"/>
    <w:basedOn w:val="Normal"/>
    <w:rsid w:val="006D1B78"/>
    <w:pPr>
      <w:suppressAutoHyphens w:val="0"/>
      <w:spacing w:before="100" w:beforeAutospacing="1" w:after="100" w:afterAutospacing="1" w:line="240" w:lineRule="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19</Pages>
  <Words>8155</Words>
  <Characters>46484</Characters>
  <Application>Microsoft Office Word</Application>
  <DocSecurity>0</DocSecurity>
  <Lines>387</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AB</dc:creator>
  <cp:lastModifiedBy>AB</cp:lastModifiedBy>
  <cp:revision>2</cp:revision>
  <cp:lastPrinted>2018-12-12T09:26:00Z</cp:lastPrinted>
  <dcterms:created xsi:type="dcterms:W3CDTF">2018-12-12T09:38:00Z</dcterms:created>
  <dcterms:modified xsi:type="dcterms:W3CDTF">2018-12-12T09:38:00Z</dcterms:modified>
</cp:coreProperties>
</file>