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26573"/>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26573" w:rsidP="00526573">
            <w:pPr>
              <w:jc w:val="right"/>
            </w:pPr>
            <w:r w:rsidRPr="00526573">
              <w:rPr>
                <w:sz w:val="40"/>
              </w:rPr>
              <w:t>ECE</w:t>
            </w:r>
            <w:r>
              <w:t>/TRANS/</w:t>
            </w:r>
            <w:r w:rsidR="0039498F">
              <w:t>288</w:t>
            </w:r>
            <w:r>
              <w:t>/Add.</w:t>
            </w:r>
            <w:r w:rsidR="0039498F">
              <w:t>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26573" w:rsidP="00C97039">
            <w:pPr>
              <w:spacing w:before="240"/>
            </w:pPr>
            <w:proofErr w:type="spellStart"/>
            <w:r>
              <w:t>Distr</w:t>
            </w:r>
            <w:proofErr w:type="spellEnd"/>
            <w:r>
              <w:t xml:space="preserve">. </w:t>
            </w:r>
            <w:proofErr w:type="gramStart"/>
            <w:r>
              <w:t>générale</w:t>
            </w:r>
            <w:proofErr w:type="gramEnd"/>
          </w:p>
          <w:p w:rsidR="00526573" w:rsidRDefault="00715587" w:rsidP="00526573">
            <w:pPr>
              <w:spacing w:line="240" w:lineRule="exact"/>
            </w:pPr>
            <w:r>
              <w:t>1</w:t>
            </w:r>
            <w:r w:rsidR="002746F6">
              <w:t xml:space="preserve"> </w:t>
            </w:r>
            <w:r>
              <w:t>avril</w:t>
            </w:r>
            <w:bookmarkStart w:id="0" w:name="_GoBack"/>
            <w:bookmarkEnd w:id="0"/>
            <w:r w:rsidR="00526573">
              <w:t xml:space="preserve"> 201</w:t>
            </w:r>
            <w:r w:rsidR="00BD380A">
              <w:t>9</w:t>
            </w:r>
          </w:p>
          <w:p w:rsidR="00526573" w:rsidRDefault="00526573" w:rsidP="00526573">
            <w:pPr>
              <w:spacing w:line="240" w:lineRule="exact"/>
            </w:pPr>
            <w:r>
              <w:t>Français</w:t>
            </w:r>
          </w:p>
          <w:p w:rsidR="00526573" w:rsidRPr="00DB58B5" w:rsidRDefault="00526573" w:rsidP="00526573">
            <w:pPr>
              <w:spacing w:line="240" w:lineRule="exact"/>
            </w:pPr>
            <w:r>
              <w:t>Original : anglais</w:t>
            </w:r>
            <w:r w:rsidR="00BD380A">
              <w:t>, français et russe</w:t>
            </w:r>
          </w:p>
        </w:tc>
      </w:tr>
    </w:tbl>
    <w:p w:rsidR="007F20FA" w:rsidRPr="000312C0" w:rsidRDefault="007F20FA" w:rsidP="007F20FA">
      <w:pPr>
        <w:spacing w:before="120"/>
        <w:rPr>
          <w:b/>
          <w:sz w:val="28"/>
          <w:szCs w:val="28"/>
        </w:rPr>
      </w:pPr>
      <w:r w:rsidRPr="000312C0">
        <w:rPr>
          <w:b/>
          <w:sz w:val="28"/>
          <w:szCs w:val="28"/>
        </w:rPr>
        <w:t>Commission économique pour l</w:t>
      </w:r>
      <w:r w:rsidR="006D65AF">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526573" w:rsidRPr="008D143A" w:rsidRDefault="00526573" w:rsidP="00526573">
      <w:pPr>
        <w:spacing w:before="120"/>
        <w:rPr>
          <w:b/>
          <w:bCs/>
          <w:lang w:val="fr-FR"/>
        </w:rPr>
      </w:pPr>
      <w:r w:rsidRPr="008D143A">
        <w:rPr>
          <w:b/>
          <w:bCs/>
          <w:lang w:val="fr-FR"/>
        </w:rPr>
        <w:t>Quatre-vingt</w:t>
      </w:r>
      <w:r w:rsidR="00D97F02">
        <w:rPr>
          <w:b/>
          <w:bCs/>
          <w:lang w:val="fr-FR"/>
        </w:rPr>
        <w:t>-un</w:t>
      </w:r>
      <w:r w:rsidRPr="008D143A">
        <w:rPr>
          <w:b/>
          <w:bCs/>
          <w:lang w:val="fr-FR"/>
        </w:rPr>
        <w:t>ième session</w:t>
      </w:r>
    </w:p>
    <w:p w:rsidR="00526573" w:rsidRPr="008D143A" w:rsidRDefault="00526573" w:rsidP="00526573">
      <w:pPr>
        <w:rPr>
          <w:b/>
          <w:bCs/>
          <w:lang w:val="fr-FR"/>
        </w:rPr>
      </w:pPr>
      <w:r w:rsidRPr="008D143A">
        <w:rPr>
          <w:lang w:val="fr-FR"/>
        </w:rPr>
        <w:t xml:space="preserve">Genève, </w:t>
      </w:r>
      <w:r w:rsidR="00D97F02">
        <w:rPr>
          <w:lang w:val="fr-FR"/>
        </w:rPr>
        <w:t>19</w:t>
      </w:r>
      <w:r w:rsidRPr="008D143A">
        <w:rPr>
          <w:lang w:val="fr-FR"/>
        </w:rPr>
        <w:t>-2</w:t>
      </w:r>
      <w:r w:rsidR="00D97F02">
        <w:rPr>
          <w:lang w:val="fr-FR"/>
        </w:rPr>
        <w:t>2</w:t>
      </w:r>
      <w:r w:rsidRPr="008D143A">
        <w:rPr>
          <w:lang w:val="fr-FR"/>
        </w:rPr>
        <w:t xml:space="preserve"> février 201</w:t>
      </w:r>
      <w:r w:rsidR="00D97F02">
        <w:rPr>
          <w:lang w:val="fr-FR"/>
        </w:rPr>
        <w:t>9</w:t>
      </w:r>
    </w:p>
    <w:p w:rsidR="00526573" w:rsidRPr="008D143A" w:rsidRDefault="00526573" w:rsidP="00526573">
      <w:pPr>
        <w:pStyle w:val="HChG"/>
        <w:rPr>
          <w:b w:val="0"/>
          <w:sz w:val="20"/>
          <w:lang w:val="fr-FR"/>
        </w:rPr>
      </w:pPr>
      <w:r w:rsidRPr="008D143A">
        <w:rPr>
          <w:color w:val="FF0000"/>
          <w:lang w:val="fr-FR"/>
        </w:rPr>
        <w:tab/>
      </w:r>
      <w:r w:rsidRPr="008D143A">
        <w:rPr>
          <w:color w:val="FF0000"/>
          <w:lang w:val="fr-FR"/>
        </w:rPr>
        <w:tab/>
      </w:r>
      <w:r w:rsidRPr="008D143A">
        <w:rPr>
          <w:lang w:val="fr-FR"/>
        </w:rPr>
        <w:t>R</w:t>
      </w:r>
      <w:r>
        <w:rPr>
          <w:lang w:val="fr-FR"/>
        </w:rPr>
        <w:t>ap</w:t>
      </w:r>
      <w:r w:rsidRPr="008D143A">
        <w:rPr>
          <w:lang w:val="fr-FR"/>
        </w:rPr>
        <w:t>port du Comité des transports intérieurs</w:t>
      </w:r>
      <w:r w:rsidRPr="008D143A">
        <w:rPr>
          <w:lang w:val="fr-FR"/>
        </w:rPr>
        <w:br/>
        <w:t>sur sa quatre-vingt</w:t>
      </w:r>
      <w:r w:rsidR="00D97F02">
        <w:rPr>
          <w:lang w:val="fr-FR"/>
        </w:rPr>
        <w:t>-un</w:t>
      </w:r>
      <w:r w:rsidRPr="008D143A">
        <w:rPr>
          <w:lang w:val="fr-FR"/>
        </w:rPr>
        <w:t>ième session</w:t>
      </w:r>
    </w:p>
    <w:p w:rsidR="00F9573C" w:rsidRDefault="00526573" w:rsidP="00080E79">
      <w:pPr>
        <w:pStyle w:val="H1G"/>
        <w:rPr>
          <w:lang w:val="fr-FR"/>
        </w:rPr>
      </w:pPr>
      <w:r w:rsidRPr="008D143A">
        <w:rPr>
          <w:lang w:val="fr-FR"/>
        </w:rPr>
        <w:tab/>
      </w:r>
      <w:r w:rsidRPr="008D143A">
        <w:rPr>
          <w:lang w:val="fr-FR"/>
        </w:rPr>
        <w:tab/>
        <w:t>Additif</w:t>
      </w:r>
      <w:r w:rsidR="00BD380A">
        <w:rPr>
          <w:lang w:val="fr-FR"/>
        </w:rPr>
        <w:t xml:space="preserve"> 2</w:t>
      </w:r>
    </w:p>
    <w:p w:rsidR="00773D48" w:rsidRDefault="00773D48" w:rsidP="00080E79">
      <w:pPr>
        <w:pStyle w:val="H1G"/>
        <w:rPr>
          <w:lang w:val="fr-FR"/>
        </w:rPr>
      </w:pPr>
      <w:r>
        <w:rPr>
          <w:lang w:val="fr-FR"/>
        </w:rPr>
        <w:tab/>
      </w:r>
      <w:r>
        <w:rPr>
          <w:lang w:val="fr-FR"/>
        </w:rPr>
        <w:tab/>
      </w:r>
      <w:r w:rsidRPr="00773D48">
        <w:rPr>
          <w:lang w:val="fr-FR"/>
        </w:rPr>
        <w:t>Note du secrétariat</w:t>
      </w:r>
    </w:p>
    <w:p w:rsidR="004315B6" w:rsidRDefault="004315B6" w:rsidP="00D2305C">
      <w:pPr>
        <w:pStyle w:val="SingleTxtG"/>
        <w:ind w:firstLine="567"/>
        <w:rPr>
          <w:rFonts w:eastAsia="Times New Roman"/>
        </w:rPr>
      </w:pPr>
      <w:r>
        <w:t xml:space="preserve">Lors de sa quatre-vingt-unième session, le Comité des transports intérieurs (CTI), a examiné et adopté avec acclamation la stratégie du CTI à l’horizon 2030, telle que contenue dans le document ECE/TRANS/2019/R.1 (document restreint), y compris la vision, le mandat, les objectifs stratégiques, le plan d’action, la liste des priorités, la mobilisation des ressources et le partenariat, et a demandé au secrétariat d’annexer ce document au rapport du Comité. </w:t>
      </w:r>
    </w:p>
    <w:p w:rsidR="00080E79" w:rsidRPr="00080E79" w:rsidRDefault="004315B6" w:rsidP="004315B6">
      <w:pPr>
        <w:ind w:left="981" w:firstLine="720"/>
        <w:rPr>
          <w:lang w:val="fr-FR"/>
        </w:rPr>
      </w:pPr>
      <w:r>
        <w:t>Ce document est publié en réponse à la décision ci-dessus du CTI.</w:t>
      </w:r>
    </w:p>
    <w:p w:rsidR="00773D48" w:rsidRPr="00E919A1" w:rsidRDefault="00773D48" w:rsidP="00773D48">
      <w:pPr>
        <w:pStyle w:val="HChG"/>
        <w:rPr>
          <w:lang w:val="fr-FR"/>
        </w:rPr>
      </w:pPr>
      <w:r>
        <w:rPr>
          <w:lang w:val="fr-FR"/>
        </w:rPr>
        <w:br w:type="page"/>
      </w:r>
      <w:r>
        <w:rPr>
          <w:lang w:val="fr-FR"/>
        </w:rPr>
        <w:lastRenderedPageBreak/>
        <w:tab/>
      </w:r>
      <w:r>
        <w:rPr>
          <w:lang w:val="fr-FR"/>
        </w:rPr>
        <w:tab/>
      </w:r>
      <w:r w:rsidRPr="00E919A1">
        <w:rPr>
          <w:lang w:val="fr-FR"/>
        </w:rPr>
        <w:t xml:space="preserve">Stratégie du Comité des transports intérieurs </w:t>
      </w:r>
      <w:r>
        <w:rPr>
          <w:lang w:val="fr-FR"/>
        </w:rPr>
        <w:br/>
      </w:r>
      <w:r w:rsidRPr="00E919A1">
        <w:rPr>
          <w:lang w:val="fr-FR"/>
        </w:rPr>
        <w:t>à l</w:t>
      </w:r>
      <w:r>
        <w:rPr>
          <w:lang w:val="fr-FR"/>
        </w:rPr>
        <w:t>’</w:t>
      </w:r>
      <w:r w:rsidRPr="00E919A1">
        <w:rPr>
          <w:lang w:val="fr-FR"/>
        </w:rPr>
        <w:t>horizon 2030</w:t>
      </w:r>
    </w:p>
    <w:p w:rsidR="00194354" w:rsidRDefault="00194354" w:rsidP="00194354">
      <w:pPr>
        <w:pStyle w:val="H1G"/>
        <w:rPr>
          <w:lang w:val="fr-FR"/>
        </w:rPr>
      </w:pPr>
      <w:r>
        <w:rPr>
          <w:lang w:val="fr-FR"/>
        </w:rPr>
        <w:tab/>
      </w:r>
      <w:r>
        <w:rPr>
          <w:lang w:val="fr-FR"/>
        </w:rPr>
        <w:tab/>
      </w:r>
      <w:r w:rsidRPr="00E919A1">
        <w:rPr>
          <w:lang w:val="fr-FR"/>
        </w:rPr>
        <w:t xml:space="preserve">Note du Bureau du Comité des transports intérieurs </w:t>
      </w:r>
      <w:r>
        <w:rPr>
          <w:lang w:val="fr-FR"/>
        </w:rPr>
        <w:br/>
      </w:r>
      <w:r w:rsidRPr="00E919A1">
        <w:rPr>
          <w:lang w:val="fr-FR"/>
        </w:rPr>
        <w:t>et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194354" w:rsidTr="00194354">
        <w:trPr>
          <w:cantSplit/>
          <w:jc w:val="center"/>
        </w:trPr>
        <w:tc>
          <w:tcPr>
            <w:tcW w:w="9637" w:type="dxa"/>
            <w:shd w:val="clear" w:color="auto" w:fill="auto"/>
          </w:tcPr>
          <w:p w:rsidR="00194354" w:rsidRPr="00E8252C" w:rsidRDefault="00194354" w:rsidP="00826F40">
            <w:pPr>
              <w:spacing w:before="240" w:after="120"/>
              <w:ind w:left="1134"/>
              <w:rPr>
                <w:b/>
                <w:sz w:val="24"/>
              </w:rPr>
            </w:pPr>
            <w:r w:rsidRPr="00E8252C">
              <w:rPr>
                <w:b/>
                <w:sz w:val="24"/>
              </w:rPr>
              <w:t>Mission confiée et décisions connexes</w:t>
            </w:r>
          </w:p>
        </w:tc>
      </w:tr>
      <w:tr w:rsidR="00194354" w:rsidTr="00194354">
        <w:trPr>
          <w:cantSplit/>
          <w:jc w:val="center"/>
        </w:trPr>
        <w:tc>
          <w:tcPr>
            <w:tcW w:w="9637" w:type="dxa"/>
            <w:shd w:val="clear" w:color="auto" w:fill="auto"/>
          </w:tcPr>
          <w:p w:rsidR="00194354" w:rsidRDefault="00194354" w:rsidP="00826F40">
            <w:pPr>
              <w:pStyle w:val="SingleTxtG"/>
              <w:ind w:firstLine="567"/>
            </w:pPr>
            <w:r w:rsidRPr="00A921DE">
              <w:t xml:space="preserve">À l’occasion du soixante-dixième anniversaire du Comité des transports intérieurs (CTI) et dans le cadre de la soixante-dix-neuvième session du Comité (21­24 février 2017), les ministres des transports de la CEE et des États qui sont Parties contractantes aux conventions sur les transports relevant du Comité ont tenu à Genève, le 21 février 2017, une réunion ministérielle intitulée « Passé et avenir du Comité des transports intérieurs de la CEE » </w:t>
            </w:r>
            <w:r>
              <w:t>lors de</w:t>
            </w:r>
            <w:r w:rsidRPr="00A921DE">
              <w:t xml:space="preserve"> laquelle ils ont fêté l’anniversaire du CTI, fait le bilan de ses réalisations passées et fixé ses missions futures.</w:t>
            </w:r>
          </w:p>
        </w:tc>
      </w:tr>
      <w:tr w:rsidR="00194354" w:rsidTr="00194354">
        <w:trPr>
          <w:cantSplit/>
          <w:jc w:val="center"/>
        </w:trPr>
        <w:tc>
          <w:tcPr>
            <w:tcW w:w="9637" w:type="dxa"/>
            <w:shd w:val="clear" w:color="auto" w:fill="auto"/>
          </w:tcPr>
          <w:p w:rsidR="00194354" w:rsidRDefault="00194354" w:rsidP="00826F40">
            <w:pPr>
              <w:pStyle w:val="SingleTxtG"/>
              <w:ind w:firstLine="567"/>
            </w:pPr>
            <w:r w:rsidRPr="00A921DE">
              <w:t>Cette réunion s’est conclue par la signature d’une résolution ministérielle intitulée « Embrasser l’ère nouvelle de la viabilité des transports intérieurs et de la mobilité » (ECE/TRANS/2017/2), dans laquelle le Comité est invité à mettre en œuvre un dialogue stratégique et à élaborer pour lui-même une stratégie qui tienne compte des décisions contenues dans ladite résolution.</w:t>
            </w:r>
          </w:p>
        </w:tc>
      </w:tr>
      <w:tr w:rsidR="00194354" w:rsidTr="00194354">
        <w:trPr>
          <w:cantSplit/>
          <w:jc w:val="center"/>
        </w:trPr>
        <w:tc>
          <w:tcPr>
            <w:tcW w:w="9637" w:type="dxa"/>
            <w:tcBorders>
              <w:bottom w:val="nil"/>
            </w:tcBorders>
            <w:shd w:val="clear" w:color="auto" w:fill="auto"/>
          </w:tcPr>
          <w:p w:rsidR="00194354" w:rsidRDefault="00194354" w:rsidP="00826F40">
            <w:pPr>
              <w:pStyle w:val="SingleTxtG"/>
              <w:ind w:firstLine="567"/>
            </w:pPr>
            <w:r w:rsidRPr="00A921DE">
              <w:t xml:space="preserve">Le Comité </w:t>
            </w:r>
            <w:r w:rsidRPr="007B3A5F">
              <w:rPr>
                <w:b/>
              </w:rPr>
              <w:t>a salué et approuvé</w:t>
            </w:r>
            <w:r w:rsidRPr="00A921DE">
              <w:t xml:space="preserve"> cette résolution ministérielle et décidé d’examiner son projet de stratégie à sa quatre-vingtième session annuelle, en 2018</w:t>
            </w:r>
            <w:r>
              <w:t xml:space="preserve"> (ECE/TRANS/270).</w:t>
            </w:r>
          </w:p>
        </w:tc>
      </w:tr>
      <w:tr w:rsidR="00194354" w:rsidTr="00194354">
        <w:trPr>
          <w:cantSplit/>
          <w:jc w:val="center"/>
        </w:trPr>
        <w:tc>
          <w:tcPr>
            <w:tcW w:w="9637" w:type="dxa"/>
            <w:tcBorders>
              <w:top w:val="nil"/>
              <w:bottom w:val="nil"/>
            </w:tcBorders>
            <w:shd w:val="clear" w:color="auto" w:fill="auto"/>
          </w:tcPr>
          <w:p w:rsidR="00194354" w:rsidRDefault="00194354" w:rsidP="00826F40">
            <w:pPr>
              <w:pStyle w:val="SingleTxtG"/>
              <w:ind w:firstLine="567"/>
            </w:pPr>
            <w:r w:rsidRPr="00A921DE">
              <w:t>Le Comité a effectivement examiné un document de travail relatif à son projet de stratégie à sa quatre-vingtième session annuelle, en 2018, et s’est déclaré favorable à la</w:t>
            </w:r>
            <w:r>
              <w:t> </w:t>
            </w:r>
            <w:r w:rsidRPr="00A921DE">
              <w:t>poursuite des discussions sur la base de ce document. Il a en outre demandé qu’un</w:t>
            </w:r>
            <w:r>
              <w:t> </w:t>
            </w:r>
            <w:r w:rsidRPr="00A921DE">
              <w:t>plan</w:t>
            </w:r>
            <w:r>
              <w:t> </w:t>
            </w:r>
            <w:r w:rsidRPr="00A921DE">
              <w:t>d’action et un plan de mise en œuvre soient présentés pour adoption à la quatre</w:t>
            </w:r>
            <w:r>
              <w:noBreakHyphen/>
            </w:r>
            <w:r w:rsidRPr="00A921DE">
              <w:t>vingt-unième session du Comité, en 2019. Le présent document a été établi en réponse à cette demande.</w:t>
            </w:r>
          </w:p>
        </w:tc>
      </w:tr>
      <w:tr w:rsidR="00194354" w:rsidTr="00194354">
        <w:trPr>
          <w:cantSplit/>
          <w:jc w:val="center"/>
        </w:trPr>
        <w:tc>
          <w:tcPr>
            <w:tcW w:w="9637" w:type="dxa"/>
            <w:tcBorders>
              <w:top w:val="nil"/>
            </w:tcBorders>
            <w:shd w:val="clear" w:color="auto" w:fill="auto"/>
          </w:tcPr>
          <w:p w:rsidR="00194354" w:rsidRDefault="00194354" w:rsidP="00826F40">
            <w:pPr>
              <w:pStyle w:val="SingleTxtG"/>
              <w:keepNext/>
              <w:ind w:firstLine="567"/>
            </w:pPr>
            <w:r w:rsidRPr="00E919A1">
              <w:rPr>
                <w:lang w:val="fr-FR"/>
              </w:rPr>
              <w:t xml:space="preserve">À partir des informations fournies dans le présent document, le Comité est </w:t>
            </w:r>
            <w:r w:rsidRPr="00E919A1">
              <w:rPr>
                <w:b/>
                <w:bCs/>
                <w:lang w:val="fr-FR"/>
              </w:rPr>
              <w:t>invité</w:t>
            </w:r>
            <w:r>
              <w:rPr>
                <w:lang w:val="fr-FR"/>
              </w:rPr>
              <w:t> :</w:t>
            </w:r>
          </w:p>
        </w:tc>
      </w:tr>
      <w:tr w:rsidR="00194354" w:rsidTr="00194354">
        <w:trPr>
          <w:cantSplit/>
          <w:jc w:val="center"/>
        </w:trPr>
        <w:tc>
          <w:tcPr>
            <w:tcW w:w="9637" w:type="dxa"/>
            <w:shd w:val="clear" w:color="auto" w:fill="auto"/>
          </w:tcPr>
          <w:p w:rsidR="00194354" w:rsidRDefault="00194354" w:rsidP="00826F40">
            <w:pPr>
              <w:pStyle w:val="SingleTxtG"/>
              <w:keepNext/>
              <w:ind w:firstLine="567"/>
            </w:pPr>
            <w:r w:rsidRPr="00E919A1">
              <w:rPr>
                <w:lang w:val="fr-FR"/>
              </w:rPr>
              <w:t>a)</w:t>
            </w:r>
            <w:r w:rsidRPr="00E919A1">
              <w:rPr>
                <w:lang w:val="fr-FR"/>
              </w:rPr>
              <w:tab/>
            </w:r>
            <w:r w:rsidRPr="008243E7">
              <w:rPr>
                <w:b/>
                <w:lang w:val="fr-FR"/>
              </w:rPr>
              <w:t>À</w:t>
            </w:r>
            <w:r w:rsidRPr="00E919A1">
              <w:rPr>
                <w:lang w:val="fr-FR"/>
              </w:rPr>
              <w:t xml:space="preserve"> </w:t>
            </w:r>
            <w:r w:rsidRPr="00E919A1">
              <w:rPr>
                <w:b/>
                <w:bCs/>
                <w:lang w:val="fr-FR"/>
              </w:rPr>
              <w:t>examiner et adopter</w:t>
            </w:r>
            <w:r w:rsidRPr="00E919A1">
              <w:rPr>
                <w:lang w:val="fr-FR"/>
              </w:rPr>
              <w:t xml:space="preserve"> </w:t>
            </w:r>
            <w:r>
              <w:rPr>
                <w:lang w:val="fr-FR"/>
              </w:rPr>
              <w:t>la</w:t>
            </w:r>
            <w:r w:rsidRPr="00E919A1">
              <w:rPr>
                <w:lang w:val="fr-FR"/>
              </w:rPr>
              <w:t xml:space="preserve"> stratégie à l</w:t>
            </w:r>
            <w:r>
              <w:rPr>
                <w:lang w:val="fr-FR"/>
              </w:rPr>
              <w:t>’</w:t>
            </w:r>
            <w:r w:rsidRPr="00E919A1">
              <w:rPr>
                <w:lang w:val="fr-FR"/>
              </w:rPr>
              <w:t>horizon 2030</w:t>
            </w:r>
            <w:r>
              <w:rPr>
                <w:lang w:val="fr-FR"/>
              </w:rPr>
              <w:t>,</w:t>
            </w:r>
            <w:r w:rsidRPr="00E919A1">
              <w:rPr>
                <w:lang w:val="fr-FR"/>
              </w:rPr>
              <w:t xml:space="preserve"> </w:t>
            </w:r>
            <w:r>
              <w:rPr>
                <w:lang w:val="fr-FR"/>
              </w:rPr>
              <w:t>qui décrit</w:t>
            </w:r>
            <w:r w:rsidRPr="00E919A1">
              <w:rPr>
                <w:lang w:val="fr-FR"/>
              </w:rPr>
              <w:t xml:space="preserve"> son projet, sa mission, ses objectifs stratégiques, son plan d</w:t>
            </w:r>
            <w:r>
              <w:rPr>
                <w:lang w:val="fr-FR"/>
              </w:rPr>
              <w:t>’</w:t>
            </w:r>
            <w:r w:rsidRPr="00E919A1">
              <w:rPr>
                <w:lang w:val="fr-FR"/>
              </w:rPr>
              <w:t>action, la liste de ses priorités, les ressources qu</w:t>
            </w:r>
            <w:r>
              <w:rPr>
                <w:lang w:val="fr-FR"/>
              </w:rPr>
              <w:t>’</w:t>
            </w:r>
            <w:r w:rsidRPr="00E919A1">
              <w:rPr>
                <w:lang w:val="fr-FR"/>
              </w:rPr>
              <w:t xml:space="preserve">il mobilisera et ses partenariats, et </w:t>
            </w:r>
            <w:r w:rsidRPr="008243E7">
              <w:rPr>
                <w:b/>
                <w:lang w:val="fr-FR"/>
              </w:rPr>
              <w:t xml:space="preserve">à </w:t>
            </w:r>
            <w:r w:rsidRPr="00E919A1">
              <w:rPr>
                <w:b/>
                <w:bCs/>
                <w:lang w:val="fr-FR"/>
              </w:rPr>
              <w:t xml:space="preserve">demander </w:t>
            </w:r>
            <w:r w:rsidRPr="00E919A1">
              <w:rPr>
                <w:lang w:val="fr-FR"/>
              </w:rPr>
              <w:t>au secrétariat d</w:t>
            </w:r>
            <w:r>
              <w:rPr>
                <w:lang w:val="fr-FR"/>
              </w:rPr>
              <w:t>’</w:t>
            </w:r>
            <w:r w:rsidRPr="00E919A1">
              <w:rPr>
                <w:lang w:val="fr-FR"/>
              </w:rPr>
              <w:t>annexer ce document au rapport du Comité</w:t>
            </w:r>
            <w:r>
              <w:rPr>
                <w:lang w:val="fr-FR"/>
              </w:rPr>
              <w:t> ;</w:t>
            </w:r>
          </w:p>
        </w:tc>
      </w:tr>
      <w:tr w:rsidR="00194354" w:rsidTr="00194354">
        <w:trPr>
          <w:cantSplit/>
          <w:jc w:val="center"/>
        </w:trPr>
        <w:tc>
          <w:tcPr>
            <w:tcW w:w="9637" w:type="dxa"/>
            <w:shd w:val="clear" w:color="auto" w:fill="auto"/>
          </w:tcPr>
          <w:p w:rsidR="00194354" w:rsidRDefault="00194354" w:rsidP="00826F40">
            <w:pPr>
              <w:pStyle w:val="SingleTxtG"/>
              <w:ind w:firstLine="567"/>
            </w:pPr>
            <w:r w:rsidRPr="00E919A1">
              <w:rPr>
                <w:lang w:val="fr-FR"/>
              </w:rPr>
              <w:t>b)</w:t>
            </w:r>
            <w:r w:rsidRPr="00E919A1">
              <w:rPr>
                <w:lang w:val="fr-FR"/>
              </w:rPr>
              <w:tab/>
            </w:r>
            <w:r w:rsidRPr="008243E7">
              <w:rPr>
                <w:b/>
                <w:lang w:val="fr-FR"/>
              </w:rPr>
              <w:t xml:space="preserve">À </w:t>
            </w:r>
            <w:r w:rsidRPr="00E919A1">
              <w:rPr>
                <w:b/>
                <w:bCs/>
                <w:lang w:val="fr-FR"/>
              </w:rPr>
              <w:t>examiner et adopter</w:t>
            </w:r>
            <w:r w:rsidRPr="00E919A1">
              <w:rPr>
                <w:lang w:val="fr-FR"/>
              </w:rPr>
              <w:t xml:space="preserve"> le mandat révisé du Comité (annexe I), puis à le soumettre pour approbation à la Commission économique pour l</w:t>
            </w:r>
            <w:r>
              <w:rPr>
                <w:lang w:val="fr-FR"/>
              </w:rPr>
              <w:t>’</w:t>
            </w:r>
            <w:r w:rsidRPr="00E919A1">
              <w:rPr>
                <w:lang w:val="fr-FR"/>
              </w:rPr>
              <w:t>Europe à sa soixante-huitième session, en 2019</w:t>
            </w:r>
            <w:r>
              <w:rPr>
                <w:lang w:val="fr-FR"/>
              </w:rPr>
              <w:t> ;</w:t>
            </w:r>
          </w:p>
        </w:tc>
      </w:tr>
      <w:tr w:rsidR="00194354" w:rsidTr="00194354">
        <w:trPr>
          <w:cantSplit/>
          <w:jc w:val="center"/>
        </w:trPr>
        <w:tc>
          <w:tcPr>
            <w:tcW w:w="9637" w:type="dxa"/>
            <w:shd w:val="clear" w:color="auto" w:fill="auto"/>
          </w:tcPr>
          <w:p w:rsidR="00194354" w:rsidRDefault="00194354" w:rsidP="00826F40">
            <w:pPr>
              <w:pStyle w:val="SingleTxtG"/>
              <w:ind w:firstLine="567"/>
            </w:pPr>
            <w:r w:rsidRPr="00E919A1">
              <w:rPr>
                <w:lang w:val="fr-FR"/>
              </w:rPr>
              <w:t>c)</w:t>
            </w:r>
            <w:r w:rsidRPr="00E919A1">
              <w:rPr>
                <w:lang w:val="fr-FR"/>
              </w:rPr>
              <w:tab/>
            </w:r>
            <w:r w:rsidRPr="008243E7">
              <w:rPr>
                <w:b/>
                <w:lang w:val="fr-FR"/>
              </w:rPr>
              <w:t xml:space="preserve">À </w:t>
            </w:r>
            <w:r w:rsidRPr="00E919A1">
              <w:rPr>
                <w:b/>
                <w:bCs/>
                <w:lang w:val="fr-FR"/>
              </w:rPr>
              <w:t xml:space="preserve">demander </w:t>
            </w:r>
            <w:r w:rsidRPr="00E919A1">
              <w:rPr>
                <w:lang w:val="fr-FR"/>
              </w:rPr>
              <w:t>au secrétariat d</w:t>
            </w:r>
            <w:r>
              <w:rPr>
                <w:lang w:val="fr-FR"/>
              </w:rPr>
              <w:t>’</w:t>
            </w:r>
            <w:r w:rsidRPr="00E919A1">
              <w:rPr>
                <w:lang w:val="fr-FR"/>
              </w:rPr>
              <w:t>étudier attentivement la possibilité d</w:t>
            </w:r>
            <w:r>
              <w:rPr>
                <w:lang w:val="fr-FR"/>
              </w:rPr>
              <w:t>’</w:t>
            </w:r>
            <w:r w:rsidRPr="00E919A1">
              <w:rPr>
                <w:lang w:val="fr-FR"/>
              </w:rPr>
              <w:t>une coopération plus étroite avec les autres commissions régionales, les institutions spécialisées des Nations Unies, le Département des affaires économiques et sociales (DAES) et d</w:t>
            </w:r>
            <w:r>
              <w:rPr>
                <w:lang w:val="fr-FR"/>
              </w:rPr>
              <w:t>’</w:t>
            </w:r>
            <w:r w:rsidRPr="00E919A1">
              <w:rPr>
                <w:lang w:val="fr-FR"/>
              </w:rPr>
              <w:t>autres organisations et institutions compétentes, afin de mutualiser l</w:t>
            </w:r>
            <w:r>
              <w:rPr>
                <w:lang w:val="fr-FR"/>
              </w:rPr>
              <w:t>’</w:t>
            </w:r>
            <w:r w:rsidRPr="00E919A1">
              <w:rPr>
                <w:lang w:val="fr-FR"/>
              </w:rPr>
              <w:t>expérience et les connaissances</w:t>
            </w:r>
            <w:r>
              <w:rPr>
                <w:lang w:val="fr-FR"/>
              </w:rPr>
              <w:t xml:space="preserve"> respectives ;</w:t>
            </w:r>
          </w:p>
        </w:tc>
      </w:tr>
      <w:tr w:rsidR="00194354" w:rsidTr="00194354">
        <w:trPr>
          <w:cantSplit/>
          <w:jc w:val="center"/>
        </w:trPr>
        <w:tc>
          <w:tcPr>
            <w:tcW w:w="9637" w:type="dxa"/>
            <w:shd w:val="clear" w:color="auto" w:fill="auto"/>
          </w:tcPr>
          <w:p w:rsidR="00194354" w:rsidRDefault="00194354" w:rsidP="00826F40">
            <w:pPr>
              <w:pStyle w:val="SingleTxtG"/>
              <w:ind w:firstLine="567"/>
            </w:pPr>
            <w:r w:rsidRPr="00E919A1">
              <w:rPr>
                <w:lang w:val="fr-FR"/>
              </w:rPr>
              <w:t>d)</w:t>
            </w:r>
            <w:r w:rsidRPr="00E919A1">
              <w:rPr>
                <w:lang w:val="fr-FR"/>
              </w:rPr>
              <w:tab/>
            </w:r>
            <w:r w:rsidRPr="008243E7">
              <w:rPr>
                <w:b/>
                <w:lang w:val="fr-FR"/>
              </w:rPr>
              <w:t xml:space="preserve">À </w:t>
            </w:r>
            <w:r w:rsidRPr="00E919A1">
              <w:rPr>
                <w:b/>
                <w:bCs/>
                <w:lang w:val="fr-FR"/>
              </w:rPr>
              <w:t>se déclarer favorable</w:t>
            </w:r>
            <w:r w:rsidRPr="00E919A1">
              <w:rPr>
                <w:lang w:val="fr-FR"/>
              </w:rPr>
              <w:t xml:space="preserve"> à la collaboration et aux synergies axées sur la demande</w:t>
            </w:r>
            <w:r>
              <w:rPr>
                <w:lang w:val="fr-FR"/>
              </w:rPr>
              <w:t>,</w:t>
            </w:r>
            <w:r w:rsidRPr="00E919A1">
              <w:rPr>
                <w:lang w:val="fr-FR"/>
              </w:rPr>
              <w:t xml:space="preserve"> au sein de la CEE</w:t>
            </w:r>
            <w:r>
              <w:rPr>
                <w:lang w:val="fr-FR"/>
              </w:rPr>
              <w:t>,</w:t>
            </w:r>
            <w:r w:rsidRPr="00E919A1">
              <w:rPr>
                <w:lang w:val="fr-FR"/>
              </w:rPr>
              <w:t xml:space="preserve"> avec d</w:t>
            </w:r>
            <w:r>
              <w:rPr>
                <w:lang w:val="fr-FR"/>
              </w:rPr>
              <w:t>’</w:t>
            </w:r>
            <w:r w:rsidRPr="00E919A1">
              <w:rPr>
                <w:lang w:val="fr-FR"/>
              </w:rPr>
              <w:t>autres sous-programme</w:t>
            </w:r>
            <w:r>
              <w:rPr>
                <w:lang w:val="fr-FR"/>
              </w:rPr>
              <w:t>s</w:t>
            </w:r>
            <w:r w:rsidRPr="00E919A1">
              <w:rPr>
                <w:lang w:val="fr-FR"/>
              </w:rPr>
              <w:t>, selon qu</w:t>
            </w:r>
            <w:r>
              <w:rPr>
                <w:lang w:val="fr-FR"/>
              </w:rPr>
              <w:t>’</w:t>
            </w:r>
            <w:r w:rsidRPr="00E919A1">
              <w:rPr>
                <w:lang w:val="fr-FR"/>
              </w:rPr>
              <w:t>il conviendra</w:t>
            </w:r>
            <w:r>
              <w:rPr>
                <w:lang w:val="fr-FR"/>
              </w:rPr>
              <w:t> ;</w:t>
            </w:r>
          </w:p>
        </w:tc>
      </w:tr>
      <w:tr w:rsidR="00194354" w:rsidTr="00194354">
        <w:trPr>
          <w:cantSplit/>
          <w:jc w:val="center"/>
        </w:trPr>
        <w:tc>
          <w:tcPr>
            <w:tcW w:w="9637" w:type="dxa"/>
            <w:shd w:val="clear" w:color="auto" w:fill="auto"/>
          </w:tcPr>
          <w:p w:rsidR="00194354" w:rsidRDefault="00194354" w:rsidP="00826F40">
            <w:pPr>
              <w:pStyle w:val="SingleTxtG"/>
              <w:ind w:firstLine="567"/>
            </w:pPr>
            <w:r w:rsidRPr="00E919A1">
              <w:rPr>
                <w:lang w:val="fr-FR"/>
              </w:rPr>
              <w:t>e)</w:t>
            </w:r>
            <w:r w:rsidRPr="00E919A1">
              <w:rPr>
                <w:lang w:val="fr-FR"/>
              </w:rPr>
              <w:tab/>
            </w:r>
            <w:r w:rsidRPr="008243E7">
              <w:rPr>
                <w:b/>
                <w:lang w:val="fr-FR"/>
              </w:rPr>
              <w:t>À</w:t>
            </w:r>
            <w:r w:rsidRPr="00E919A1">
              <w:rPr>
                <w:lang w:val="fr-FR"/>
              </w:rPr>
              <w:t xml:space="preserve"> </w:t>
            </w:r>
            <w:r w:rsidRPr="00E919A1">
              <w:rPr>
                <w:b/>
                <w:bCs/>
                <w:lang w:val="fr-FR"/>
              </w:rPr>
              <w:t>décider de revoir et si nécessaire d</w:t>
            </w:r>
            <w:r>
              <w:rPr>
                <w:b/>
                <w:bCs/>
                <w:lang w:val="fr-FR"/>
              </w:rPr>
              <w:t>’</w:t>
            </w:r>
            <w:r w:rsidRPr="00E919A1">
              <w:rPr>
                <w:b/>
                <w:bCs/>
                <w:lang w:val="fr-FR"/>
              </w:rPr>
              <w:t xml:space="preserve">ajuster </w:t>
            </w:r>
            <w:r w:rsidRPr="00E919A1">
              <w:rPr>
                <w:lang w:val="fr-FR"/>
              </w:rPr>
              <w:t xml:space="preserve">périodiquement </w:t>
            </w:r>
            <w:r>
              <w:rPr>
                <w:lang w:val="fr-FR"/>
              </w:rPr>
              <w:t>cette</w:t>
            </w:r>
            <w:r w:rsidRPr="00E919A1">
              <w:rPr>
                <w:lang w:val="fr-FR"/>
              </w:rPr>
              <w:t xml:space="preserve"> stratégie et ses priorités, en ayant à l</w:t>
            </w:r>
            <w:r>
              <w:rPr>
                <w:lang w:val="fr-FR"/>
              </w:rPr>
              <w:t>’</w:t>
            </w:r>
            <w:r w:rsidRPr="00E919A1">
              <w:rPr>
                <w:lang w:val="fr-FR"/>
              </w:rPr>
              <w:t>esprit les cycles budgétaires de l</w:t>
            </w:r>
            <w:r>
              <w:rPr>
                <w:lang w:val="fr-FR"/>
              </w:rPr>
              <w:t>’</w:t>
            </w:r>
            <w:r w:rsidRPr="00E919A1">
              <w:rPr>
                <w:lang w:val="fr-FR"/>
              </w:rPr>
              <w:t>ONU, et à demander au secrétariat d</w:t>
            </w:r>
            <w:r>
              <w:rPr>
                <w:lang w:val="fr-FR"/>
              </w:rPr>
              <w:t>’</w:t>
            </w:r>
            <w:r w:rsidRPr="00E919A1">
              <w:rPr>
                <w:lang w:val="fr-FR"/>
              </w:rPr>
              <w:t>informer chaque année le CTI des faits nouveaux.</w:t>
            </w:r>
          </w:p>
        </w:tc>
      </w:tr>
      <w:tr w:rsidR="00194354" w:rsidTr="00194354">
        <w:trPr>
          <w:cantSplit/>
          <w:jc w:val="center"/>
        </w:trPr>
        <w:tc>
          <w:tcPr>
            <w:tcW w:w="9637" w:type="dxa"/>
            <w:shd w:val="clear" w:color="auto" w:fill="auto"/>
          </w:tcPr>
          <w:p w:rsidR="00194354" w:rsidRDefault="00194354" w:rsidP="00826F40"/>
        </w:tc>
      </w:tr>
    </w:tbl>
    <w:p w:rsidR="00B45838" w:rsidRDefault="00B45838" w:rsidP="00194354">
      <w:pPr>
        <w:rPr>
          <w:lang w:val="fr-FR"/>
        </w:rPr>
      </w:pPr>
    </w:p>
    <w:p w:rsidR="008217C8" w:rsidRPr="00E919A1" w:rsidRDefault="00B45838" w:rsidP="008217C8">
      <w:pPr>
        <w:pStyle w:val="HChG"/>
        <w:rPr>
          <w:lang w:val="fr-FR"/>
        </w:rPr>
      </w:pPr>
      <w:r>
        <w:rPr>
          <w:lang w:val="fr-FR"/>
        </w:rPr>
        <w:br w:type="page"/>
      </w:r>
      <w:bookmarkStart w:id="1" w:name="_Hlk531280198"/>
      <w:r w:rsidR="008217C8">
        <w:rPr>
          <w:lang w:val="fr-FR"/>
        </w:rPr>
        <w:lastRenderedPageBreak/>
        <w:tab/>
      </w:r>
      <w:r w:rsidR="008217C8">
        <w:rPr>
          <w:lang w:val="fr-FR"/>
        </w:rPr>
        <w:tab/>
      </w:r>
      <w:r w:rsidR="008217C8" w:rsidRPr="00E919A1">
        <w:rPr>
          <w:lang w:val="fr-FR"/>
        </w:rPr>
        <w:t>Stratégie du CTI à l</w:t>
      </w:r>
      <w:r w:rsidR="008217C8">
        <w:rPr>
          <w:lang w:val="fr-FR"/>
        </w:rPr>
        <w:t>’</w:t>
      </w:r>
      <w:r w:rsidR="008217C8" w:rsidRPr="00E919A1">
        <w:rPr>
          <w:lang w:val="fr-FR"/>
        </w:rPr>
        <w:t xml:space="preserve">horizon 2030 </w:t>
      </w:r>
    </w:p>
    <w:bookmarkEnd w:id="1"/>
    <w:p w:rsidR="008217C8" w:rsidRPr="00E919A1" w:rsidRDefault="008217C8" w:rsidP="008217C8">
      <w:pPr>
        <w:pStyle w:val="HChG"/>
        <w:rPr>
          <w:lang w:val="fr-FR"/>
        </w:rPr>
      </w:pPr>
      <w:r>
        <w:rPr>
          <w:lang w:val="fr-FR"/>
        </w:rPr>
        <w:tab/>
      </w:r>
      <w:r w:rsidRPr="00E919A1">
        <w:rPr>
          <w:lang w:val="fr-FR"/>
        </w:rPr>
        <w:t>I.</w:t>
      </w:r>
      <w:r w:rsidRPr="00E919A1">
        <w:rPr>
          <w:lang w:val="fr-FR"/>
        </w:rPr>
        <w:tab/>
        <w:t>Projet du Comité des transports intérieurs à l</w:t>
      </w:r>
      <w:r>
        <w:rPr>
          <w:lang w:val="fr-FR"/>
        </w:rPr>
        <w:t>’</w:t>
      </w:r>
      <w:r w:rsidRPr="00E919A1">
        <w:rPr>
          <w:lang w:val="fr-FR"/>
        </w:rPr>
        <w:t>horizon 2030</w:t>
      </w:r>
      <w:r>
        <w:rPr>
          <w:lang w:val="fr-FR"/>
        </w:rPr>
        <w:t> :</w:t>
      </w:r>
      <w:r>
        <w:rPr>
          <w:lang w:val="fr-FR"/>
        </w:rPr>
        <w:br/>
      </w:r>
      <w:r w:rsidRPr="00E15CED">
        <w:rPr>
          <w:i/>
          <w:lang w:val="fr-FR"/>
        </w:rPr>
        <w:t xml:space="preserve">Le Comité des transports intérieurs, en tant que </w:t>
      </w:r>
      <w:r>
        <w:rPr>
          <w:i/>
          <w:lang w:val="fr-FR"/>
        </w:rPr>
        <w:t>plateforme</w:t>
      </w:r>
      <w:r w:rsidRPr="00E15CED">
        <w:rPr>
          <w:i/>
          <w:lang w:val="fr-FR"/>
        </w:rPr>
        <w:t xml:space="preserve"> </w:t>
      </w:r>
      <w:r>
        <w:rPr>
          <w:i/>
          <w:lang w:val="fr-FR"/>
        </w:rPr>
        <w:br/>
      </w:r>
      <w:r w:rsidRPr="00E15CED">
        <w:rPr>
          <w:i/>
          <w:lang w:val="fr-FR"/>
        </w:rPr>
        <w:t xml:space="preserve">des Nations Unies pour les transports intérieurs, contribue </w:t>
      </w:r>
      <w:r>
        <w:rPr>
          <w:i/>
          <w:lang w:val="fr-FR"/>
        </w:rPr>
        <w:br/>
      </w:r>
      <w:r w:rsidRPr="00E15CED">
        <w:rPr>
          <w:i/>
          <w:lang w:val="fr-FR"/>
        </w:rPr>
        <w:t>à répondre efficacement aux besoins mondiaux et régionaux dans ce domaine</w:t>
      </w:r>
    </w:p>
    <w:p w:rsidR="008217C8" w:rsidRPr="00E919A1" w:rsidRDefault="008217C8" w:rsidP="008217C8">
      <w:pPr>
        <w:pStyle w:val="SingleTxtG"/>
        <w:rPr>
          <w:lang w:val="fr-FR"/>
        </w:rPr>
      </w:pPr>
      <w:r w:rsidRPr="00E919A1">
        <w:rPr>
          <w:lang w:val="fr-FR"/>
        </w:rPr>
        <w:t>1.</w:t>
      </w:r>
      <w:r w:rsidRPr="00E919A1">
        <w:rPr>
          <w:lang w:val="fr-FR"/>
        </w:rPr>
        <w:tab/>
        <w:t>L</w:t>
      </w:r>
      <w:r>
        <w:rPr>
          <w:lang w:val="fr-FR"/>
        </w:rPr>
        <w:t>’</w:t>
      </w:r>
      <w:r w:rsidRPr="00E919A1">
        <w:rPr>
          <w:lang w:val="fr-FR"/>
        </w:rPr>
        <w:t xml:space="preserve">idée de </w:t>
      </w:r>
      <w:r>
        <w:rPr>
          <w:lang w:val="fr-FR"/>
        </w:rPr>
        <w:t>« </w:t>
      </w:r>
      <w:r w:rsidRPr="00E919A1">
        <w:rPr>
          <w:lang w:val="fr-FR"/>
        </w:rPr>
        <w:t>permettre au Comité de répondre efficacement aux besoins en matière de transports intérieurs à l</w:t>
      </w:r>
      <w:r>
        <w:rPr>
          <w:lang w:val="fr-FR"/>
        </w:rPr>
        <w:t>’</w:t>
      </w:r>
      <w:r w:rsidRPr="00E919A1">
        <w:rPr>
          <w:lang w:val="fr-FR"/>
        </w:rPr>
        <w:t>échelle mondiale, une attention particulière étant accordée à la mise en œuvre d</w:t>
      </w:r>
      <w:r>
        <w:rPr>
          <w:lang w:val="fr-FR"/>
        </w:rPr>
        <w:t>’</w:t>
      </w:r>
      <w:r w:rsidRPr="00E919A1">
        <w:rPr>
          <w:lang w:val="fr-FR"/>
        </w:rPr>
        <w:t>une gouvernance mondiale de réglementation grâce aux conventions de l</w:t>
      </w:r>
      <w:r>
        <w:rPr>
          <w:lang w:val="fr-FR"/>
        </w:rPr>
        <w:t>’</w:t>
      </w:r>
      <w:r w:rsidRPr="00E919A1">
        <w:rPr>
          <w:lang w:val="fr-FR"/>
        </w:rPr>
        <w:t>ONU relatives aux transports et à d</w:t>
      </w:r>
      <w:r>
        <w:rPr>
          <w:lang w:val="fr-FR"/>
        </w:rPr>
        <w:t>’</w:t>
      </w:r>
      <w:r w:rsidRPr="00E919A1">
        <w:rPr>
          <w:lang w:val="fr-FR"/>
        </w:rPr>
        <w:t>autres moyens (…) sans modifier la structure organisationnelle du secrétariat de la CEE, les fonctions de budgétisation des programmes et les mécanismes de contrôle</w:t>
      </w:r>
      <w:r>
        <w:rPr>
          <w:lang w:val="fr-FR"/>
        </w:rPr>
        <w:t> »</w:t>
      </w:r>
      <w:r w:rsidRPr="00E919A1">
        <w:rPr>
          <w:lang w:val="fr-FR"/>
        </w:rPr>
        <w:t xml:space="preserve"> est énoncée dans la décision 1 de la </w:t>
      </w:r>
      <w:r>
        <w:rPr>
          <w:i/>
          <w:iCs/>
          <w:lang w:val="fr-FR"/>
        </w:rPr>
        <w:t>R</w:t>
      </w:r>
      <w:r w:rsidRPr="00E919A1">
        <w:rPr>
          <w:i/>
          <w:iCs/>
          <w:lang w:val="fr-FR"/>
        </w:rPr>
        <w:t>ésolution ministérielle de 2017</w:t>
      </w:r>
      <w:r w:rsidRPr="00E919A1">
        <w:rPr>
          <w:lang w:val="fr-FR"/>
        </w:rPr>
        <w:t>, qui contient les lignes directrices relatives aux futurs travaux du</w:t>
      </w:r>
      <w:r>
        <w:rPr>
          <w:lang w:val="fr-FR"/>
        </w:rPr>
        <w:t> </w:t>
      </w:r>
      <w:r w:rsidRPr="00E919A1">
        <w:rPr>
          <w:lang w:val="fr-FR"/>
        </w:rPr>
        <w:t>CTI</w:t>
      </w:r>
      <w:r w:rsidRPr="00FF032A">
        <w:rPr>
          <w:rStyle w:val="FootnoteReference"/>
        </w:rPr>
        <w:footnoteReference w:id="2"/>
      </w:r>
      <w:r w:rsidRPr="00E919A1">
        <w:rPr>
          <w:lang w:val="fr-FR"/>
        </w:rPr>
        <w:t xml:space="preserve">. </w:t>
      </w:r>
    </w:p>
    <w:p w:rsidR="008217C8" w:rsidRPr="00E919A1" w:rsidRDefault="008217C8" w:rsidP="008217C8">
      <w:pPr>
        <w:pStyle w:val="SingleTxtG"/>
        <w:rPr>
          <w:lang w:val="fr-FR"/>
        </w:rPr>
      </w:pPr>
      <w:r w:rsidRPr="00E919A1">
        <w:rPr>
          <w:lang w:val="fr-FR"/>
        </w:rPr>
        <w:t>2.</w:t>
      </w:r>
      <w:r w:rsidRPr="00E919A1">
        <w:rPr>
          <w:lang w:val="fr-FR"/>
        </w:rPr>
        <w:tab/>
        <w:t>Dans les conclusions de l</w:t>
      </w:r>
      <w:r>
        <w:rPr>
          <w:lang w:val="fr-FR"/>
        </w:rPr>
        <w:t>’</w:t>
      </w:r>
      <w:r w:rsidRPr="00E919A1">
        <w:rPr>
          <w:lang w:val="fr-FR"/>
        </w:rPr>
        <w:t xml:space="preserve">examen de la réforme de la CEE, et notamment de la décision </w:t>
      </w:r>
      <w:proofErr w:type="gramStart"/>
      <w:r w:rsidRPr="00E919A1">
        <w:rPr>
          <w:lang w:val="fr-FR"/>
        </w:rPr>
        <w:t>A(</w:t>
      </w:r>
      <w:proofErr w:type="gramEnd"/>
      <w:r w:rsidRPr="00E919A1">
        <w:rPr>
          <w:lang w:val="fr-FR"/>
        </w:rPr>
        <w:t>65) adoptée par la Commission en 2013</w:t>
      </w:r>
      <w:r w:rsidRPr="00FF032A">
        <w:rPr>
          <w:rStyle w:val="FootnoteReference"/>
        </w:rPr>
        <w:footnoteReference w:id="3"/>
      </w:r>
      <w:r w:rsidRPr="00E919A1">
        <w:rPr>
          <w:lang w:val="fr-FR"/>
        </w:rPr>
        <w:t xml:space="preserve">, il est dit que </w:t>
      </w:r>
      <w:r>
        <w:rPr>
          <w:lang w:val="fr-FR"/>
        </w:rPr>
        <w:t>« </w:t>
      </w:r>
      <w:r w:rsidRPr="00E30A81">
        <w:rPr>
          <w:i/>
          <w:lang w:val="fr-FR"/>
        </w:rPr>
        <w:t>9. L</w:t>
      </w:r>
      <w:r w:rsidRPr="00E919A1">
        <w:rPr>
          <w:i/>
          <w:iCs/>
          <w:lang w:val="fr-FR"/>
        </w:rPr>
        <w:t>e sous-programme [</w:t>
      </w:r>
      <w:r>
        <w:rPr>
          <w:i/>
          <w:iCs/>
          <w:lang w:val="fr-FR"/>
        </w:rPr>
        <w:t>“</w:t>
      </w:r>
      <w:r w:rsidRPr="00E919A1">
        <w:rPr>
          <w:i/>
          <w:iCs/>
          <w:lang w:val="fr-FR"/>
        </w:rPr>
        <w:t>Transports</w:t>
      </w:r>
      <w:r>
        <w:rPr>
          <w:i/>
          <w:iCs/>
          <w:lang w:val="fr-FR"/>
        </w:rPr>
        <w:t>”</w:t>
      </w:r>
      <w:r w:rsidRPr="00E919A1">
        <w:rPr>
          <w:i/>
          <w:iCs/>
          <w:lang w:val="fr-FR"/>
        </w:rPr>
        <w:t>] occupe une place unique en son genre dans le système des Nations Unies, fournit une plateforme d</w:t>
      </w:r>
      <w:r>
        <w:rPr>
          <w:i/>
          <w:iCs/>
          <w:lang w:val="fr-FR"/>
        </w:rPr>
        <w:t>’</w:t>
      </w:r>
      <w:r w:rsidRPr="00E919A1">
        <w:rPr>
          <w:i/>
          <w:iCs/>
          <w:lang w:val="fr-FR"/>
        </w:rPr>
        <w:t>ensemble, aux niveaux régional et mondial, pour l</w:t>
      </w:r>
      <w:r>
        <w:rPr>
          <w:i/>
          <w:iCs/>
          <w:lang w:val="fr-FR"/>
        </w:rPr>
        <w:t>’</w:t>
      </w:r>
      <w:r w:rsidRPr="00E919A1">
        <w:rPr>
          <w:i/>
          <w:iCs/>
          <w:lang w:val="fr-FR"/>
        </w:rPr>
        <w:t>examen de tous les aspects du développement des transports intérieurs et la coopération dans ce domaine.</w:t>
      </w:r>
      <w:r w:rsidRPr="00E919A1">
        <w:rPr>
          <w:lang w:val="fr-FR"/>
        </w:rPr>
        <w:t xml:space="preserve"> </w:t>
      </w:r>
      <w:r w:rsidRPr="00E919A1">
        <w:rPr>
          <w:i/>
          <w:iCs/>
          <w:lang w:val="fr-FR"/>
        </w:rPr>
        <w:t>Le sous-programme</w:t>
      </w:r>
      <w:r>
        <w:rPr>
          <w:i/>
          <w:iCs/>
          <w:lang w:val="fr-FR"/>
        </w:rPr>
        <w:t xml:space="preserve"> “</w:t>
      </w:r>
      <w:r w:rsidRPr="00E919A1">
        <w:rPr>
          <w:i/>
          <w:iCs/>
          <w:lang w:val="fr-FR"/>
        </w:rPr>
        <w:t>Transports</w:t>
      </w:r>
      <w:r>
        <w:rPr>
          <w:i/>
          <w:iCs/>
          <w:lang w:val="fr-FR"/>
        </w:rPr>
        <w:t>”</w:t>
      </w:r>
      <w:r w:rsidRPr="00E919A1">
        <w:rPr>
          <w:i/>
          <w:iCs/>
          <w:lang w:val="fr-FR"/>
        </w:rPr>
        <w:t xml:space="preserve"> de la CEE, le </w:t>
      </w:r>
      <w:r>
        <w:rPr>
          <w:i/>
          <w:iCs/>
          <w:lang w:val="fr-FR"/>
        </w:rPr>
        <w:t>Comité</w:t>
      </w:r>
      <w:r w:rsidRPr="00E919A1">
        <w:rPr>
          <w:i/>
          <w:iCs/>
          <w:lang w:val="fr-FR"/>
        </w:rPr>
        <w:t xml:space="preserve"> des transports intérieurs et les organes subsidiaires correspondants accomplissent efficacement leurs mandats actuels en produisant régulièrement et de manière continue des résultats concrets dont la valeur ajoutée est évidente tant pour la région qu</w:t>
      </w:r>
      <w:r>
        <w:rPr>
          <w:i/>
          <w:iCs/>
          <w:lang w:val="fr-FR"/>
        </w:rPr>
        <w:t>’</w:t>
      </w:r>
      <w:r w:rsidRPr="00E919A1">
        <w:rPr>
          <w:i/>
          <w:iCs/>
          <w:lang w:val="fr-FR"/>
        </w:rPr>
        <w:t>au-delà.</w:t>
      </w:r>
      <w:r>
        <w:rPr>
          <w:lang w:val="fr-FR"/>
        </w:rPr>
        <w:t> »</w:t>
      </w:r>
      <w:r w:rsidRPr="00FF032A">
        <w:rPr>
          <w:rStyle w:val="FootnoteReference"/>
        </w:rPr>
        <w:footnoteReference w:id="4"/>
      </w:r>
      <w:r>
        <w:rPr>
          <w:lang w:val="fr-FR"/>
        </w:rPr>
        <w:t>.</w:t>
      </w:r>
    </w:p>
    <w:p w:rsidR="008217C8" w:rsidRPr="00E919A1" w:rsidRDefault="008217C8" w:rsidP="008217C8">
      <w:pPr>
        <w:pStyle w:val="SingleTxtG"/>
        <w:rPr>
          <w:iCs/>
          <w:lang w:val="fr-FR"/>
        </w:rPr>
      </w:pPr>
      <w:r w:rsidRPr="00E919A1">
        <w:rPr>
          <w:lang w:val="fr-FR"/>
        </w:rPr>
        <w:t>3.</w:t>
      </w:r>
      <w:r w:rsidRPr="00E919A1">
        <w:rPr>
          <w:lang w:val="fr-FR"/>
        </w:rPr>
        <w:tab/>
        <w:t>Les résolutions de l</w:t>
      </w:r>
      <w:r>
        <w:rPr>
          <w:lang w:val="fr-FR"/>
        </w:rPr>
        <w:t>’</w:t>
      </w:r>
      <w:r w:rsidRPr="00E919A1">
        <w:rPr>
          <w:lang w:val="fr-FR"/>
        </w:rPr>
        <w:t>Assemblée générale des Nations Unies (notamment la résolution 72/271 adoptée en avril 2018 et les autres résolutions biennales sur la sécurité routière) soulignent la portée mondiale des instruments juridiques relevant de la compétence du CTI et encouragent tous les États Membres à y adhérer</w:t>
      </w:r>
      <w:r>
        <w:rPr>
          <w:lang w:val="fr-FR"/>
        </w:rPr>
        <w:t> ;</w:t>
      </w:r>
      <w:r w:rsidRPr="00E919A1">
        <w:rPr>
          <w:lang w:val="fr-FR"/>
        </w:rPr>
        <w:t xml:space="preserve"> </w:t>
      </w:r>
      <w:r>
        <w:rPr>
          <w:lang w:val="fr-FR"/>
        </w:rPr>
        <w:t>r</w:t>
      </w:r>
      <w:r w:rsidRPr="00E919A1">
        <w:rPr>
          <w:lang w:val="fr-FR"/>
        </w:rPr>
        <w:t>ésolution A/RES/72/212 sur l</w:t>
      </w:r>
      <w:r>
        <w:rPr>
          <w:lang w:val="fr-FR"/>
        </w:rPr>
        <w:t>’</w:t>
      </w:r>
      <w:r w:rsidRPr="00E919A1">
        <w:rPr>
          <w:lang w:val="fr-FR"/>
        </w:rPr>
        <w:t xml:space="preserve">intermodalité et résolution A/70/197 sur la connectivité et les </w:t>
      </w:r>
      <w:r>
        <w:rPr>
          <w:lang w:val="fr-FR"/>
        </w:rPr>
        <w:t>corridor</w:t>
      </w:r>
      <w:r w:rsidRPr="00E919A1">
        <w:rPr>
          <w:lang w:val="fr-FR"/>
        </w:rPr>
        <w:t xml:space="preserve">s. </w:t>
      </w:r>
    </w:p>
    <w:p w:rsidR="008217C8" w:rsidRPr="00E919A1" w:rsidRDefault="008217C8" w:rsidP="008217C8">
      <w:pPr>
        <w:pStyle w:val="SingleTxtG"/>
        <w:rPr>
          <w:strike/>
          <w:lang w:val="fr-FR"/>
        </w:rPr>
      </w:pPr>
      <w:r w:rsidRPr="00E919A1">
        <w:rPr>
          <w:lang w:val="fr-FR"/>
        </w:rPr>
        <w:t>4.</w:t>
      </w:r>
      <w:r w:rsidRPr="00E919A1">
        <w:rPr>
          <w:lang w:val="fr-FR"/>
        </w:rPr>
        <w:tab/>
        <w:t xml:space="preserve">Ce qui précède </w:t>
      </w:r>
      <w:proofErr w:type="gramStart"/>
      <w:r w:rsidRPr="00E919A1">
        <w:rPr>
          <w:lang w:val="fr-FR"/>
        </w:rPr>
        <w:t>peut être</w:t>
      </w:r>
      <w:proofErr w:type="gramEnd"/>
      <w:r w:rsidRPr="00E919A1">
        <w:rPr>
          <w:lang w:val="fr-FR"/>
        </w:rPr>
        <w:t xml:space="preserve"> résumé comme suit</w:t>
      </w:r>
      <w:r>
        <w:rPr>
          <w:lang w:val="fr-FR"/>
        </w:rPr>
        <w:t> :</w:t>
      </w:r>
      <w:r w:rsidRPr="00E919A1">
        <w:rPr>
          <w:lang w:val="fr-FR"/>
        </w:rPr>
        <w:t xml:space="preserve"> </w:t>
      </w:r>
      <w:r>
        <w:rPr>
          <w:lang w:val="fr-FR"/>
        </w:rPr>
        <w:t>« </w:t>
      </w:r>
      <w:r>
        <w:rPr>
          <w:b/>
          <w:bCs/>
          <w:lang w:val="fr-FR"/>
        </w:rPr>
        <w:t>Vision d’avenir :</w:t>
      </w:r>
      <w:r w:rsidRPr="00E919A1">
        <w:rPr>
          <w:b/>
          <w:bCs/>
          <w:lang w:val="fr-FR"/>
        </w:rPr>
        <w:t xml:space="preserve"> </w:t>
      </w:r>
      <w:r w:rsidRPr="00022374">
        <w:rPr>
          <w:b/>
          <w:bCs/>
          <w:i/>
          <w:lang w:val="fr-FR"/>
        </w:rPr>
        <w:t xml:space="preserve">le Comité des transports intérieurs, en tant que </w:t>
      </w:r>
      <w:r>
        <w:rPr>
          <w:b/>
          <w:bCs/>
          <w:i/>
          <w:lang w:val="fr-FR"/>
        </w:rPr>
        <w:t>plateforme</w:t>
      </w:r>
      <w:r w:rsidRPr="00022374">
        <w:rPr>
          <w:b/>
          <w:bCs/>
          <w:i/>
          <w:lang w:val="fr-FR"/>
        </w:rPr>
        <w:t xml:space="preserve"> des Nations Unies pour les transports intérieurs, contribue à répondre efficacement aux besoins mondiaux et régionaux dans ce domaine</w:t>
      </w:r>
      <w:r>
        <w:rPr>
          <w:b/>
          <w:bCs/>
          <w:lang w:val="fr-FR"/>
        </w:rPr>
        <w:t> </w:t>
      </w:r>
      <w:r w:rsidRPr="002C3F52">
        <w:rPr>
          <w:bCs/>
          <w:lang w:val="fr-FR"/>
        </w:rPr>
        <w:t>»</w:t>
      </w:r>
      <w:r w:rsidRPr="002C3F52">
        <w:rPr>
          <w:lang w:val="fr-FR"/>
        </w:rPr>
        <w:t>.</w:t>
      </w:r>
    </w:p>
    <w:p w:rsidR="008217C8" w:rsidRPr="00E919A1" w:rsidRDefault="008217C8" w:rsidP="008217C8">
      <w:pPr>
        <w:pStyle w:val="SingleTxtG"/>
        <w:rPr>
          <w:lang w:val="fr-FR"/>
        </w:rPr>
      </w:pPr>
      <w:r w:rsidRPr="00E919A1">
        <w:rPr>
          <w:lang w:val="fr-FR"/>
        </w:rPr>
        <w:t>5.</w:t>
      </w:r>
      <w:r w:rsidRPr="00E919A1">
        <w:rPr>
          <w:lang w:val="fr-FR"/>
        </w:rPr>
        <w:tab/>
        <w:t xml:space="preserve">En sa qualité de </w:t>
      </w:r>
      <w:r>
        <w:rPr>
          <w:lang w:val="fr-FR"/>
        </w:rPr>
        <w:t>plateforme</w:t>
      </w:r>
      <w:r w:rsidRPr="00E919A1">
        <w:rPr>
          <w:lang w:val="fr-FR"/>
        </w:rPr>
        <w:t xml:space="preserve"> des Nations Unies pour les transports intérieurs, </w:t>
      </w:r>
      <w:r>
        <w:rPr>
          <w:lang w:val="fr-FR"/>
        </w:rPr>
        <w:t>le CTI</w:t>
      </w:r>
      <w:r w:rsidRPr="00E919A1">
        <w:rPr>
          <w:lang w:val="fr-FR"/>
        </w:rPr>
        <w:t xml:space="preserve"> continuera de fournir un cadre réglementaire complet pour le transport routiers, ferroviaires, fluviaux et intermodaux, jouant un rôle comparable à celui de l</w:t>
      </w:r>
      <w:r>
        <w:rPr>
          <w:lang w:val="fr-FR"/>
        </w:rPr>
        <w:t>’</w:t>
      </w:r>
      <w:r w:rsidRPr="00E919A1">
        <w:rPr>
          <w:lang w:val="fr-FR"/>
        </w:rPr>
        <w:t>Organisation maritime internationale (OMI) et de l</w:t>
      </w:r>
      <w:r>
        <w:rPr>
          <w:lang w:val="fr-FR"/>
        </w:rPr>
        <w:t>’</w:t>
      </w:r>
      <w:r w:rsidRPr="00E919A1">
        <w:rPr>
          <w:lang w:val="fr-FR"/>
        </w:rPr>
        <w:t>Organisation de l</w:t>
      </w:r>
      <w:r>
        <w:rPr>
          <w:lang w:val="fr-FR"/>
        </w:rPr>
        <w:t>’</w:t>
      </w:r>
      <w:r w:rsidRPr="00E919A1">
        <w:rPr>
          <w:lang w:val="fr-FR"/>
        </w:rPr>
        <w:t>aviation civile internationale (OACI).</w:t>
      </w:r>
    </w:p>
    <w:p w:rsidR="008217C8" w:rsidRPr="00E919A1" w:rsidRDefault="008217C8" w:rsidP="008217C8">
      <w:pPr>
        <w:pStyle w:val="SingleTxtG"/>
        <w:keepNext/>
        <w:rPr>
          <w:lang w:val="fr-FR"/>
        </w:rPr>
      </w:pPr>
      <w:r w:rsidRPr="00E919A1">
        <w:rPr>
          <w:lang w:val="fr-FR"/>
        </w:rPr>
        <w:t>6.</w:t>
      </w:r>
      <w:r w:rsidRPr="00E919A1">
        <w:rPr>
          <w:lang w:val="fr-FR"/>
        </w:rPr>
        <w:tab/>
      </w:r>
      <w:r>
        <w:rPr>
          <w:lang w:val="fr-FR"/>
        </w:rPr>
        <w:t>LE CTI</w:t>
      </w:r>
      <w:r w:rsidRPr="00E919A1">
        <w:rPr>
          <w:lang w:val="fr-FR"/>
        </w:rPr>
        <w:t xml:space="preserve">, en tant que </w:t>
      </w:r>
      <w:r>
        <w:rPr>
          <w:lang w:val="fr-FR"/>
        </w:rPr>
        <w:t>plateforme</w:t>
      </w:r>
      <w:r w:rsidRPr="00E919A1">
        <w:rPr>
          <w:lang w:val="fr-FR"/>
        </w:rPr>
        <w:t xml:space="preserve"> des Nations Unies pour les transports intérieurs, devrait remplir les fonctions essentielles suivantes</w:t>
      </w:r>
      <w:r>
        <w:rPr>
          <w:lang w:val="fr-FR"/>
        </w:rPr>
        <w:t> :</w:t>
      </w:r>
    </w:p>
    <w:p w:rsidR="008217C8" w:rsidRPr="00E919A1" w:rsidRDefault="008217C8" w:rsidP="008217C8">
      <w:pPr>
        <w:pStyle w:val="Bullet1G"/>
        <w:numPr>
          <w:ilvl w:val="0"/>
          <w:numId w:val="0"/>
        </w:numPr>
        <w:tabs>
          <w:tab w:val="left" w:pos="1701"/>
        </w:tabs>
        <w:kinsoku/>
        <w:overflowPunct/>
        <w:autoSpaceDE/>
        <w:autoSpaceDN/>
        <w:adjustRightInd/>
        <w:snapToGrid/>
        <w:ind w:left="1701" w:hanging="170"/>
        <w:rPr>
          <w:lang w:val="fr-FR"/>
        </w:rPr>
      </w:pPr>
      <w:r w:rsidRPr="00E919A1">
        <w:rPr>
          <w:lang w:val="fr-FR"/>
        </w:rPr>
        <w:t>•</w:t>
      </w:r>
      <w:r w:rsidRPr="00E919A1">
        <w:rPr>
          <w:lang w:val="fr-FR"/>
        </w:rPr>
        <w:tab/>
        <w:t>Condui</w:t>
      </w:r>
      <w:r>
        <w:rPr>
          <w:lang w:val="fr-FR"/>
        </w:rPr>
        <w:t>te du</w:t>
      </w:r>
      <w:r w:rsidRPr="00E919A1">
        <w:rPr>
          <w:lang w:val="fr-FR"/>
        </w:rPr>
        <w:t xml:space="preserve"> changement dans les transports intérieurs</w:t>
      </w:r>
      <w:r>
        <w:rPr>
          <w:lang w:val="fr-FR"/>
        </w:rPr>
        <w:t> ;</w:t>
      </w:r>
    </w:p>
    <w:p w:rsidR="008217C8" w:rsidRPr="00E919A1" w:rsidRDefault="008217C8" w:rsidP="008217C8">
      <w:pPr>
        <w:pStyle w:val="Bullet1G"/>
        <w:numPr>
          <w:ilvl w:val="0"/>
          <w:numId w:val="0"/>
        </w:numPr>
        <w:tabs>
          <w:tab w:val="left" w:pos="1701"/>
        </w:tabs>
        <w:kinsoku/>
        <w:overflowPunct/>
        <w:autoSpaceDE/>
        <w:autoSpaceDN/>
        <w:adjustRightInd/>
        <w:snapToGrid/>
        <w:ind w:left="1701" w:hanging="170"/>
        <w:rPr>
          <w:lang w:val="fr-FR"/>
        </w:rPr>
      </w:pPr>
      <w:r w:rsidRPr="00E919A1">
        <w:rPr>
          <w:lang w:val="fr-FR"/>
        </w:rPr>
        <w:t>•</w:t>
      </w:r>
      <w:r w:rsidRPr="00E919A1">
        <w:rPr>
          <w:lang w:val="fr-FR"/>
        </w:rPr>
        <w:tab/>
        <w:t>Élaboration et gestion d</w:t>
      </w:r>
      <w:r>
        <w:rPr>
          <w:lang w:val="fr-FR"/>
        </w:rPr>
        <w:t>’</w:t>
      </w:r>
      <w:r w:rsidRPr="00E919A1">
        <w:rPr>
          <w:lang w:val="fr-FR"/>
        </w:rPr>
        <w:t>instruments juridiques en matière de transport</w:t>
      </w:r>
      <w:r>
        <w:rPr>
          <w:lang w:val="fr-FR"/>
        </w:rPr>
        <w:t> ;</w:t>
      </w:r>
    </w:p>
    <w:p w:rsidR="008217C8" w:rsidRPr="00E919A1" w:rsidRDefault="008217C8" w:rsidP="008217C8">
      <w:pPr>
        <w:pStyle w:val="Bullet1G"/>
        <w:numPr>
          <w:ilvl w:val="0"/>
          <w:numId w:val="0"/>
        </w:numPr>
        <w:tabs>
          <w:tab w:val="left" w:pos="1701"/>
        </w:tabs>
        <w:kinsoku/>
        <w:overflowPunct/>
        <w:autoSpaceDE/>
        <w:autoSpaceDN/>
        <w:adjustRightInd/>
        <w:snapToGrid/>
        <w:ind w:left="1701" w:hanging="170"/>
        <w:rPr>
          <w:lang w:val="fr-FR"/>
        </w:rPr>
      </w:pPr>
      <w:r w:rsidRPr="00E919A1">
        <w:rPr>
          <w:lang w:val="fr-FR"/>
        </w:rPr>
        <w:t>•</w:t>
      </w:r>
      <w:r w:rsidRPr="00E919A1">
        <w:rPr>
          <w:lang w:val="fr-FR"/>
        </w:rPr>
        <w:tab/>
        <w:t>Augmentation des adhésions et de la participation équitable, y compris en ce qui concerne des États non membres de la CEE.</w:t>
      </w:r>
    </w:p>
    <w:p w:rsidR="008217C8" w:rsidRPr="00E919A1" w:rsidRDefault="008217C8" w:rsidP="008217C8">
      <w:pPr>
        <w:pStyle w:val="HChG"/>
        <w:rPr>
          <w:lang w:val="fr-FR"/>
        </w:rPr>
      </w:pPr>
      <w:r>
        <w:rPr>
          <w:lang w:val="fr-FR"/>
        </w:rPr>
        <w:lastRenderedPageBreak/>
        <w:tab/>
      </w:r>
      <w:r w:rsidRPr="00E919A1">
        <w:rPr>
          <w:lang w:val="fr-FR"/>
        </w:rPr>
        <w:t>II.</w:t>
      </w:r>
      <w:r w:rsidRPr="00E919A1">
        <w:rPr>
          <w:lang w:val="fr-FR"/>
        </w:rPr>
        <w:tab/>
        <w:t xml:space="preserve">Mission du Comité des transports intérieurs </w:t>
      </w:r>
    </w:p>
    <w:p w:rsidR="008217C8" w:rsidRPr="00E919A1" w:rsidRDefault="008217C8" w:rsidP="008217C8">
      <w:pPr>
        <w:pStyle w:val="SingleTxtG"/>
        <w:rPr>
          <w:lang w:val="fr-FR"/>
        </w:rPr>
      </w:pPr>
      <w:r w:rsidRPr="00E919A1">
        <w:rPr>
          <w:lang w:val="fr-FR"/>
        </w:rPr>
        <w:t>7.</w:t>
      </w:r>
      <w:r w:rsidRPr="00E919A1">
        <w:rPr>
          <w:lang w:val="fr-FR"/>
        </w:rPr>
        <w:tab/>
      </w:r>
      <w:r w:rsidRPr="00E919A1">
        <w:rPr>
          <w:b/>
          <w:bCs/>
          <w:lang w:val="fr-FR"/>
        </w:rPr>
        <w:t>La mission du CTI est de contribuer à la viabilité des transports intérieurs et de la mobilité pour que les objectifs de développement durable soient atteints dans les États membres de la CEE et dans les États Membres de l</w:t>
      </w:r>
      <w:r>
        <w:rPr>
          <w:b/>
          <w:bCs/>
          <w:lang w:val="fr-FR"/>
        </w:rPr>
        <w:t>’</w:t>
      </w:r>
      <w:r w:rsidRPr="00E919A1">
        <w:rPr>
          <w:b/>
          <w:bCs/>
          <w:lang w:val="fr-FR"/>
        </w:rPr>
        <w:t>ONU grâce au dialogue politique, à l</w:t>
      </w:r>
      <w:r>
        <w:rPr>
          <w:b/>
          <w:bCs/>
          <w:lang w:val="fr-FR"/>
        </w:rPr>
        <w:t>’</w:t>
      </w:r>
      <w:r w:rsidRPr="00E919A1">
        <w:rPr>
          <w:b/>
          <w:bCs/>
          <w:lang w:val="fr-FR"/>
        </w:rPr>
        <w:t>harmonisation des cadres réglementaires le cas échéant, à la promotion des nouvelles technologies, à la facilitation de l</w:t>
      </w:r>
      <w:r>
        <w:rPr>
          <w:b/>
          <w:bCs/>
          <w:lang w:val="fr-FR"/>
        </w:rPr>
        <w:t>’</w:t>
      </w:r>
      <w:r w:rsidRPr="00E919A1">
        <w:rPr>
          <w:b/>
          <w:bCs/>
          <w:lang w:val="fr-FR"/>
        </w:rPr>
        <w:t>amélioration de la connectivité et à l</w:t>
      </w:r>
      <w:r>
        <w:rPr>
          <w:b/>
          <w:bCs/>
          <w:lang w:val="fr-FR"/>
        </w:rPr>
        <w:t>’</w:t>
      </w:r>
      <w:r w:rsidRPr="00E919A1">
        <w:rPr>
          <w:b/>
          <w:bCs/>
          <w:lang w:val="fr-FR"/>
        </w:rPr>
        <w:t>appui à la mise en œuvre des instruments juridiques</w:t>
      </w:r>
      <w:r>
        <w:rPr>
          <w:b/>
          <w:bCs/>
          <w:lang w:val="fr-FR"/>
        </w:rPr>
        <w:t>.</w:t>
      </w:r>
    </w:p>
    <w:p w:rsidR="008217C8" w:rsidRPr="00E919A1" w:rsidRDefault="008217C8" w:rsidP="008217C8">
      <w:pPr>
        <w:pStyle w:val="SingleTxtG"/>
        <w:keepNext/>
        <w:rPr>
          <w:lang w:val="fr-FR"/>
        </w:rPr>
      </w:pPr>
      <w:r w:rsidRPr="00E919A1">
        <w:rPr>
          <w:lang w:val="fr-FR"/>
        </w:rPr>
        <w:t>8.</w:t>
      </w:r>
      <w:r w:rsidRPr="00E919A1">
        <w:rPr>
          <w:lang w:val="fr-FR"/>
        </w:rPr>
        <w:tab/>
        <w:t>Dans l</w:t>
      </w:r>
      <w:r>
        <w:rPr>
          <w:lang w:val="fr-FR"/>
        </w:rPr>
        <w:t>’</w:t>
      </w:r>
      <w:r w:rsidRPr="00E919A1">
        <w:rPr>
          <w:lang w:val="fr-FR"/>
        </w:rPr>
        <w:t>accomplissement de sa mission, le Comité renforcera son rôle en tant que</w:t>
      </w:r>
      <w:r>
        <w:rPr>
          <w:lang w:val="fr-FR"/>
        </w:rPr>
        <w:t> :</w:t>
      </w:r>
      <w:r w:rsidRPr="00E919A1">
        <w:rPr>
          <w:lang w:val="fr-FR"/>
        </w:rPr>
        <w:t xml:space="preserve"> </w:t>
      </w:r>
    </w:p>
    <w:p w:rsidR="008217C8" w:rsidRPr="00E919A1" w:rsidRDefault="008217C8" w:rsidP="008217C8">
      <w:pPr>
        <w:pStyle w:val="SingleTxtG"/>
        <w:ind w:firstLine="567"/>
        <w:rPr>
          <w:lang w:val="fr-FR"/>
        </w:rPr>
      </w:pPr>
      <w:r w:rsidRPr="00E919A1">
        <w:rPr>
          <w:lang w:val="fr-FR"/>
        </w:rPr>
        <w:t>a)</w:t>
      </w:r>
      <w:r w:rsidRPr="00E919A1">
        <w:rPr>
          <w:lang w:val="fr-FR"/>
        </w:rPr>
        <w:tab/>
      </w:r>
      <w:r w:rsidRPr="00E919A1">
        <w:rPr>
          <w:b/>
          <w:bCs/>
          <w:lang w:val="fr-FR"/>
        </w:rPr>
        <w:t>Plateforme des Nations Unies pour les conventions régionales et mondiales relatives aux transports intérieurs</w:t>
      </w:r>
      <w:r w:rsidRPr="00E919A1">
        <w:rPr>
          <w:lang w:val="fr-FR"/>
        </w:rPr>
        <w:t>, en renforçant son rôle de plateforme des Nations Unies pour les conventions relatives aux transports intérieurs auprès de tous les États Membres de l</w:t>
      </w:r>
      <w:r>
        <w:rPr>
          <w:lang w:val="fr-FR"/>
        </w:rPr>
        <w:t>’</w:t>
      </w:r>
      <w:r w:rsidRPr="00E919A1">
        <w:rPr>
          <w:lang w:val="fr-FR"/>
        </w:rPr>
        <w:t>ONU et en demeurant à l</w:t>
      </w:r>
      <w:r>
        <w:rPr>
          <w:lang w:val="fr-FR"/>
        </w:rPr>
        <w:t>’</w:t>
      </w:r>
      <w:r w:rsidRPr="00E919A1">
        <w:rPr>
          <w:lang w:val="fr-FR"/>
        </w:rPr>
        <w:t>avant-garde de l</w:t>
      </w:r>
      <w:r>
        <w:rPr>
          <w:lang w:val="fr-FR"/>
        </w:rPr>
        <w:t>’</w:t>
      </w:r>
      <w:r w:rsidRPr="00E919A1">
        <w:rPr>
          <w:lang w:val="fr-FR"/>
        </w:rPr>
        <w:t>action déployée à l</w:t>
      </w:r>
      <w:r>
        <w:rPr>
          <w:lang w:val="fr-FR"/>
        </w:rPr>
        <w:t>’</w:t>
      </w:r>
      <w:r w:rsidRPr="00E919A1">
        <w:rPr>
          <w:lang w:val="fr-FR"/>
        </w:rPr>
        <w:t>échelle mondiale pour</w:t>
      </w:r>
      <w:r>
        <w:rPr>
          <w:lang w:val="fr-FR"/>
        </w:rPr>
        <w:t> :</w:t>
      </w:r>
      <w:r w:rsidRPr="00E919A1">
        <w:rPr>
          <w:lang w:val="fr-FR"/>
        </w:rPr>
        <w:t xml:space="preserve"> lutter contre l</w:t>
      </w:r>
      <w:r>
        <w:rPr>
          <w:lang w:val="fr-FR"/>
        </w:rPr>
        <w:t>’</w:t>
      </w:r>
      <w:r w:rsidRPr="00E919A1">
        <w:rPr>
          <w:lang w:val="fr-FR"/>
        </w:rPr>
        <w:t>insécurité routière, grâce à son approche à 360° de la sécurité routière</w:t>
      </w:r>
      <w:r>
        <w:rPr>
          <w:lang w:val="fr-FR"/>
        </w:rPr>
        <w:t> ;</w:t>
      </w:r>
      <w:r w:rsidRPr="00E919A1">
        <w:rPr>
          <w:lang w:val="fr-FR"/>
        </w:rPr>
        <w:t xml:space="preserve"> réduire les émissions en fixant et en promouvant ses normes en matière de véhicules</w:t>
      </w:r>
      <w:r>
        <w:rPr>
          <w:lang w:val="fr-FR"/>
        </w:rPr>
        <w:t> ;</w:t>
      </w:r>
      <w:r w:rsidRPr="00E919A1">
        <w:rPr>
          <w:lang w:val="fr-FR"/>
        </w:rPr>
        <w:t xml:space="preserve"> réduire les obstacles frontaliers grâce à son large éventail de conventions relatives à la facilitation du passage des frontières</w:t>
      </w:r>
      <w:r>
        <w:rPr>
          <w:lang w:val="fr-FR"/>
        </w:rPr>
        <w:t> ;</w:t>
      </w:r>
    </w:p>
    <w:p w:rsidR="008217C8" w:rsidRPr="00E919A1" w:rsidRDefault="008217C8" w:rsidP="008217C8">
      <w:pPr>
        <w:pStyle w:val="SingleTxtG"/>
        <w:ind w:firstLine="567"/>
        <w:rPr>
          <w:lang w:val="fr-FR"/>
        </w:rPr>
      </w:pPr>
      <w:r w:rsidRPr="00E919A1">
        <w:rPr>
          <w:lang w:val="fr-FR"/>
        </w:rPr>
        <w:t>b)</w:t>
      </w:r>
      <w:r w:rsidRPr="00E919A1">
        <w:rPr>
          <w:lang w:val="fr-FR"/>
        </w:rPr>
        <w:tab/>
      </w:r>
      <w:r w:rsidRPr="00E919A1">
        <w:rPr>
          <w:b/>
          <w:bCs/>
          <w:lang w:val="fr-FR"/>
        </w:rPr>
        <w:t xml:space="preserve">Plateforme des Nations Unies pour </w:t>
      </w:r>
      <w:r>
        <w:rPr>
          <w:b/>
          <w:bCs/>
          <w:lang w:val="fr-FR"/>
        </w:rPr>
        <w:t>la promotion des</w:t>
      </w:r>
      <w:r w:rsidRPr="00E919A1">
        <w:rPr>
          <w:b/>
          <w:bCs/>
          <w:lang w:val="fr-FR"/>
        </w:rPr>
        <w:t xml:space="preserve"> nouvelles technologies et </w:t>
      </w:r>
      <w:r>
        <w:rPr>
          <w:b/>
          <w:bCs/>
          <w:lang w:val="fr-FR"/>
        </w:rPr>
        <w:t>de</w:t>
      </w:r>
      <w:r w:rsidRPr="00E919A1">
        <w:rPr>
          <w:b/>
          <w:bCs/>
          <w:lang w:val="fr-FR"/>
        </w:rPr>
        <w:t xml:space="preserve"> l</w:t>
      </w:r>
      <w:r>
        <w:rPr>
          <w:b/>
          <w:bCs/>
          <w:lang w:val="fr-FR"/>
        </w:rPr>
        <w:t>’</w:t>
      </w:r>
      <w:r w:rsidRPr="00E919A1">
        <w:rPr>
          <w:b/>
          <w:bCs/>
          <w:lang w:val="fr-FR"/>
        </w:rPr>
        <w:t>innovation dans les transports intérieurs</w:t>
      </w:r>
      <w:r w:rsidRPr="00E919A1">
        <w:rPr>
          <w:lang w:val="fr-FR"/>
        </w:rPr>
        <w:t>, en faisant en sorte</w:t>
      </w:r>
      <w:r>
        <w:rPr>
          <w:lang w:val="fr-FR"/>
        </w:rPr>
        <w:t> :</w:t>
      </w:r>
      <w:r w:rsidRPr="00E919A1">
        <w:rPr>
          <w:lang w:val="fr-FR"/>
        </w:rPr>
        <w:t xml:space="preserve"> i)</w:t>
      </w:r>
      <w:r>
        <w:rPr>
          <w:lang w:val="fr-FR"/>
        </w:rPr>
        <w:t> </w:t>
      </w:r>
      <w:r w:rsidRPr="00E919A1">
        <w:rPr>
          <w:lang w:val="fr-FR"/>
        </w:rPr>
        <w:t>d</w:t>
      </w:r>
      <w:r>
        <w:rPr>
          <w:lang w:val="fr-FR"/>
        </w:rPr>
        <w:t>’</w:t>
      </w:r>
      <w:r w:rsidRPr="00E919A1">
        <w:rPr>
          <w:lang w:val="fr-FR"/>
        </w:rPr>
        <w:t>être en phase, dans l</w:t>
      </w:r>
      <w:r>
        <w:rPr>
          <w:lang w:val="fr-FR"/>
        </w:rPr>
        <w:t>’</w:t>
      </w:r>
      <w:r w:rsidRPr="00E919A1">
        <w:rPr>
          <w:lang w:val="fr-FR"/>
        </w:rPr>
        <w:t>exercice de ses fonctions de réglementation, avec l</w:t>
      </w:r>
      <w:r>
        <w:rPr>
          <w:lang w:val="fr-FR"/>
        </w:rPr>
        <w:t>’</w:t>
      </w:r>
      <w:r w:rsidRPr="00E919A1">
        <w:rPr>
          <w:lang w:val="fr-FR"/>
        </w:rPr>
        <w:t>évolution des technologies de pointe qui suscitent l</w:t>
      </w:r>
      <w:r>
        <w:rPr>
          <w:lang w:val="fr-FR"/>
        </w:rPr>
        <w:t>’</w:t>
      </w:r>
      <w:r w:rsidRPr="00E919A1">
        <w:rPr>
          <w:lang w:val="fr-FR"/>
        </w:rPr>
        <w:t xml:space="preserve">innovation dans les transports </w:t>
      </w:r>
      <w:r>
        <w:rPr>
          <w:lang w:val="fr-FR"/>
        </w:rPr>
        <w:t>−</w:t>
      </w:r>
      <w:r w:rsidRPr="00E919A1">
        <w:rPr>
          <w:lang w:val="fr-FR"/>
        </w:rPr>
        <w:t xml:space="preserve"> en particulier dans les domaines des systèmes de transport intelligents, des véhicules autonomes et de la</w:t>
      </w:r>
      <w:r>
        <w:rPr>
          <w:lang w:val="fr-FR"/>
        </w:rPr>
        <w:t> </w:t>
      </w:r>
      <w:r w:rsidRPr="00E919A1">
        <w:rPr>
          <w:lang w:val="fr-FR"/>
        </w:rPr>
        <w:t xml:space="preserve">numérisation </w:t>
      </w:r>
      <w:r>
        <w:rPr>
          <w:lang w:val="fr-FR"/>
        </w:rPr>
        <w:t>−</w:t>
      </w:r>
      <w:r w:rsidRPr="00E919A1">
        <w:rPr>
          <w:lang w:val="fr-FR"/>
        </w:rPr>
        <w:t>, de façon à améliorer la sécurité routière, les performances environnementales, l</w:t>
      </w:r>
      <w:r>
        <w:rPr>
          <w:lang w:val="fr-FR"/>
        </w:rPr>
        <w:t>’</w:t>
      </w:r>
      <w:r w:rsidRPr="00E919A1">
        <w:rPr>
          <w:lang w:val="fr-FR"/>
        </w:rPr>
        <w:t>efficacité énergétique, la sécurité des transports intérieurs et la prestation de services efficaces dans le secteur des transports</w:t>
      </w:r>
      <w:r>
        <w:rPr>
          <w:lang w:val="fr-FR"/>
        </w:rPr>
        <w:t> ;</w:t>
      </w:r>
      <w:r w:rsidRPr="00E919A1">
        <w:rPr>
          <w:lang w:val="fr-FR"/>
        </w:rPr>
        <w:t xml:space="preserve"> ii)</w:t>
      </w:r>
      <w:r>
        <w:rPr>
          <w:lang w:val="fr-FR"/>
        </w:rPr>
        <w:t> </w:t>
      </w:r>
      <w:r w:rsidRPr="00E919A1">
        <w:rPr>
          <w:lang w:val="fr-FR"/>
        </w:rPr>
        <w:t>d</w:t>
      </w:r>
      <w:r>
        <w:rPr>
          <w:lang w:val="fr-FR"/>
        </w:rPr>
        <w:t>’</w:t>
      </w:r>
      <w:r w:rsidRPr="00E919A1">
        <w:rPr>
          <w:lang w:val="fr-FR"/>
        </w:rPr>
        <w:t>éviter que les différents processus de modification des différentes conventions n</w:t>
      </w:r>
      <w:r>
        <w:rPr>
          <w:lang w:val="fr-FR"/>
        </w:rPr>
        <w:t>’</w:t>
      </w:r>
      <w:r w:rsidRPr="00E919A1">
        <w:rPr>
          <w:lang w:val="fr-FR"/>
        </w:rPr>
        <w:t>entraînent une fragmentation</w:t>
      </w:r>
      <w:r>
        <w:rPr>
          <w:lang w:val="fr-FR"/>
        </w:rPr>
        <w:t> ;</w:t>
      </w:r>
      <w:r w:rsidRPr="00E919A1">
        <w:rPr>
          <w:lang w:val="fr-FR"/>
        </w:rPr>
        <w:t xml:space="preserve"> iii)</w:t>
      </w:r>
      <w:r>
        <w:rPr>
          <w:lang w:val="fr-FR"/>
        </w:rPr>
        <w:t> </w:t>
      </w:r>
      <w:r w:rsidRPr="00E919A1">
        <w:rPr>
          <w:lang w:val="fr-FR"/>
        </w:rPr>
        <w:t>d</w:t>
      </w:r>
      <w:r>
        <w:rPr>
          <w:lang w:val="fr-FR"/>
        </w:rPr>
        <w:t>’</w:t>
      </w:r>
      <w:r w:rsidRPr="00E919A1">
        <w:rPr>
          <w:lang w:val="fr-FR"/>
        </w:rPr>
        <w:t>éviter qu</w:t>
      </w:r>
      <w:r>
        <w:rPr>
          <w:lang w:val="fr-FR"/>
        </w:rPr>
        <w:t>’</w:t>
      </w:r>
      <w:r w:rsidRPr="00E919A1">
        <w:rPr>
          <w:lang w:val="fr-FR"/>
        </w:rPr>
        <w:t>une réglementation trop précoce n</w:t>
      </w:r>
      <w:r>
        <w:rPr>
          <w:lang w:val="fr-FR"/>
        </w:rPr>
        <w:t>’</w:t>
      </w:r>
      <w:r w:rsidRPr="00E919A1">
        <w:rPr>
          <w:lang w:val="fr-FR"/>
        </w:rPr>
        <w:t>entrave le progrès</w:t>
      </w:r>
      <w:r>
        <w:rPr>
          <w:lang w:val="fr-FR"/>
        </w:rPr>
        <w:t> ;</w:t>
      </w:r>
    </w:p>
    <w:p w:rsidR="008217C8" w:rsidRPr="00E919A1" w:rsidRDefault="008217C8" w:rsidP="008217C8">
      <w:pPr>
        <w:pStyle w:val="SingleTxtG"/>
        <w:ind w:firstLine="567"/>
        <w:rPr>
          <w:lang w:val="fr-FR"/>
        </w:rPr>
      </w:pPr>
      <w:r w:rsidRPr="00E919A1">
        <w:rPr>
          <w:lang w:val="fr-FR"/>
        </w:rPr>
        <w:t>c)</w:t>
      </w:r>
      <w:r w:rsidRPr="00E919A1">
        <w:rPr>
          <w:lang w:val="fr-FR"/>
        </w:rPr>
        <w:tab/>
      </w:r>
      <w:r w:rsidRPr="00E919A1">
        <w:rPr>
          <w:b/>
          <w:bCs/>
          <w:lang w:val="fr-FR"/>
        </w:rPr>
        <w:t>Plateforme des Nations Unies pour les dialogues régionaux, interrégionaux et mondiaux sur les politiques en matière de transports intérieurs</w:t>
      </w:r>
      <w:r w:rsidRPr="00E919A1">
        <w:rPr>
          <w:lang w:val="fr-FR"/>
        </w:rPr>
        <w:t>, en offrant une plateforme de dialogue politique pour examiner les nouveaux défis qui se posent dans le domaine des transports intérieurs, ainsi que des propositions visant à améliorer les infrastructures et l</w:t>
      </w:r>
      <w:r>
        <w:rPr>
          <w:lang w:val="fr-FR"/>
        </w:rPr>
        <w:t>’</w:t>
      </w:r>
      <w:r w:rsidRPr="00E919A1">
        <w:rPr>
          <w:lang w:val="fr-FR"/>
        </w:rPr>
        <w:t>exploitation à sa session annuelle</w:t>
      </w:r>
      <w:r>
        <w:rPr>
          <w:lang w:val="fr-FR"/>
        </w:rPr>
        <w:t> ;</w:t>
      </w:r>
    </w:p>
    <w:p w:rsidR="008217C8" w:rsidRPr="00E919A1" w:rsidRDefault="008217C8" w:rsidP="008217C8">
      <w:pPr>
        <w:pStyle w:val="SingleTxtG"/>
        <w:ind w:firstLine="567"/>
        <w:rPr>
          <w:lang w:val="fr-FR"/>
        </w:rPr>
      </w:pPr>
      <w:r w:rsidRPr="00E919A1">
        <w:rPr>
          <w:lang w:val="fr-FR"/>
        </w:rPr>
        <w:t>d)</w:t>
      </w:r>
      <w:r w:rsidRPr="00E919A1">
        <w:rPr>
          <w:lang w:val="fr-FR"/>
        </w:rPr>
        <w:tab/>
      </w:r>
      <w:r w:rsidRPr="00E919A1">
        <w:rPr>
          <w:b/>
          <w:bCs/>
          <w:lang w:val="fr-FR"/>
        </w:rPr>
        <w:t>Plateforme des Nations Unies pour la promotion d</w:t>
      </w:r>
      <w:r>
        <w:rPr>
          <w:b/>
          <w:bCs/>
          <w:lang w:val="fr-FR"/>
        </w:rPr>
        <w:t>’</w:t>
      </w:r>
      <w:r w:rsidRPr="00E919A1">
        <w:rPr>
          <w:b/>
          <w:bCs/>
          <w:lang w:val="fr-FR"/>
        </w:rPr>
        <w:t>une connectivité et d</w:t>
      </w:r>
      <w:r>
        <w:rPr>
          <w:b/>
          <w:bCs/>
          <w:lang w:val="fr-FR"/>
        </w:rPr>
        <w:t>’</w:t>
      </w:r>
      <w:r w:rsidRPr="00E919A1">
        <w:rPr>
          <w:b/>
          <w:bCs/>
          <w:lang w:val="fr-FR"/>
        </w:rPr>
        <w:t>une mobilité durables dans les transports intérieurs régionaux et interrégionaux</w:t>
      </w:r>
      <w:r w:rsidRPr="00E919A1">
        <w:rPr>
          <w:lang w:val="fr-FR"/>
        </w:rPr>
        <w:t>, en fournissant un cadre réglementaire complet et harmonisé, s</w:t>
      </w:r>
      <w:r>
        <w:rPr>
          <w:lang w:val="fr-FR"/>
        </w:rPr>
        <w:t>’</w:t>
      </w:r>
      <w:r w:rsidRPr="00E919A1">
        <w:rPr>
          <w:lang w:val="fr-FR"/>
        </w:rPr>
        <w:t>il y a lieu, en étant un point de référence institutionnel à l</w:t>
      </w:r>
      <w:r>
        <w:rPr>
          <w:lang w:val="fr-FR"/>
        </w:rPr>
        <w:t>’</w:t>
      </w:r>
      <w:r w:rsidRPr="00E919A1">
        <w:rPr>
          <w:lang w:val="fr-FR"/>
        </w:rPr>
        <w:t xml:space="preserve">appui de la connectivité internationale, et en mettant sur pied des initiatives, des accords ou des </w:t>
      </w:r>
      <w:r>
        <w:rPr>
          <w:lang w:val="fr-FR"/>
        </w:rPr>
        <w:t>corridors</w:t>
      </w:r>
      <w:r w:rsidRPr="00E919A1">
        <w:rPr>
          <w:lang w:val="fr-FR"/>
        </w:rPr>
        <w:t xml:space="preserve"> ou en s</w:t>
      </w:r>
      <w:r>
        <w:rPr>
          <w:lang w:val="fr-FR"/>
        </w:rPr>
        <w:t>’</w:t>
      </w:r>
      <w:r w:rsidRPr="00E919A1">
        <w:rPr>
          <w:lang w:val="fr-FR"/>
        </w:rPr>
        <w:t>appuyant sur ceux qui existent déjà, selon que de besoin.</w:t>
      </w:r>
    </w:p>
    <w:p w:rsidR="008217C8" w:rsidRPr="00E919A1" w:rsidRDefault="008217C8" w:rsidP="008217C8">
      <w:pPr>
        <w:pStyle w:val="HChG"/>
        <w:rPr>
          <w:lang w:val="fr-FR"/>
        </w:rPr>
      </w:pPr>
      <w:r>
        <w:rPr>
          <w:lang w:val="fr-FR"/>
        </w:rPr>
        <w:tab/>
      </w:r>
      <w:r w:rsidRPr="00E919A1">
        <w:rPr>
          <w:lang w:val="fr-FR"/>
        </w:rPr>
        <w:t>III.</w:t>
      </w:r>
      <w:r w:rsidRPr="00E919A1">
        <w:rPr>
          <w:lang w:val="fr-FR"/>
        </w:rPr>
        <w:tab/>
        <w:t>Objectifs stratégiques du Comité des transports intérieurs</w:t>
      </w:r>
    </w:p>
    <w:p w:rsidR="008217C8" w:rsidRPr="00E919A1" w:rsidRDefault="008217C8" w:rsidP="008217C8">
      <w:pPr>
        <w:pStyle w:val="H1G"/>
        <w:rPr>
          <w:lang w:val="fr-FR"/>
        </w:rPr>
      </w:pPr>
      <w:r>
        <w:rPr>
          <w:lang w:val="fr-FR"/>
        </w:rPr>
        <w:tab/>
      </w:r>
      <w:r w:rsidRPr="00E919A1">
        <w:rPr>
          <w:lang w:val="fr-FR"/>
        </w:rPr>
        <w:t>A.</w:t>
      </w:r>
      <w:r w:rsidRPr="00E919A1">
        <w:rPr>
          <w:lang w:val="fr-FR"/>
        </w:rPr>
        <w:tab/>
        <w:t xml:space="preserve">Objectif stratégique </w:t>
      </w:r>
    </w:p>
    <w:p w:rsidR="008217C8" w:rsidRPr="00E919A1" w:rsidRDefault="008217C8" w:rsidP="008217C8">
      <w:pPr>
        <w:pStyle w:val="SingleTxtG"/>
        <w:rPr>
          <w:lang w:val="fr-FR"/>
        </w:rPr>
      </w:pPr>
      <w:r w:rsidRPr="00E919A1">
        <w:rPr>
          <w:lang w:val="fr-FR"/>
        </w:rPr>
        <w:t>9.</w:t>
      </w:r>
      <w:r w:rsidRPr="00E919A1">
        <w:rPr>
          <w:lang w:val="fr-FR"/>
        </w:rPr>
        <w:tab/>
      </w:r>
      <w:r>
        <w:rPr>
          <w:lang w:val="fr-FR"/>
        </w:rPr>
        <w:t>G</w:t>
      </w:r>
      <w:r w:rsidRPr="00E919A1">
        <w:rPr>
          <w:lang w:val="fr-FR"/>
        </w:rPr>
        <w:t>ouvernance</w:t>
      </w:r>
      <w:r>
        <w:rPr>
          <w:lang w:val="fr-FR"/>
        </w:rPr>
        <w:t xml:space="preserve"> accentuée. Le</w:t>
      </w:r>
      <w:r w:rsidRPr="00E919A1">
        <w:rPr>
          <w:lang w:val="fr-FR"/>
        </w:rPr>
        <w:t xml:space="preserve"> CTI est véritablement la </w:t>
      </w:r>
      <w:r>
        <w:rPr>
          <w:lang w:val="fr-FR"/>
        </w:rPr>
        <w:t>plateforme</w:t>
      </w:r>
      <w:r w:rsidRPr="00E919A1">
        <w:rPr>
          <w:lang w:val="fr-FR"/>
        </w:rPr>
        <w:t xml:space="preserve"> de l</w:t>
      </w:r>
      <w:r>
        <w:rPr>
          <w:lang w:val="fr-FR"/>
        </w:rPr>
        <w:t>’</w:t>
      </w:r>
      <w:r w:rsidRPr="00E919A1">
        <w:rPr>
          <w:lang w:val="fr-FR"/>
        </w:rPr>
        <w:t>ONU réunissant sur un pied d</w:t>
      </w:r>
      <w:r>
        <w:rPr>
          <w:lang w:val="fr-FR"/>
        </w:rPr>
        <w:t>’</w:t>
      </w:r>
      <w:r w:rsidRPr="00E919A1">
        <w:rPr>
          <w:lang w:val="fr-FR"/>
        </w:rPr>
        <w:t xml:space="preserve">égalité toutes les Parties contractantes aux </w:t>
      </w:r>
      <w:r>
        <w:rPr>
          <w:lang w:val="fr-FR"/>
        </w:rPr>
        <w:t>instruments juridiques des Nations Unies</w:t>
      </w:r>
      <w:r w:rsidRPr="00E919A1">
        <w:rPr>
          <w:lang w:val="fr-FR"/>
        </w:rPr>
        <w:t xml:space="preserve"> qui relèvent de sa compétence présidant au développement futur des transports intérieurs</w:t>
      </w:r>
      <w:r>
        <w:rPr>
          <w:lang w:val="fr-FR"/>
        </w:rPr>
        <w:t>.</w:t>
      </w:r>
      <w:r w:rsidRPr="00E919A1">
        <w:rPr>
          <w:lang w:val="fr-FR"/>
        </w:rPr>
        <w:t xml:space="preserve"> Les </w:t>
      </w:r>
      <w:r>
        <w:rPr>
          <w:lang w:val="fr-FR"/>
        </w:rPr>
        <w:t>Conventions des Nations Unies</w:t>
      </w:r>
      <w:r w:rsidRPr="00E919A1">
        <w:rPr>
          <w:lang w:val="fr-FR"/>
        </w:rPr>
        <w:t xml:space="preserve"> en matière de transport qui relèvent de sa compétence sont universellement acceptées et mises en œuvre, ouvertes à tous les États Membres des Nations Unies pour adhésion ou ratification, si possible, et prennent en compte les bonnes pratiques régionales</w:t>
      </w:r>
      <w:r>
        <w:rPr>
          <w:lang w:val="fr-FR"/>
        </w:rPr>
        <w:t xml:space="preserve">. </w:t>
      </w:r>
      <w:r w:rsidRPr="00E919A1">
        <w:rPr>
          <w:lang w:val="fr-FR"/>
        </w:rPr>
        <w:t>Le CTI reste en phase avec le rythme des évolutions technologiques</w:t>
      </w:r>
      <w:r>
        <w:rPr>
          <w:lang w:val="fr-FR"/>
        </w:rPr>
        <w:t>.</w:t>
      </w:r>
      <w:r w:rsidRPr="00E919A1">
        <w:rPr>
          <w:lang w:val="fr-FR"/>
        </w:rPr>
        <w:t xml:space="preserve"> Les travaux du CTI améliorent la connectivité régionale et interrégionale.</w:t>
      </w:r>
    </w:p>
    <w:p w:rsidR="008217C8" w:rsidRPr="00E919A1" w:rsidRDefault="008217C8" w:rsidP="008217C8">
      <w:pPr>
        <w:pStyle w:val="H1G"/>
        <w:rPr>
          <w:lang w:val="fr-FR"/>
        </w:rPr>
      </w:pPr>
      <w:r>
        <w:rPr>
          <w:lang w:val="fr-FR"/>
        </w:rPr>
        <w:lastRenderedPageBreak/>
        <w:tab/>
      </w:r>
      <w:r w:rsidRPr="00E919A1">
        <w:rPr>
          <w:lang w:val="fr-FR"/>
        </w:rPr>
        <w:t>B.</w:t>
      </w:r>
      <w:r w:rsidRPr="00E919A1">
        <w:rPr>
          <w:lang w:val="fr-FR"/>
        </w:rPr>
        <w:tab/>
        <w:t>Objectif horizontal</w:t>
      </w:r>
    </w:p>
    <w:p w:rsidR="008217C8" w:rsidRPr="00E919A1" w:rsidRDefault="008217C8" w:rsidP="008217C8">
      <w:pPr>
        <w:pStyle w:val="SingleTxtG"/>
        <w:rPr>
          <w:lang w:val="fr-FR"/>
        </w:rPr>
      </w:pPr>
      <w:r w:rsidRPr="00E919A1">
        <w:rPr>
          <w:lang w:val="fr-FR"/>
        </w:rPr>
        <w:t>10.</w:t>
      </w:r>
      <w:r w:rsidRPr="00E919A1">
        <w:rPr>
          <w:lang w:val="fr-FR"/>
        </w:rPr>
        <w:tab/>
        <w:t>Appui accru à la mise en œuvre de tous les objectifs de développement durable, en particulier grâce à</w:t>
      </w:r>
      <w:r>
        <w:rPr>
          <w:lang w:val="fr-FR"/>
        </w:rPr>
        <w:t> :</w:t>
      </w:r>
      <w:r w:rsidRPr="00E919A1">
        <w:rPr>
          <w:lang w:val="fr-FR"/>
        </w:rPr>
        <w:t xml:space="preserve"> a)</w:t>
      </w:r>
      <w:r>
        <w:rPr>
          <w:lang w:val="fr-FR"/>
        </w:rPr>
        <w:t> </w:t>
      </w:r>
      <w:r w:rsidRPr="00E919A1">
        <w:rPr>
          <w:lang w:val="fr-FR"/>
        </w:rPr>
        <w:t>l</w:t>
      </w:r>
      <w:r>
        <w:rPr>
          <w:lang w:val="fr-FR"/>
        </w:rPr>
        <w:t>’</w:t>
      </w:r>
      <w:r w:rsidRPr="00E919A1">
        <w:rPr>
          <w:lang w:val="fr-FR"/>
        </w:rPr>
        <w:t>amélioration de la sécurité routière et de la mobilité urbaine (ODD</w:t>
      </w:r>
      <w:r>
        <w:rPr>
          <w:lang w:val="fr-FR"/>
        </w:rPr>
        <w:t> </w:t>
      </w:r>
      <w:r w:rsidRPr="00E919A1">
        <w:rPr>
          <w:lang w:val="fr-FR"/>
        </w:rPr>
        <w:t>3 et 11)</w:t>
      </w:r>
      <w:r>
        <w:rPr>
          <w:lang w:val="fr-FR"/>
        </w:rPr>
        <w:t> ;</w:t>
      </w:r>
      <w:r w:rsidRPr="00E919A1">
        <w:rPr>
          <w:lang w:val="fr-FR"/>
        </w:rPr>
        <w:t xml:space="preserve"> b)</w:t>
      </w:r>
      <w:r>
        <w:rPr>
          <w:lang w:val="fr-FR"/>
        </w:rPr>
        <w:t> </w:t>
      </w:r>
      <w:r w:rsidRPr="00E919A1">
        <w:rPr>
          <w:lang w:val="fr-FR"/>
        </w:rPr>
        <w:t>la réduction des émissions de polluants et de gaz à effet de serre (ODD</w:t>
      </w:r>
      <w:r>
        <w:rPr>
          <w:lang w:val="fr-FR"/>
        </w:rPr>
        <w:t> </w:t>
      </w:r>
      <w:r w:rsidRPr="00E919A1">
        <w:rPr>
          <w:lang w:val="fr-FR"/>
        </w:rPr>
        <w:t>3 et 13)</w:t>
      </w:r>
      <w:r>
        <w:rPr>
          <w:lang w:val="fr-FR"/>
        </w:rPr>
        <w:t> ;</w:t>
      </w:r>
      <w:r w:rsidRPr="00E919A1">
        <w:rPr>
          <w:lang w:val="fr-FR"/>
        </w:rPr>
        <w:t xml:space="preserve"> c)</w:t>
      </w:r>
      <w:r>
        <w:rPr>
          <w:lang w:val="fr-FR"/>
        </w:rPr>
        <w:t> </w:t>
      </w:r>
      <w:r w:rsidRPr="00E919A1">
        <w:rPr>
          <w:lang w:val="fr-FR"/>
        </w:rPr>
        <w:t>l</w:t>
      </w:r>
      <w:r>
        <w:rPr>
          <w:lang w:val="fr-FR"/>
        </w:rPr>
        <w:t>’</w:t>
      </w:r>
      <w:r w:rsidRPr="00E919A1">
        <w:rPr>
          <w:lang w:val="fr-FR"/>
        </w:rPr>
        <w:t>amélioration de l</w:t>
      </w:r>
      <w:r>
        <w:rPr>
          <w:lang w:val="fr-FR"/>
        </w:rPr>
        <w:t>’</w:t>
      </w:r>
      <w:r w:rsidRPr="00E919A1">
        <w:rPr>
          <w:lang w:val="fr-FR"/>
        </w:rPr>
        <w:t>innovation industrielle et de l</w:t>
      </w:r>
      <w:r>
        <w:rPr>
          <w:lang w:val="fr-FR"/>
        </w:rPr>
        <w:t>’</w:t>
      </w:r>
      <w:r w:rsidRPr="00E919A1">
        <w:rPr>
          <w:lang w:val="fr-FR"/>
        </w:rPr>
        <w:t>efficacité et de la connectivité des infrastructures (ODD 9)</w:t>
      </w:r>
      <w:r>
        <w:rPr>
          <w:lang w:val="fr-FR"/>
        </w:rPr>
        <w:t> ;</w:t>
      </w:r>
      <w:r w:rsidRPr="00E919A1">
        <w:rPr>
          <w:lang w:val="fr-FR"/>
        </w:rPr>
        <w:t xml:space="preserve"> d)</w:t>
      </w:r>
      <w:r>
        <w:rPr>
          <w:lang w:val="fr-FR"/>
        </w:rPr>
        <w:t> </w:t>
      </w:r>
      <w:r w:rsidRPr="00E919A1">
        <w:rPr>
          <w:lang w:val="fr-FR"/>
        </w:rPr>
        <w:t>l</w:t>
      </w:r>
      <w:r>
        <w:rPr>
          <w:lang w:val="fr-FR"/>
        </w:rPr>
        <w:t>’</w:t>
      </w:r>
      <w:r w:rsidRPr="00E919A1">
        <w:rPr>
          <w:lang w:val="fr-FR"/>
        </w:rPr>
        <w:t>accès à une énergie propre et d</w:t>
      </w:r>
      <w:r>
        <w:rPr>
          <w:lang w:val="fr-FR"/>
        </w:rPr>
        <w:t>’</w:t>
      </w:r>
      <w:r w:rsidRPr="00E919A1">
        <w:rPr>
          <w:lang w:val="fr-FR"/>
        </w:rPr>
        <w:t>un coût abordable (ODD</w:t>
      </w:r>
      <w:r>
        <w:rPr>
          <w:lang w:val="fr-FR"/>
        </w:rPr>
        <w:t> </w:t>
      </w:r>
      <w:r w:rsidRPr="00E919A1">
        <w:rPr>
          <w:lang w:val="fr-FR"/>
        </w:rPr>
        <w:t>7)</w:t>
      </w:r>
      <w:r>
        <w:rPr>
          <w:lang w:val="fr-FR"/>
        </w:rPr>
        <w:t> ;</w:t>
      </w:r>
      <w:r w:rsidRPr="00E919A1">
        <w:rPr>
          <w:lang w:val="fr-FR"/>
        </w:rPr>
        <w:t xml:space="preserve"> e)</w:t>
      </w:r>
      <w:r>
        <w:rPr>
          <w:lang w:val="fr-FR"/>
        </w:rPr>
        <w:t> </w:t>
      </w:r>
      <w:r w:rsidRPr="00E919A1">
        <w:rPr>
          <w:lang w:val="fr-FR"/>
        </w:rPr>
        <w:t>la promotion d</w:t>
      </w:r>
      <w:r>
        <w:rPr>
          <w:lang w:val="fr-FR"/>
        </w:rPr>
        <w:t>’</w:t>
      </w:r>
      <w:r w:rsidRPr="00E919A1">
        <w:rPr>
          <w:lang w:val="fr-FR"/>
        </w:rPr>
        <w:t>un travail décent et de la croissance économique (ODD</w:t>
      </w:r>
      <w:r>
        <w:rPr>
          <w:lang w:val="fr-FR"/>
        </w:rPr>
        <w:t> </w:t>
      </w:r>
      <w:r w:rsidRPr="00E919A1">
        <w:rPr>
          <w:lang w:val="fr-FR"/>
        </w:rPr>
        <w:t>8)</w:t>
      </w:r>
      <w:r>
        <w:rPr>
          <w:lang w:val="fr-FR"/>
        </w:rPr>
        <w:t> ;</w:t>
      </w:r>
      <w:r w:rsidRPr="00E919A1">
        <w:rPr>
          <w:lang w:val="fr-FR"/>
        </w:rPr>
        <w:t xml:space="preserve"> f)</w:t>
      </w:r>
      <w:r>
        <w:rPr>
          <w:lang w:val="fr-FR"/>
        </w:rPr>
        <w:t> </w:t>
      </w:r>
      <w:r w:rsidRPr="00E919A1">
        <w:rPr>
          <w:lang w:val="fr-FR"/>
        </w:rPr>
        <w:t>l</w:t>
      </w:r>
      <w:r>
        <w:rPr>
          <w:lang w:val="fr-FR"/>
        </w:rPr>
        <w:t>’</w:t>
      </w:r>
      <w:r w:rsidRPr="00E919A1">
        <w:rPr>
          <w:lang w:val="fr-FR"/>
        </w:rPr>
        <w:t>égalité entre les sexes (ODD</w:t>
      </w:r>
      <w:r>
        <w:rPr>
          <w:lang w:val="fr-FR"/>
        </w:rPr>
        <w:t> </w:t>
      </w:r>
      <w:r w:rsidRPr="00E919A1">
        <w:rPr>
          <w:lang w:val="fr-FR"/>
        </w:rPr>
        <w:t>5)</w:t>
      </w:r>
      <w:r>
        <w:rPr>
          <w:lang w:val="fr-FR"/>
        </w:rPr>
        <w:t> ;</w:t>
      </w:r>
      <w:r w:rsidRPr="00E919A1">
        <w:rPr>
          <w:lang w:val="fr-FR"/>
        </w:rPr>
        <w:t xml:space="preserve"> g)</w:t>
      </w:r>
      <w:r>
        <w:rPr>
          <w:lang w:val="fr-FR"/>
        </w:rPr>
        <w:t> </w:t>
      </w:r>
      <w:r w:rsidRPr="00E919A1">
        <w:rPr>
          <w:lang w:val="fr-FR"/>
        </w:rPr>
        <w:t>des contributions, dans la mesure du possible, au suivi à l</w:t>
      </w:r>
      <w:r>
        <w:rPr>
          <w:lang w:val="fr-FR"/>
        </w:rPr>
        <w:t>’</w:t>
      </w:r>
      <w:r w:rsidRPr="00E919A1">
        <w:rPr>
          <w:lang w:val="fr-FR"/>
        </w:rPr>
        <w:t xml:space="preserve">échelle mondiale des progrès réalisés sur la voie des transports durables (tous les objectifs stratégiques pertinents). </w:t>
      </w:r>
    </w:p>
    <w:p w:rsidR="008217C8" w:rsidRPr="00E919A1" w:rsidRDefault="008217C8" w:rsidP="008217C8">
      <w:pPr>
        <w:pStyle w:val="HChG"/>
        <w:spacing w:before="320"/>
        <w:rPr>
          <w:lang w:val="fr-FR"/>
        </w:rPr>
      </w:pPr>
      <w:bookmarkStart w:id="2" w:name="_Hlk512507297"/>
      <w:r>
        <w:rPr>
          <w:lang w:val="fr-FR"/>
        </w:rPr>
        <w:tab/>
      </w:r>
      <w:r w:rsidRPr="00E919A1">
        <w:rPr>
          <w:lang w:val="fr-FR"/>
        </w:rPr>
        <w:t>IV.</w:t>
      </w:r>
      <w:r w:rsidRPr="00E919A1">
        <w:rPr>
          <w:lang w:val="fr-FR"/>
        </w:rPr>
        <w:tab/>
        <w:t>Plan d</w:t>
      </w:r>
      <w:r>
        <w:rPr>
          <w:lang w:val="fr-FR"/>
        </w:rPr>
        <w:t>’</w:t>
      </w:r>
      <w:r w:rsidRPr="00E919A1">
        <w:rPr>
          <w:lang w:val="fr-FR"/>
        </w:rPr>
        <w:t xml:space="preserve">action pour la </w:t>
      </w:r>
      <w:r>
        <w:rPr>
          <w:lang w:val="fr-FR"/>
        </w:rPr>
        <w:t>mise en œuvre de la</w:t>
      </w:r>
      <w:r w:rsidRPr="00E919A1">
        <w:rPr>
          <w:lang w:val="fr-FR"/>
        </w:rPr>
        <w:t xml:space="preserve"> </w:t>
      </w:r>
      <w:r>
        <w:rPr>
          <w:lang w:val="fr-FR"/>
        </w:rPr>
        <w:t>Vision d’avenir</w:t>
      </w:r>
      <w:r w:rsidRPr="00E919A1">
        <w:rPr>
          <w:lang w:val="fr-FR"/>
        </w:rPr>
        <w:t xml:space="preserve"> </w:t>
      </w:r>
      <w:r>
        <w:rPr>
          <w:lang w:val="fr-FR"/>
        </w:rPr>
        <w:br/>
      </w:r>
      <w:r w:rsidRPr="00E919A1">
        <w:rPr>
          <w:lang w:val="fr-FR"/>
        </w:rPr>
        <w:t>du Comité des transports intérieurs</w:t>
      </w:r>
    </w:p>
    <w:p w:rsidR="008217C8" w:rsidRPr="00E919A1" w:rsidRDefault="008217C8" w:rsidP="008217C8">
      <w:pPr>
        <w:pStyle w:val="SingleTxtG"/>
        <w:rPr>
          <w:lang w:val="fr-FR"/>
        </w:rPr>
      </w:pPr>
      <w:r w:rsidRPr="00E919A1">
        <w:rPr>
          <w:lang w:val="fr-FR"/>
        </w:rPr>
        <w:t>11.</w:t>
      </w:r>
      <w:r w:rsidRPr="00E919A1">
        <w:rPr>
          <w:lang w:val="fr-FR"/>
        </w:rPr>
        <w:tab/>
        <w:t>Le plan d</w:t>
      </w:r>
      <w:r>
        <w:rPr>
          <w:lang w:val="fr-FR"/>
        </w:rPr>
        <w:t>’</w:t>
      </w:r>
      <w:r w:rsidRPr="00E919A1">
        <w:rPr>
          <w:lang w:val="fr-FR"/>
        </w:rPr>
        <w:t>action élaboré dans le cadre de la stratégie du CTI à l</w:t>
      </w:r>
      <w:r>
        <w:rPr>
          <w:lang w:val="fr-FR"/>
        </w:rPr>
        <w:t>’</w:t>
      </w:r>
      <w:r w:rsidRPr="00E919A1">
        <w:rPr>
          <w:lang w:val="fr-FR"/>
        </w:rPr>
        <w:t xml:space="preserve">horizon 2030, tel que présenté ci-dessous, tient compte </w:t>
      </w:r>
      <w:r>
        <w:rPr>
          <w:lang w:val="fr-FR"/>
        </w:rPr>
        <w:t>de la</w:t>
      </w:r>
      <w:r w:rsidRPr="00E919A1">
        <w:rPr>
          <w:lang w:val="fr-FR"/>
        </w:rPr>
        <w:t xml:space="preserve"> </w:t>
      </w:r>
      <w:r>
        <w:rPr>
          <w:lang w:val="fr-FR"/>
        </w:rPr>
        <w:t>vision d’avenir</w:t>
      </w:r>
      <w:r w:rsidRPr="00E919A1">
        <w:rPr>
          <w:lang w:val="fr-FR"/>
        </w:rPr>
        <w:t xml:space="preserve"> du Comité, de sa vocation, de ses objectifs et de ses défis et missions aux échelles régionale et mondiale, ainsi que des vues et suggestions exprimées à propos de la stratégie à sa quatre-vingtième session, en février 2018.</w:t>
      </w:r>
    </w:p>
    <w:p w:rsidR="008217C8" w:rsidRPr="00E919A1" w:rsidRDefault="008217C8" w:rsidP="008217C8">
      <w:pPr>
        <w:pStyle w:val="H1G"/>
        <w:spacing w:before="320"/>
        <w:rPr>
          <w:lang w:val="fr-FR"/>
        </w:rPr>
      </w:pPr>
      <w:r>
        <w:rPr>
          <w:lang w:val="fr-FR"/>
        </w:rPr>
        <w:tab/>
      </w:r>
      <w:r w:rsidRPr="00E919A1">
        <w:rPr>
          <w:lang w:val="fr-FR"/>
        </w:rPr>
        <w:t>A.</w:t>
      </w:r>
      <w:r w:rsidRPr="00E919A1">
        <w:rPr>
          <w:lang w:val="fr-FR"/>
        </w:rPr>
        <w:tab/>
        <w:t xml:space="preserve">Renforcer le rôle du CTI en tant que </w:t>
      </w:r>
      <w:r>
        <w:rPr>
          <w:lang w:val="fr-FR"/>
        </w:rPr>
        <w:t>plateforme</w:t>
      </w:r>
      <w:r w:rsidRPr="00E919A1">
        <w:rPr>
          <w:lang w:val="fr-FR"/>
        </w:rPr>
        <w:t xml:space="preserve"> des Nations Unies </w:t>
      </w:r>
      <w:r>
        <w:rPr>
          <w:lang w:val="fr-FR"/>
        </w:rPr>
        <w:br/>
      </w:r>
      <w:r w:rsidRPr="00E919A1">
        <w:rPr>
          <w:lang w:val="fr-FR"/>
        </w:rPr>
        <w:t xml:space="preserve">pour les conventions relatives aux transports intérieurs </w:t>
      </w:r>
      <w:r>
        <w:rPr>
          <w:lang w:val="fr-FR"/>
        </w:rPr>
        <w:br/>
        <w:t>[décisions</w:t>
      </w:r>
      <w:r w:rsidRPr="00E919A1">
        <w:rPr>
          <w:lang w:val="fr-FR"/>
        </w:rPr>
        <w:t xml:space="preserve"> 1, 2, 3, 6, 7 et 8 de la résolution ministérielle (RM)]</w:t>
      </w:r>
    </w:p>
    <w:p w:rsidR="008217C8" w:rsidRPr="000A7C2C" w:rsidRDefault="008217C8" w:rsidP="008217C8">
      <w:pPr>
        <w:pStyle w:val="H4G"/>
        <w:spacing w:after="100"/>
        <w:rPr>
          <w:b/>
          <w:bCs/>
          <w:lang w:val="fr-FR"/>
        </w:rPr>
      </w:pPr>
      <w:r>
        <w:rPr>
          <w:lang w:val="fr-FR"/>
        </w:rPr>
        <w:tab/>
      </w:r>
      <w:r w:rsidRPr="000A7C2C">
        <w:rPr>
          <w:lang w:val="fr-FR"/>
        </w:rPr>
        <w:tab/>
      </w:r>
      <w:r>
        <w:rPr>
          <w:lang w:val="fr-FR"/>
        </w:rPr>
        <w:t>[Délai :</w:t>
      </w:r>
      <w:r w:rsidRPr="000A7C2C">
        <w:rPr>
          <w:lang w:val="fr-FR"/>
        </w:rPr>
        <w:t xml:space="preserve"> court, moyen et long terme]</w:t>
      </w:r>
    </w:p>
    <w:p w:rsidR="008217C8" w:rsidRPr="000A7C2C" w:rsidRDefault="008217C8" w:rsidP="008217C8">
      <w:pPr>
        <w:pStyle w:val="SingleTxtG"/>
        <w:spacing w:after="100"/>
        <w:ind w:firstLine="567"/>
        <w:rPr>
          <w:lang w:val="fr-FR"/>
        </w:rPr>
      </w:pPr>
      <w:r w:rsidRPr="000A7C2C">
        <w:rPr>
          <w:lang w:val="fr-FR"/>
        </w:rPr>
        <w:t>a)</w:t>
      </w:r>
      <w:r w:rsidRPr="000A7C2C">
        <w:rPr>
          <w:lang w:val="fr-FR"/>
        </w:rPr>
        <w:tab/>
        <w:t>Renforcer la promotion de l</w:t>
      </w:r>
      <w:r>
        <w:rPr>
          <w:lang w:val="fr-FR"/>
        </w:rPr>
        <w:t>’</w:t>
      </w:r>
      <w:r w:rsidRPr="000A7C2C">
        <w:rPr>
          <w:lang w:val="fr-FR"/>
        </w:rPr>
        <w:t>adhésion d</w:t>
      </w:r>
      <w:r>
        <w:rPr>
          <w:lang w:val="fr-FR"/>
        </w:rPr>
        <w:t>’</w:t>
      </w:r>
      <w:r w:rsidRPr="000A7C2C">
        <w:rPr>
          <w:lang w:val="fr-FR"/>
        </w:rPr>
        <w:t xml:space="preserve">États non membres de la CEE aux instruments juridiques des Nations Unies relatifs aux transports intérieurs administrés par la CEE [au niveau mondial] </w:t>
      </w:r>
      <w:r>
        <w:rPr>
          <w:lang w:val="fr-FR"/>
        </w:rPr>
        <w:t>[décisions</w:t>
      </w:r>
      <w:r w:rsidRPr="000A7C2C">
        <w:rPr>
          <w:lang w:val="fr-FR"/>
        </w:rPr>
        <w:t xml:space="preserve"> 1 et 6 de la RM]</w:t>
      </w:r>
      <w:bookmarkStart w:id="3" w:name="_Hlk508791696"/>
      <w:bookmarkEnd w:id="3"/>
      <w:r>
        <w:rPr>
          <w:lang w:val="fr-FR"/>
        </w:rPr>
        <w:t> :</w:t>
      </w:r>
    </w:p>
    <w:p w:rsidR="008217C8" w:rsidRPr="000A7C2C" w:rsidRDefault="008217C8" w:rsidP="008217C8">
      <w:pPr>
        <w:pStyle w:val="SingleTxtG"/>
        <w:keepNext/>
        <w:spacing w:after="100"/>
        <w:ind w:left="1701"/>
        <w:rPr>
          <w:lang w:val="fr-FR"/>
        </w:rPr>
      </w:pPr>
      <w:r w:rsidRPr="000A7C2C">
        <w:rPr>
          <w:lang w:val="fr-FR"/>
        </w:rPr>
        <w:t>i)</w:t>
      </w:r>
      <w:r w:rsidRPr="000A7C2C">
        <w:rPr>
          <w:lang w:val="fr-FR"/>
        </w:rPr>
        <w:tab/>
        <w:t>Faciliter la participation des États non membres de la CEE aux instruments juridiques</w:t>
      </w:r>
      <w:r>
        <w:rPr>
          <w:lang w:val="fr-FR"/>
        </w:rPr>
        <w:t> :</w:t>
      </w:r>
    </w:p>
    <w:p w:rsidR="008217C8" w:rsidRPr="000A7C2C" w:rsidRDefault="008217C8" w:rsidP="008217C8">
      <w:pPr>
        <w:pStyle w:val="Bullet2G"/>
        <w:numPr>
          <w:ilvl w:val="0"/>
          <w:numId w:val="0"/>
        </w:numPr>
        <w:tabs>
          <w:tab w:val="left" w:pos="2268"/>
        </w:tabs>
        <w:kinsoku/>
        <w:overflowPunct/>
        <w:autoSpaceDE/>
        <w:autoSpaceDN/>
        <w:adjustRightInd/>
        <w:snapToGrid/>
        <w:spacing w:after="100"/>
        <w:ind w:left="2268" w:hanging="170"/>
        <w:rPr>
          <w:lang w:val="fr-FR"/>
        </w:rPr>
      </w:pPr>
      <w:r w:rsidRPr="000A7C2C">
        <w:rPr>
          <w:lang w:val="fr-FR"/>
        </w:rPr>
        <w:t>•</w:t>
      </w:r>
      <w:r w:rsidRPr="000A7C2C">
        <w:rPr>
          <w:lang w:val="fr-FR"/>
        </w:rPr>
        <w:tab/>
        <w:t>Modifier le mandat du CTI de façon à permettre aux Parties contractantes à des instruments juridiques des Nations Unies et aux organes subsidiaires compétents de devenir membres à part entière du Comité et à pouvoir donner le statut d</w:t>
      </w:r>
      <w:r>
        <w:rPr>
          <w:lang w:val="fr-FR"/>
        </w:rPr>
        <w:t>’</w:t>
      </w:r>
      <w:r w:rsidRPr="000A7C2C">
        <w:rPr>
          <w:lang w:val="fr-FR"/>
        </w:rPr>
        <w:t>observateur à d</w:t>
      </w:r>
      <w:r>
        <w:rPr>
          <w:lang w:val="fr-FR"/>
        </w:rPr>
        <w:t>’</w:t>
      </w:r>
      <w:r w:rsidRPr="000A7C2C">
        <w:rPr>
          <w:lang w:val="fr-FR"/>
        </w:rPr>
        <w:t>autres États Membres de l</w:t>
      </w:r>
      <w:r>
        <w:rPr>
          <w:lang w:val="fr-FR"/>
        </w:rPr>
        <w:t>’</w:t>
      </w:r>
      <w:r w:rsidRPr="000A7C2C">
        <w:rPr>
          <w:lang w:val="fr-FR"/>
        </w:rPr>
        <w:t xml:space="preserve">ONU qui ne sont pas Parties contractantes </w:t>
      </w:r>
      <w:r>
        <w:rPr>
          <w:iCs/>
          <w:lang w:val="fr-FR"/>
        </w:rPr>
        <w:t>[</w:t>
      </w:r>
      <w:r w:rsidRPr="005D1BDD">
        <w:rPr>
          <w:i/>
          <w:iCs/>
          <w:lang w:val="fr-FR"/>
        </w:rPr>
        <w:t>délai : court, moyen et long terme</w:t>
      </w:r>
      <w:r w:rsidRPr="000A7C2C">
        <w:rPr>
          <w:iCs/>
          <w:lang w:val="fr-FR"/>
        </w:rPr>
        <w:t>]</w:t>
      </w:r>
      <w:r>
        <w:rPr>
          <w:iCs/>
          <w:lang w:val="fr-FR"/>
        </w:rPr>
        <w:t> </w:t>
      </w:r>
      <w:r>
        <w:rPr>
          <w:lang w:val="fr-FR"/>
        </w:rPr>
        <w:t>;</w:t>
      </w:r>
    </w:p>
    <w:p w:rsidR="008217C8" w:rsidRPr="000A7C2C" w:rsidRDefault="008217C8" w:rsidP="008217C8">
      <w:pPr>
        <w:pStyle w:val="Bullet2G"/>
        <w:numPr>
          <w:ilvl w:val="0"/>
          <w:numId w:val="0"/>
        </w:numPr>
        <w:tabs>
          <w:tab w:val="left" w:pos="2268"/>
        </w:tabs>
        <w:kinsoku/>
        <w:overflowPunct/>
        <w:autoSpaceDE/>
        <w:autoSpaceDN/>
        <w:adjustRightInd/>
        <w:snapToGrid/>
        <w:spacing w:after="100"/>
        <w:ind w:left="2268" w:hanging="170"/>
        <w:rPr>
          <w:lang w:val="fr-FR"/>
        </w:rPr>
      </w:pPr>
      <w:r w:rsidRPr="000A7C2C">
        <w:rPr>
          <w:lang w:val="fr-FR"/>
        </w:rPr>
        <w:t>•</w:t>
      </w:r>
      <w:r w:rsidRPr="000A7C2C">
        <w:rPr>
          <w:lang w:val="fr-FR"/>
        </w:rPr>
        <w:tab/>
        <w:t>Modifier les instruments juridiques érigeant des obstacles géographiques et procéduraux pour permettre l</w:t>
      </w:r>
      <w:r>
        <w:rPr>
          <w:lang w:val="fr-FR"/>
        </w:rPr>
        <w:t>’</w:t>
      </w:r>
      <w:r w:rsidRPr="000A7C2C">
        <w:rPr>
          <w:lang w:val="fr-FR"/>
        </w:rPr>
        <w:t>adhésion d</w:t>
      </w:r>
      <w:r>
        <w:rPr>
          <w:lang w:val="fr-FR"/>
        </w:rPr>
        <w:t>’</w:t>
      </w:r>
      <w:r w:rsidRPr="000A7C2C">
        <w:rPr>
          <w:lang w:val="fr-FR"/>
        </w:rPr>
        <w:t>États non membres de la CEE, si nécessaire</w:t>
      </w:r>
      <w:r w:rsidRPr="000A7C2C">
        <w:rPr>
          <w:b/>
          <w:bCs/>
          <w:lang w:val="fr-FR"/>
        </w:rPr>
        <w:t xml:space="preserve"> </w:t>
      </w:r>
      <w:r>
        <w:rPr>
          <w:lang w:val="fr-FR"/>
        </w:rPr>
        <w:t>[</w:t>
      </w:r>
      <w:r w:rsidRPr="005D1BDD">
        <w:rPr>
          <w:i/>
          <w:lang w:val="fr-FR"/>
        </w:rPr>
        <w:t>délai : court et moyen terme</w:t>
      </w:r>
      <w:r w:rsidRPr="000A7C2C">
        <w:rPr>
          <w:lang w:val="fr-FR"/>
        </w:rPr>
        <w:t>]</w:t>
      </w:r>
      <w:r>
        <w:rPr>
          <w:lang w:val="fr-FR"/>
        </w:rPr>
        <w:t> ;</w:t>
      </w:r>
    </w:p>
    <w:p w:rsidR="008217C8" w:rsidRPr="000A7C2C" w:rsidRDefault="008217C8" w:rsidP="008217C8">
      <w:pPr>
        <w:pStyle w:val="SingleTxtG"/>
        <w:keepNext/>
        <w:spacing w:after="100"/>
        <w:ind w:left="1701"/>
        <w:rPr>
          <w:lang w:val="fr-FR"/>
        </w:rPr>
      </w:pPr>
      <w:r w:rsidRPr="000A7C2C">
        <w:rPr>
          <w:lang w:val="fr-FR"/>
        </w:rPr>
        <w:t>ii)</w:t>
      </w:r>
      <w:r w:rsidRPr="000A7C2C">
        <w:rPr>
          <w:lang w:val="fr-FR"/>
        </w:rPr>
        <w:tab/>
        <w:t>Exploiter pleinement les avantages de tous les instruments juridiques</w:t>
      </w:r>
      <w:r>
        <w:rPr>
          <w:lang w:val="fr-FR"/>
        </w:rPr>
        <w:t> :</w:t>
      </w:r>
    </w:p>
    <w:p w:rsidR="008217C8" w:rsidRPr="000A7C2C" w:rsidRDefault="008217C8" w:rsidP="008217C8">
      <w:pPr>
        <w:pStyle w:val="Bullet2G"/>
        <w:numPr>
          <w:ilvl w:val="0"/>
          <w:numId w:val="0"/>
        </w:numPr>
        <w:tabs>
          <w:tab w:val="left" w:pos="2268"/>
        </w:tabs>
        <w:kinsoku/>
        <w:overflowPunct/>
        <w:autoSpaceDE/>
        <w:autoSpaceDN/>
        <w:adjustRightInd/>
        <w:snapToGrid/>
        <w:spacing w:after="100"/>
        <w:ind w:left="2268" w:hanging="170"/>
        <w:rPr>
          <w:lang w:val="fr-FR"/>
        </w:rPr>
      </w:pPr>
      <w:r w:rsidRPr="000A7C2C">
        <w:rPr>
          <w:lang w:val="fr-FR"/>
        </w:rPr>
        <w:t>•</w:t>
      </w:r>
      <w:r w:rsidRPr="000A7C2C">
        <w:rPr>
          <w:lang w:val="fr-FR"/>
        </w:rPr>
        <w:tab/>
        <w:t xml:space="preserve">Examiner les instruments juridiques existants afin de déterminer leur relation et leur complémentarité dans les applications pratiques et faire des recommandations aux États non membres de la CEE </w:t>
      </w:r>
      <w:r>
        <w:rPr>
          <w:lang w:val="fr-FR"/>
        </w:rPr>
        <w:t>[</w:t>
      </w:r>
      <w:r w:rsidRPr="005D1BDD">
        <w:rPr>
          <w:i/>
          <w:lang w:val="fr-FR"/>
        </w:rPr>
        <w:t>délai : court terme</w:t>
      </w:r>
      <w:r w:rsidRPr="000A7C2C">
        <w:rPr>
          <w:lang w:val="fr-FR"/>
        </w:rPr>
        <w:t>]</w:t>
      </w:r>
      <w:r>
        <w:rPr>
          <w:lang w:val="fr-FR"/>
        </w:rPr>
        <w:t> ;</w:t>
      </w:r>
    </w:p>
    <w:p w:rsidR="008217C8" w:rsidRPr="000A7C2C" w:rsidRDefault="008217C8" w:rsidP="008217C8">
      <w:pPr>
        <w:pStyle w:val="Bullet2G"/>
        <w:numPr>
          <w:ilvl w:val="0"/>
          <w:numId w:val="0"/>
        </w:numPr>
        <w:tabs>
          <w:tab w:val="left" w:pos="2268"/>
        </w:tabs>
        <w:kinsoku/>
        <w:overflowPunct/>
        <w:autoSpaceDE/>
        <w:autoSpaceDN/>
        <w:adjustRightInd/>
        <w:snapToGrid/>
        <w:spacing w:after="100"/>
        <w:ind w:left="2268" w:hanging="170"/>
        <w:rPr>
          <w:lang w:val="fr-FR"/>
        </w:rPr>
      </w:pPr>
      <w:r w:rsidRPr="000A7C2C">
        <w:rPr>
          <w:lang w:val="fr-FR"/>
        </w:rPr>
        <w:t>•</w:t>
      </w:r>
      <w:r w:rsidRPr="000A7C2C">
        <w:rPr>
          <w:lang w:val="fr-FR"/>
        </w:rPr>
        <w:tab/>
        <w:t xml:space="preserve">Déterminer si des instruments juridiques supplémentaires sont nécessaires pour appuyer la mise en œuvre des instruments juridiques existants dans les États non membres de la CEE </w:t>
      </w:r>
      <w:r>
        <w:rPr>
          <w:lang w:val="fr-FR"/>
        </w:rPr>
        <w:t>[</w:t>
      </w:r>
      <w:r w:rsidRPr="005D1BDD">
        <w:rPr>
          <w:i/>
          <w:lang w:val="fr-FR"/>
        </w:rPr>
        <w:t>délai : court, moyen et long terme</w:t>
      </w:r>
      <w:r w:rsidRPr="000A7C2C">
        <w:rPr>
          <w:lang w:val="fr-FR"/>
        </w:rPr>
        <w:t>]</w:t>
      </w:r>
      <w:r>
        <w:rPr>
          <w:lang w:val="fr-FR"/>
        </w:rPr>
        <w:t> ;</w:t>
      </w:r>
    </w:p>
    <w:p w:rsidR="008217C8" w:rsidRPr="00E919A1" w:rsidRDefault="008217C8" w:rsidP="008217C8">
      <w:pPr>
        <w:pStyle w:val="SingleTxtG"/>
        <w:spacing w:after="100"/>
        <w:ind w:firstLine="567"/>
        <w:rPr>
          <w:lang w:val="fr-FR"/>
        </w:rPr>
      </w:pPr>
      <w:r w:rsidRPr="00E919A1">
        <w:rPr>
          <w:lang w:val="fr-FR"/>
        </w:rPr>
        <w:t>b)</w:t>
      </w:r>
      <w:r w:rsidRPr="00E919A1">
        <w:rPr>
          <w:lang w:val="fr-FR"/>
        </w:rPr>
        <w:tab/>
      </w:r>
      <w:r>
        <w:rPr>
          <w:lang w:val="fr-FR"/>
        </w:rPr>
        <w:t>Élaborer</w:t>
      </w:r>
      <w:r w:rsidRPr="00E919A1">
        <w:rPr>
          <w:lang w:val="fr-FR"/>
        </w:rPr>
        <w:t xml:space="preserve"> de nouveaux instruments juridiques contraignants ou non contraignants pour faire face aux nouveaux défis liés au programme de développement durable</w:t>
      </w:r>
      <w:r>
        <w:rPr>
          <w:lang w:val="fr-FR"/>
        </w:rPr>
        <w:t xml:space="preserve"> [</w:t>
      </w:r>
      <w:r w:rsidRPr="005D1BDD">
        <w:rPr>
          <w:i/>
          <w:lang w:val="fr-FR"/>
        </w:rPr>
        <w:t>délai : court, moyen et long terme</w:t>
      </w:r>
      <w:r w:rsidRPr="00E919A1">
        <w:rPr>
          <w:lang w:val="fr-FR"/>
        </w:rPr>
        <w:t xml:space="preserve">] </w:t>
      </w:r>
      <w:r>
        <w:rPr>
          <w:lang w:val="fr-FR"/>
        </w:rPr>
        <w:t>[décisions</w:t>
      </w:r>
      <w:r w:rsidRPr="00E919A1">
        <w:rPr>
          <w:lang w:val="fr-FR"/>
        </w:rPr>
        <w:t xml:space="preserve"> 1, 2, 3 et 7 de la RM]</w:t>
      </w:r>
      <w:r>
        <w:rPr>
          <w:lang w:val="fr-FR"/>
        </w:rPr>
        <w:t> ;</w:t>
      </w:r>
    </w:p>
    <w:p w:rsidR="008217C8" w:rsidRPr="00E919A1" w:rsidRDefault="008217C8" w:rsidP="008217C8">
      <w:pPr>
        <w:pStyle w:val="SingleTxtG"/>
        <w:spacing w:after="100"/>
        <w:ind w:firstLine="567"/>
        <w:rPr>
          <w:lang w:val="fr-FR"/>
        </w:rPr>
      </w:pPr>
      <w:r w:rsidRPr="00E919A1">
        <w:rPr>
          <w:lang w:val="fr-FR"/>
        </w:rPr>
        <w:t>c)</w:t>
      </w:r>
      <w:r w:rsidRPr="00E919A1">
        <w:rPr>
          <w:lang w:val="fr-FR"/>
        </w:rPr>
        <w:tab/>
        <w:t>En coopération avec d</w:t>
      </w:r>
      <w:r>
        <w:rPr>
          <w:lang w:val="fr-FR"/>
        </w:rPr>
        <w:t>’</w:t>
      </w:r>
      <w:r w:rsidRPr="00E919A1">
        <w:rPr>
          <w:lang w:val="fr-FR"/>
        </w:rPr>
        <w:t xml:space="preserve">autres organisations et institutions, élaborer des manuels de formation, des directives, des normes et des critères de compétence, ou adapter ou mettre à jour ceux qui existent déjà, pour contribuer à renforcer la capacité à adhérer aux instruments juridiques ou à les appliquer et organiser des formations </w:t>
      </w:r>
      <w:r>
        <w:rPr>
          <w:lang w:val="fr-FR"/>
        </w:rPr>
        <w:t>[</w:t>
      </w:r>
      <w:r w:rsidRPr="00EA4B99">
        <w:rPr>
          <w:i/>
          <w:lang w:val="fr-FR"/>
        </w:rPr>
        <w:t>délai : court, moyen et long terme</w:t>
      </w:r>
      <w:r w:rsidRPr="00E919A1">
        <w:rPr>
          <w:lang w:val="fr-FR"/>
        </w:rPr>
        <w:t xml:space="preserve">] </w:t>
      </w:r>
      <w:r>
        <w:rPr>
          <w:lang w:val="fr-FR"/>
        </w:rPr>
        <w:t>[décisions</w:t>
      </w:r>
      <w:r w:rsidRPr="00E919A1">
        <w:rPr>
          <w:lang w:val="fr-FR"/>
        </w:rPr>
        <w:t xml:space="preserve"> 1, 2, 6 et 8 de la RM]</w:t>
      </w:r>
      <w:r>
        <w:rPr>
          <w:lang w:val="fr-FR"/>
        </w:rPr>
        <w:t> ;</w:t>
      </w:r>
    </w:p>
    <w:p w:rsidR="008217C8" w:rsidRPr="00E919A1" w:rsidRDefault="008217C8" w:rsidP="008217C8">
      <w:pPr>
        <w:pStyle w:val="SingleTxtG"/>
        <w:ind w:firstLine="567"/>
        <w:rPr>
          <w:lang w:val="fr-FR"/>
        </w:rPr>
      </w:pPr>
      <w:r w:rsidRPr="00E919A1">
        <w:rPr>
          <w:lang w:val="fr-FR"/>
        </w:rPr>
        <w:lastRenderedPageBreak/>
        <w:t>d)</w:t>
      </w:r>
      <w:r w:rsidRPr="00E919A1">
        <w:rPr>
          <w:lang w:val="fr-FR"/>
        </w:rPr>
        <w:tab/>
        <w:t>Élaborer des indicateurs permettant aux Parties contractantes d</w:t>
      </w:r>
      <w:r>
        <w:rPr>
          <w:lang w:val="fr-FR"/>
        </w:rPr>
        <w:t>’</w:t>
      </w:r>
      <w:r w:rsidRPr="00E919A1">
        <w:rPr>
          <w:lang w:val="fr-FR"/>
        </w:rPr>
        <w:t>évaluer l</w:t>
      </w:r>
      <w:r>
        <w:rPr>
          <w:lang w:val="fr-FR"/>
        </w:rPr>
        <w:t>’</w:t>
      </w:r>
      <w:r w:rsidRPr="00E919A1">
        <w:rPr>
          <w:lang w:val="fr-FR"/>
        </w:rPr>
        <w:t xml:space="preserve">état et les progrès de la mise en œuvre des instruments juridiques </w:t>
      </w:r>
      <w:r>
        <w:rPr>
          <w:lang w:val="fr-FR"/>
        </w:rPr>
        <w:t>[</w:t>
      </w:r>
      <w:r w:rsidRPr="00EA4B99">
        <w:rPr>
          <w:i/>
          <w:lang w:val="fr-FR"/>
        </w:rPr>
        <w:t>délai : court et moyen terme</w:t>
      </w:r>
      <w:r w:rsidRPr="00E919A1">
        <w:rPr>
          <w:lang w:val="fr-FR"/>
        </w:rPr>
        <w:t xml:space="preserve">] </w:t>
      </w:r>
      <w:r>
        <w:rPr>
          <w:lang w:val="fr-FR"/>
        </w:rPr>
        <w:t>[décisions</w:t>
      </w:r>
      <w:r w:rsidRPr="00E919A1">
        <w:rPr>
          <w:lang w:val="fr-FR"/>
        </w:rPr>
        <w:t xml:space="preserve"> 1, 6 et 8 de la RM]</w:t>
      </w:r>
      <w:r w:rsidRPr="00780B74">
        <w:rPr>
          <w:bCs/>
          <w:lang w:val="fr-FR"/>
        </w:rPr>
        <w:t>.</w:t>
      </w:r>
      <w:r>
        <w:rPr>
          <w:lang w:val="fr-FR"/>
        </w:rPr>
        <w:t xml:space="preserve"> </w:t>
      </w:r>
    </w:p>
    <w:p w:rsidR="008217C8" w:rsidRPr="00E919A1" w:rsidRDefault="008217C8" w:rsidP="008217C8">
      <w:pPr>
        <w:pStyle w:val="H1G"/>
        <w:rPr>
          <w:lang w:val="fr-FR"/>
        </w:rPr>
      </w:pPr>
      <w:r>
        <w:rPr>
          <w:lang w:val="fr-FR"/>
        </w:rPr>
        <w:tab/>
      </w:r>
      <w:r w:rsidRPr="00E919A1">
        <w:rPr>
          <w:lang w:val="fr-FR"/>
        </w:rPr>
        <w:t>B.</w:t>
      </w:r>
      <w:r w:rsidRPr="00E919A1">
        <w:rPr>
          <w:lang w:val="fr-FR"/>
        </w:rPr>
        <w:tab/>
        <w:t xml:space="preserve">Renforcer le rôle du CTI en tant que </w:t>
      </w:r>
      <w:r>
        <w:rPr>
          <w:lang w:val="fr-FR"/>
        </w:rPr>
        <w:t>plateforme</w:t>
      </w:r>
      <w:r w:rsidRPr="00E919A1">
        <w:rPr>
          <w:lang w:val="fr-FR"/>
        </w:rPr>
        <w:t xml:space="preserve"> des Nations Unies </w:t>
      </w:r>
      <w:r>
        <w:rPr>
          <w:lang w:val="fr-FR"/>
        </w:rPr>
        <w:br/>
      </w:r>
      <w:r w:rsidRPr="00E919A1">
        <w:rPr>
          <w:lang w:val="fr-FR"/>
        </w:rPr>
        <w:t xml:space="preserve">pour </w:t>
      </w:r>
      <w:r>
        <w:rPr>
          <w:lang w:val="fr-FR"/>
        </w:rPr>
        <w:t>la promotion des</w:t>
      </w:r>
      <w:r w:rsidRPr="00E919A1">
        <w:rPr>
          <w:lang w:val="fr-FR"/>
        </w:rPr>
        <w:t xml:space="preserve"> nouvelles technologies et </w:t>
      </w:r>
      <w:r>
        <w:rPr>
          <w:lang w:val="fr-FR"/>
        </w:rPr>
        <w:t>de</w:t>
      </w:r>
      <w:r w:rsidRPr="00E919A1">
        <w:rPr>
          <w:lang w:val="fr-FR"/>
        </w:rPr>
        <w:t xml:space="preserve"> l</w:t>
      </w:r>
      <w:r>
        <w:rPr>
          <w:lang w:val="fr-FR"/>
        </w:rPr>
        <w:t>’</w:t>
      </w:r>
      <w:r w:rsidRPr="00E919A1">
        <w:rPr>
          <w:lang w:val="fr-FR"/>
        </w:rPr>
        <w:t xml:space="preserve">innovation </w:t>
      </w:r>
      <w:r>
        <w:rPr>
          <w:lang w:val="fr-FR"/>
        </w:rPr>
        <w:br/>
      </w:r>
      <w:r w:rsidRPr="00E919A1">
        <w:rPr>
          <w:lang w:val="fr-FR"/>
        </w:rPr>
        <w:t xml:space="preserve">dans les transports intérieurs </w:t>
      </w:r>
      <w:r>
        <w:rPr>
          <w:lang w:val="fr-FR"/>
        </w:rPr>
        <w:t>[décisions</w:t>
      </w:r>
      <w:r w:rsidRPr="00E919A1">
        <w:rPr>
          <w:lang w:val="fr-FR"/>
        </w:rPr>
        <w:t xml:space="preserve"> 1 et 7 de la RM] </w:t>
      </w:r>
    </w:p>
    <w:p w:rsidR="008217C8" w:rsidRPr="00780B74" w:rsidRDefault="008217C8" w:rsidP="008217C8">
      <w:pPr>
        <w:pStyle w:val="H4G"/>
        <w:rPr>
          <w:lang w:val="fr-FR"/>
        </w:rPr>
      </w:pPr>
      <w:r w:rsidRPr="00780B74">
        <w:rPr>
          <w:lang w:val="fr-FR"/>
        </w:rPr>
        <w:tab/>
      </w:r>
      <w:r w:rsidRPr="00780B74">
        <w:rPr>
          <w:lang w:val="fr-FR"/>
        </w:rPr>
        <w:tab/>
      </w:r>
      <w:r>
        <w:rPr>
          <w:lang w:val="fr-FR"/>
        </w:rPr>
        <w:t>[Délai :</w:t>
      </w:r>
      <w:r w:rsidRPr="00780B74">
        <w:rPr>
          <w:lang w:val="fr-FR"/>
        </w:rPr>
        <w:t xml:space="preserve"> court et moyen terme]</w:t>
      </w:r>
    </w:p>
    <w:p w:rsidR="008217C8" w:rsidRDefault="008217C8" w:rsidP="008217C8">
      <w:pPr>
        <w:pStyle w:val="SingleTxtG"/>
        <w:ind w:firstLine="567"/>
        <w:rPr>
          <w:lang w:val="fr-FR"/>
        </w:rPr>
      </w:pPr>
      <w:r w:rsidRPr="00E919A1">
        <w:rPr>
          <w:lang w:val="fr-FR"/>
        </w:rPr>
        <w:t>a)</w:t>
      </w:r>
      <w:r w:rsidRPr="00E919A1">
        <w:rPr>
          <w:lang w:val="fr-FR"/>
        </w:rPr>
        <w:tab/>
        <w:t xml:space="preserve">Renforcer les </w:t>
      </w:r>
      <w:r>
        <w:rPr>
          <w:lang w:val="fr-FR"/>
        </w:rPr>
        <w:t>plateformes</w:t>
      </w:r>
      <w:r w:rsidRPr="00E919A1">
        <w:rPr>
          <w:lang w:val="fr-FR"/>
        </w:rPr>
        <w:t xml:space="preserve"> pour la numérisation, la conduite automatisée et les systèmes de transport intelligents dans les transports intérieurs </w:t>
      </w:r>
      <w:r>
        <w:rPr>
          <w:lang w:val="fr-FR"/>
        </w:rPr>
        <w:t>[décisions</w:t>
      </w:r>
      <w:r w:rsidRPr="00E919A1">
        <w:rPr>
          <w:lang w:val="fr-FR"/>
        </w:rPr>
        <w:t xml:space="preserve"> 1 et 7 de la RM]</w:t>
      </w:r>
      <w:r>
        <w:rPr>
          <w:lang w:val="fr-FR"/>
        </w:rPr>
        <w:t> ;</w:t>
      </w:r>
    </w:p>
    <w:p w:rsidR="008217C8" w:rsidRPr="00E919A1" w:rsidRDefault="008217C8" w:rsidP="008217C8">
      <w:pPr>
        <w:pStyle w:val="SingleTxtG"/>
        <w:ind w:firstLine="567"/>
        <w:rPr>
          <w:lang w:val="fr-FR"/>
        </w:rPr>
      </w:pPr>
      <w:r w:rsidRPr="00E919A1">
        <w:rPr>
          <w:lang w:val="fr-FR"/>
        </w:rPr>
        <w:t>b)</w:t>
      </w:r>
      <w:r w:rsidRPr="00E919A1">
        <w:rPr>
          <w:lang w:val="fr-FR"/>
        </w:rPr>
        <w:tab/>
        <w:t>Améliorer l</w:t>
      </w:r>
      <w:r>
        <w:rPr>
          <w:lang w:val="fr-FR"/>
        </w:rPr>
        <w:t>’</w:t>
      </w:r>
      <w:r w:rsidRPr="00E919A1">
        <w:rPr>
          <w:lang w:val="fr-FR"/>
        </w:rPr>
        <w:t xml:space="preserve">environnement réglementaire pour promouvoir les véhicules automatisés/autonomes et connectés </w:t>
      </w:r>
      <w:r>
        <w:rPr>
          <w:lang w:val="fr-FR"/>
        </w:rPr>
        <w:t>[décisions</w:t>
      </w:r>
      <w:r w:rsidRPr="00E919A1">
        <w:rPr>
          <w:lang w:val="fr-FR"/>
        </w:rPr>
        <w:t xml:space="preserve"> 1 et 7 de la RM]</w:t>
      </w:r>
      <w:r>
        <w:rPr>
          <w:lang w:val="fr-FR"/>
        </w:rPr>
        <w:t>.</w:t>
      </w:r>
    </w:p>
    <w:p w:rsidR="008217C8" w:rsidRPr="00E919A1" w:rsidRDefault="008217C8" w:rsidP="008217C8">
      <w:pPr>
        <w:pStyle w:val="H1G"/>
        <w:rPr>
          <w:lang w:val="fr-FR"/>
        </w:rPr>
      </w:pPr>
      <w:r>
        <w:rPr>
          <w:lang w:val="fr-FR"/>
        </w:rPr>
        <w:tab/>
      </w:r>
      <w:r w:rsidRPr="00E919A1">
        <w:rPr>
          <w:lang w:val="fr-FR"/>
        </w:rPr>
        <w:t>C.</w:t>
      </w:r>
      <w:r w:rsidRPr="00E919A1">
        <w:rPr>
          <w:lang w:val="fr-FR"/>
        </w:rPr>
        <w:tab/>
        <w:t xml:space="preserve">Renforcer le rôle du CTI en tant que </w:t>
      </w:r>
      <w:r>
        <w:rPr>
          <w:lang w:val="fr-FR"/>
        </w:rPr>
        <w:t>plateforme</w:t>
      </w:r>
      <w:r w:rsidRPr="00E919A1">
        <w:rPr>
          <w:lang w:val="fr-FR"/>
        </w:rPr>
        <w:t xml:space="preserve"> des Nations Unies </w:t>
      </w:r>
      <w:r>
        <w:rPr>
          <w:lang w:val="fr-FR"/>
        </w:rPr>
        <w:br/>
      </w:r>
      <w:r w:rsidRPr="00E919A1">
        <w:rPr>
          <w:lang w:val="fr-FR"/>
        </w:rPr>
        <w:t xml:space="preserve">pour les dialogues régionaux, interrégionaux et mondiaux </w:t>
      </w:r>
      <w:r>
        <w:rPr>
          <w:lang w:val="fr-FR"/>
        </w:rPr>
        <w:br/>
      </w:r>
      <w:r w:rsidRPr="00E919A1">
        <w:rPr>
          <w:lang w:val="fr-FR"/>
        </w:rPr>
        <w:t xml:space="preserve">sur les politiques en matière de transports intérieurs </w:t>
      </w:r>
      <w:r>
        <w:rPr>
          <w:lang w:val="fr-FR"/>
        </w:rPr>
        <w:br/>
        <w:t>[décisions</w:t>
      </w:r>
      <w:r w:rsidRPr="00E919A1">
        <w:rPr>
          <w:lang w:val="fr-FR"/>
        </w:rPr>
        <w:t xml:space="preserve"> 1, 2, 3, 4, 5 et 9 de la RM]</w:t>
      </w:r>
    </w:p>
    <w:p w:rsidR="008217C8" w:rsidRPr="00780B74" w:rsidRDefault="008217C8" w:rsidP="008217C8">
      <w:pPr>
        <w:pStyle w:val="H4G"/>
        <w:rPr>
          <w:lang w:val="fr-FR"/>
        </w:rPr>
      </w:pPr>
      <w:r w:rsidRPr="00780B74">
        <w:rPr>
          <w:lang w:val="fr-FR"/>
        </w:rPr>
        <w:tab/>
      </w:r>
      <w:r w:rsidRPr="00780B74">
        <w:rPr>
          <w:lang w:val="fr-FR"/>
        </w:rPr>
        <w:tab/>
      </w:r>
      <w:r>
        <w:rPr>
          <w:lang w:val="fr-FR"/>
        </w:rPr>
        <w:t>[Délai :</w:t>
      </w:r>
      <w:r w:rsidRPr="00780B74">
        <w:rPr>
          <w:lang w:val="fr-FR"/>
        </w:rPr>
        <w:t xml:space="preserve"> court, moyen et long terme] </w:t>
      </w:r>
    </w:p>
    <w:p w:rsidR="008217C8" w:rsidRPr="00E919A1" w:rsidRDefault="008217C8" w:rsidP="008217C8">
      <w:pPr>
        <w:pStyle w:val="SingleTxtG"/>
        <w:ind w:firstLine="567"/>
        <w:rPr>
          <w:lang w:val="fr-FR"/>
        </w:rPr>
      </w:pPr>
      <w:r w:rsidRPr="00E919A1">
        <w:rPr>
          <w:lang w:val="fr-FR"/>
        </w:rPr>
        <w:t>a)</w:t>
      </w:r>
      <w:r w:rsidRPr="00E919A1">
        <w:rPr>
          <w:lang w:val="fr-FR"/>
        </w:rPr>
        <w:tab/>
        <w:t xml:space="preserve">Organiser des débats thématiques régionaux, interrégionaux et mondiaux sur le transport terrestre durable pendant les sessions du CTI </w:t>
      </w:r>
      <w:r>
        <w:rPr>
          <w:lang w:val="fr-FR"/>
        </w:rPr>
        <w:t>[décisions</w:t>
      </w:r>
      <w:r w:rsidRPr="00E919A1">
        <w:rPr>
          <w:lang w:val="fr-FR"/>
        </w:rPr>
        <w:t xml:space="preserve"> 1, 2, 3, 4, 5 et 9 de la RM]</w:t>
      </w:r>
      <w:r>
        <w:rPr>
          <w:lang w:val="fr-FR"/>
        </w:rPr>
        <w:t> ;</w:t>
      </w:r>
    </w:p>
    <w:p w:rsidR="008217C8" w:rsidRPr="00E919A1" w:rsidRDefault="008217C8" w:rsidP="008217C8">
      <w:pPr>
        <w:pStyle w:val="SingleTxtG"/>
        <w:ind w:firstLine="567"/>
        <w:rPr>
          <w:lang w:val="fr-FR"/>
        </w:rPr>
      </w:pPr>
      <w:r w:rsidRPr="00E919A1">
        <w:rPr>
          <w:lang w:val="fr-FR"/>
        </w:rPr>
        <w:t>b)</w:t>
      </w:r>
      <w:r w:rsidRPr="00E919A1">
        <w:rPr>
          <w:lang w:val="fr-FR"/>
        </w:rPr>
        <w:tab/>
        <w:t>Inclure les points de l</w:t>
      </w:r>
      <w:r>
        <w:rPr>
          <w:lang w:val="fr-FR"/>
        </w:rPr>
        <w:t>’</w:t>
      </w:r>
      <w:r w:rsidRPr="00E919A1">
        <w:rPr>
          <w:lang w:val="fr-FR"/>
        </w:rPr>
        <w:t xml:space="preserve">ordre du jour du CTI </w:t>
      </w:r>
      <w:r>
        <w:rPr>
          <w:lang w:val="fr-FR"/>
        </w:rPr>
        <w:t>relatifs aux</w:t>
      </w:r>
      <w:r w:rsidRPr="00E919A1">
        <w:rPr>
          <w:lang w:val="fr-FR"/>
        </w:rPr>
        <w:t xml:space="preserve"> défis auxquels sont confrontés les transports intérieurs dans différentes régions [décision 1 de la RM]</w:t>
      </w:r>
      <w:r>
        <w:rPr>
          <w:lang w:val="fr-FR"/>
        </w:rPr>
        <w:t>.</w:t>
      </w:r>
    </w:p>
    <w:p w:rsidR="008217C8" w:rsidRPr="00E919A1" w:rsidRDefault="008217C8" w:rsidP="008217C8">
      <w:pPr>
        <w:pStyle w:val="H1G"/>
        <w:rPr>
          <w:lang w:val="fr-FR"/>
        </w:rPr>
      </w:pPr>
      <w:r>
        <w:rPr>
          <w:lang w:val="fr-FR"/>
        </w:rPr>
        <w:tab/>
      </w:r>
      <w:r w:rsidRPr="00E919A1">
        <w:rPr>
          <w:lang w:val="fr-FR"/>
        </w:rPr>
        <w:t>D.</w:t>
      </w:r>
      <w:r w:rsidRPr="00E919A1">
        <w:rPr>
          <w:lang w:val="fr-FR"/>
        </w:rPr>
        <w:tab/>
        <w:t xml:space="preserve">Renforcer le rôle du CTI en tant que </w:t>
      </w:r>
      <w:r>
        <w:rPr>
          <w:lang w:val="fr-FR"/>
        </w:rPr>
        <w:t>plateforme</w:t>
      </w:r>
      <w:r w:rsidRPr="00E919A1">
        <w:rPr>
          <w:lang w:val="fr-FR"/>
        </w:rPr>
        <w:t xml:space="preserve"> des Nations Unies </w:t>
      </w:r>
      <w:r>
        <w:rPr>
          <w:lang w:val="fr-FR"/>
        </w:rPr>
        <w:br/>
      </w:r>
      <w:r w:rsidRPr="00E919A1">
        <w:rPr>
          <w:lang w:val="fr-FR"/>
        </w:rPr>
        <w:t>pour la promotion d</w:t>
      </w:r>
      <w:r>
        <w:rPr>
          <w:lang w:val="fr-FR"/>
        </w:rPr>
        <w:t>’</w:t>
      </w:r>
      <w:r w:rsidRPr="00E919A1">
        <w:rPr>
          <w:lang w:val="fr-FR"/>
        </w:rPr>
        <w:t>une connectivité et d</w:t>
      </w:r>
      <w:r>
        <w:rPr>
          <w:lang w:val="fr-FR"/>
        </w:rPr>
        <w:t>’</w:t>
      </w:r>
      <w:r w:rsidRPr="00E919A1">
        <w:rPr>
          <w:lang w:val="fr-FR"/>
        </w:rPr>
        <w:t xml:space="preserve">une mobilité durables </w:t>
      </w:r>
      <w:r>
        <w:rPr>
          <w:lang w:val="fr-FR"/>
        </w:rPr>
        <w:br/>
      </w:r>
      <w:r w:rsidRPr="00E919A1">
        <w:rPr>
          <w:lang w:val="fr-FR"/>
        </w:rPr>
        <w:t xml:space="preserve">dans les transports intérieurs régionaux et interrégionaux </w:t>
      </w:r>
      <w:r>
        <w:rPr>
          <w:lang w:val="fr-FR"/>
        </w:rPr>
        <w:br/>
        <w:t>[décisions</w:t>
      </w:r>
      <w:r w:rsidRPr="00E919A1">
        <w:rPr>
          <w:lang w:val="fr-FR"/>
        </w:rPr>
        <w:t xml:space="preserve"> 1, 2, 3, 4, 8 et 9 de la RM]</w:t>
      </w:r>
    </w:p>
    <w:p w:rsidR="008217C8" w:rsidRPr="00BD25B1" w:rsidRDefault="008217C8" w:rsidP="008217C8">
      <w:pPr>
        <w:pStyle w:val="H4G"/>
        <w:rPr>
          <w:b/>
          <w:bCs/>
          <w:lang w:val="fr-FR"/>
        </w:rPr>
      </w:pPr>
      <w:r w:rsidRPr="00BD25B1">
        <w:rPr>
          <w:lang w:val="fr-FR"/>
        </w:rPr>
        <w:tab/>
      </w:r>
      <w:r w:rsidRPr="00BD25B1">
        <w:rPr>
          <w:lang w:val="fr-FR"/>
        </w:rPr>
        <w:tab/>
        <w:t>[</w:t>
      </w:r>
      <w:r>
        <w:rPr>
          <w:lang w:val="fr-FR"/>
        </w:rPr>
        <w:t>D</w:t>
      </w:r>
      <w:r w:rsidRPr="00BD25B1">
        <w:rPr>
          <w:lang w:val="fr-FR"/>
        </w:rPr>
        <w:t>élai</w:t>
      </w:r>
      <w:r>
        <w:rPr>
          <w:lang w:val="fr-FR"/>
        </w:rPr>
        <w:t> :</w:t>
      </w:r>
      <w:r w:rsidRPr="00BD25B1">
        <w:rPr>
          <w:lang w:val="fr-FR"/>
        </w:rPr>
        <w:t xml:space="preserve"> court, moyen et long terme]</w:t>
      </w:r>
    </w:p>
    <w:p w:rsidR="008217C8" w:rsidRPr="00E919A1" w:rsidRDefault="008217C8" w:rsidP="008217C8">
      <w:pPr>
        <w:pStyle w:val="SingleTxtG"/>
        <w:ind w:firstLine="567"/>
        <w:rPr>
          <w:lang w:val="fr-FR"/>
        </w:rPr>
      </w:pPr>
      <w:r w:rsidRPr="00E919A1">
        <w:rPr>
          <w:lang w:val="fr-FR"/>
        </w:rPr>
        <w:t>a)</w:t>
      </w:r>
      <w:r w:rsidRPr="00E919A1">
        <w:rPr>
          <w:lang w:val="fr-FR"/>
        </w:rPr>
        <w:tab/>
        <w:t>Poursuivre l</w:t>
      </w:r>
      <w:r>
        <w:rPr>
          <w:lang w:val="fr-FR"/>
        </w:rPr>
        <w:t>’</w:t>
      </w:r>
      <w:r w:rsidRPr="00E919A1">
        <w:rPr>
          <w:lang w:val="fr-FR"/>
        </w:rPr>
        <w:t>action en faveur d</w:t>
      </w:r>
      <w:r>
        <w:rPr>
          <w:lang w:val="fr-FR"/>
        </w:rPr>
        <w:t>’</w:t>
      </w:r>
      <w:r w:rsidRPr="00E919A1">
        <w:rPr>
          <w:lang w:val="fr-FR"/>
        </w:rPr>
        <w:t>une connectivité et d</w:t>
      </w:r>
      <w:r>
        <w:rPr>
          <w:lang w:val="fr-FR"/>
        </w:rPr>
        <w:t>’</w:t>
      </w:r>
      <w:r w:rsidRPr="00E919A1">
        <w:rPr>
          <w:lang w:val="fr-FR"/>
        </w:rPr>
        <w:t xml:space="preserve">une mobilité durables, régionales, intégrées, intermodales et infrastructurelles </w:t>
      </w:r>
      <w:r>
        <w:rPr>
          <w:lang w:val="fr-FR"/>
        </w:rPr>
        <w:t>[décisions</w:t>
      </w:r>
      <w:r w:rsidRPr="00E919A1">
        <w:rPr>
          <w:lang w:val="fr-FR"/>
        </w:rPr>
        <w:t xml:space="preserve"> 1, 8 et 9 de la RM]</w:t>
      </w:r>
      <w:r>
        <w:rPr>
          <w:lang w:val="fr-FR"/>
        </w:rPr>
        <w:t> ;</w:t>
      </w:r>
    </w:p>
    <w:p w:rsidR="008217C8" w:rsidRPr="00E919A1" w:rsidRDefault="008217C8" w:rsidP="008217C8">
      <w:pPr>
        <w:pStyle w:val="SingleTxtG"/>
        <w:ind w:firstLine="567"/>
        <w:rPr>
          <w:b/>
          <w:lang w:val="fr-FR"/>
        </w:rPr>
      </w:pPr>
      <w:r w:rsidRPr="00E919A1">
        <w:rPr>
          <w:lang w:val="fr-FR"/>
        </w:rPr>
        <w:t>b)</w:t>
      </w:r>
      <w:r w:rsidRPr="00E919A1">
        <w:rPr>
          <w:lang w:val="fr-FR"/>
        </w:rPr>
        <w:tab/>
        <w:t>Coopérer avec d</w:t>
      </w:r>
      <w:r>
        <w:rPr>
          <w:lang w:val="fr-FR"/>
        </w:rPr>
        <w:t>’</w:t>
      </w:r>
      <w:r w:rsidRPr="00E919A1">
        <w:rPr>
          <w:lang w:val="fr-FR"/>
        </w:rPr>
        <w:t>autres commissions et organisations régionales pour améliorer la connectivité interrégionale durable, notamment par l</w:t>
      </w:r>
      <w:r>
        <w:rPr>
          <w:lang w:val="fr-FR"/>
        </w:rPr>
        <w:t>’</w:t>
      </w:r>
      <w:r w:rsidRPr="00E919A1">
        <w:rPr>
          <w:lang w:val="fr-FR"/>
        </w:rPr>
        <w:t xml:space="preserve">intermédiaire de divers </w:t>
      </w:r>
      <w:r>
        <w:rPr>
          <w:lang w:val="fr-FR"/>
        </w:rPr>
        <w:t>corridor</w:t>
      </w:r>
      <w:r w:rsidRPr="00E919A1">
        <w:rPr>
          <w:lang w:val="fr-FR"/>
        </w:rPr>
        <w:t xml:space="preserve">s </w:t>
      </w:r>
      <w:r>
        <w:rPr>
          <w:lang w:val="fr-FR"/>
        </w:rPr>
        <w:t>[décisions</w:t>
      </w:r>
      <w:r w:rsidRPr="00E919A1">
        <w:rPr>
          <w:lang w:val="fr-FR"/>
        </w:rPr>
        <w:t xml:space="preserve"> 1, 8 et 9 de la RM]</w:t>
      </w:r>
      <w:r>
        <w:rPr>
          <w:lang w:val="fr-FR"/>
        </w:rPr>
        <w:t> ;</w:t>
      </w:r>
    </w:p>
    <w:p w:rsidR="008217C8" w:rsidRPr="00E919A1" w:rsidRDefault="008217C8" w:rsidP="008217C8">
      <w:pPr>
        <w:pStyle w:val="SingleTxtG"/>
        <w:ind w:firstLine="567"/>
        <w:rPr>
          <w:spacing w:val="-3"/>
          <w:lang w:val="fr-FR"/>
        </w:rPr>
      </w:pPr>
      <w:r w:rsidRPr="00E919A1">
        <w:rPr>
          <w:lang w:val="fr-FR"/>
        </w:rPr>
        <w:t>c)</w:t>
      </w:r>
      <w:r w:rsidRPr="00E919A1">
        <w:rPr>
          <w:lang w:val="fr-FR"/>
        </w:rPr>
        <w:tab/>
        <w:t xml:space="preserve">Promouvoir la connectivité et la mobilité du transport durable </w:t>
      </w:r>
      <w:r>
        <w:rPr>
          <w:lang w:val="fr-FR"/>
        </w:rPr>
        <w:t>[décisions</w:t>
      </w:r>
      <w:r w:rsidRPr="00E919A1">
        <w:rPr>
          <w:lang w:val="fr-FR"/>
        </w:rPr>
        <w:t xml:space="preserve"> 2, 3, 4, 8 et 9 de la RM]</w:t>
      </w:r>
      <w:r>
        <w:rPr>
          <w:lang w:val="fr-FR"/>
        </w:rPr>
        <w:t>.</w:t>
      </w:r>
    </w:p>
    <w:p w:rsidR="008217C8" w:rsidRPr="00E919A1" w:rsidRDefault="008217C8" w:rsidP="008217C8">
      <w:pPr>
        <w:pStyle w:val="SingleTxtG"/>
        <w:rPr>
          <w:b/>
          <w:u w:val="single"/>
          <w:lang w:val="fr-FR"/>
        </w:rPr>
      </w:pPr>
      <w:r w:rsidRPr="00E919A1">
        <w:rPr>
          <w:lang w:val="fr-FR"/>
        </w:rPr>
        <w:t>12.</w:t>
      </w:r>
      <w:r w:rsidRPr="00E919A1">
        <w:rPr>
          <w:lang w:val="fr-FR"/>
        </w:rPr>
        <w:tab/>
        <w:t>Les domaines transversaux, tels que les statistiques sur le changement climatique et la question de l</w:t>
      </w:r>
      <w:r>
        <w:rPr>
          <w:lang w:val="fr-FR"/>
        </w:rPr>
        <w:t>’</w:t>
      </w:r>
      <w:r w:rsidRPr="00E919A1">
        <w:rPr>
          <w:lang w:val="fr-FR"/>
        </w:rPr>
        <w:t xml:space="preserve">égalité des sexes, seront intégrés aux actions pertinentes. </w:t>
      </w:r>
    </w:p>
    <w:bookmarkEnd w:id="2"/>
    <w:p w:rsidR="008217C8" w:rsidRPr="00E919A1" w:rsidRDefault="008217C8" w:rsidP="008217C8">
      <w:pPr>
        <w:pStyle w:val="HChG"/>
        <w:rPr>
          <w:lang w:val="fr-FR"/>
        </w:rPr>
      </w:pPr>
      <w:r>
        <w:rPr>
          <w:lang w:val="fr-FR"/>
        </w:rPr>
        <w:tab/>
      </w:r>
      <w:r w:rsidRPr="00E919A1">
        <w:rPr>
          <w:lang w:val="fr-FR"/>
        </w:rPr>
        <w:t>V.</w:t>
      </w:r>
      <w:r w:rsidRPr="00E919A1">
        <w:rPr>
          <w:lang w:val="fr-FR"/>
        </w:rPr>
        <w:tab/>
        <w:t>Liste des priorités à l</w:t>
      </w:r>
      <w:r>
        <w:rPr>
          <w:lang w:val="fr-FR"/>
        </w:rPr>
        <w:t>’</w:t>
      </w:r>
      <w:r w:rsidRPr="00E919A1">
        <w:rPr>
          <w:lang w:val="fr-FR"/>
        </w:rPr>
        <w:t>horizon 2030</w:t>
      </w:r>
    </w:p>
    <w:p w:rsidR="008217C8" w:rsidRPr="00E919A1" w:rsidRDefault="008217C8" w:rsidP="008217C8">
      <w:pPr>
        <w:pStyle w:val="SingleTxtG"/>
        <w:rPr>
          <w:lang w:val="fr-FR"/>
        </w:rPr>
      </w:pPr>
      <w:bookmarkStart w:id="4" w:name="_Hlk508508653"/>
      <w:r w:rsidRPr="00E919A1">
        <w:rPr>
          <w:lang w:val="fr-FR"/>
        </w:rPr>
        <w:t>13.</w:t>
      </w:r>
      <w:r w:rsidRPr="00E919A1">
        <w:rPr>
          <w:lang w:val="fr-FR"/>
        </w:rPr>
        <w:tab/>
        <w:t xml:space="preserve">Afin de concrétiser </w:t>
      </w:r>
      <w:r>
        <w:rPr>
          <w:lang w:val="fr-FR"/>
        </w:rPr>
        <w:t>la vision d’avenir</w:t>
      </w:r>
      <w:r w:rsidRPr="00E919A1">
        <w:rPr>
          <w:lang w:val="fr-FR"/>
        </w:rPr>
        <w:t>, la vocation, les objectifs et le plan d</w:t>
      </w:r>
      <w:r>
        <w:rPr>
          <w:lang w:val="fr-FR"/>
        </w:rPr>
        <w:t>’</w:t>
      </w:r>
      <w:r w:rsidRPr="00E919A1">
        <w:rPr>
          <w:lang w:val="fr-FR"/>
        </w:rPr>
        <w:t xml:space="preserve">action, </w:t>
      </w:r>
      <w:r>
        <w:rPr>
          <w:lang w:val="fr-FR"/>
        </w:rPr>
        <w:t>une</w:t>
      </w:r>
      <w:r w:rsidRPr="00E919A1">
        <w:rPr>
          <w:lang w:val="fr-FR"/>
        </w:rPr>
        <w:t xml:space="preserve"> liste des priorités pour la mise en œuvre de la stratégie jusqu</w:t>
      </w:r>
      <w:r>
        <w:rPr>
          <w:lang w:val="fr-FR"/>
        </w:rPr>
        <w:t>’</w:t>
      </w:r>
      <w:r w:rsidRPr="00E919A1">
        <w:rPr>
          <w:lang w:val="fr-FR"/>
        </w:rPr>
        <w:t>en 2030</w:t>
      </w:r>
      <w:r w:rsidRPr="00BD25B1">
        <w:rPr>
          <w:lang w:val="fr-FR"/>
        </w:rPr>
        <w:t xml:space="preserve"> est présentée dans le tableau ci-dessous</w:t>
      </w:r>
      <w:r w:rsidRPr="00E919A1">
        <w:rPr>
          <w:lang w:val="fr-FR"/>
        </w:rPr>
        <w:t xml:space="preserve">. </w:t>
      </w:r>
      <w:r>
        <w:rPr>
          <w:lang w:val="fr-FR"/>
        </w:rPr>
        <w:t>Cette l</w:t>
      </w:r>
      <w:r w:rsidRPr="00E919A1">
        <w:rPr>
          <w:lang w:val="fr-FR"/>
        </w:rPr>
        <w:t xml:space="preserve">iste, </w:t>
      </w:r>
      <w:r>
        <w:rPr>
          <w:lang w:val="fr-FR"/>
        </w:rPr>
        <w:t>qui fait partie</w:t>
      </w:r>
      <w:r w:rsidRPr="00E919A1">
        <w:rPr>
          <w:lang w:val="fr-FR"/>
        </w:rPr>
        <w:t xml:space="preserve"> de la stratégie, a été établie en tenant dûment compte de l</w:t>
      </w:r>
      <w:r>
        <w:rPr>
          <w:lang w:val="fr-FR"/>
        </w:rPr>
        <w:t>’</w:t>
      </w:r>
      <w:r w:rsidRPr="00E919A1">
        <w:rPr>
          <w:lang w:val="fr-FR"/>
        </w:rPr>
        <w:t>urgence et de l</w:t>
      </w:r>
      <w:r>
        <w:rPr>
          <w:lang w:val="fr-FR"/>
        </w:rPr>
        <w:t>’</w:t>
      </w:r>
      <w:r w:rsidRPr="00E919A1">
        <w:rPr>
          <w:lang w:val="fr-FR"/>
        </w:rPr>
        <w:t>enchaînement des actions ainsi que de la disponibilité d</w:t>
      </w:r>
      <w:r>
        <w:rPr>
          <w:lang w:val="fr-FR"/>
        </w:rPr>
        <w:t>es ressources humaines</w:t>
      </w:r>
      <w:r w:rsidRPr="00E919A1">
        <w:rPr>
          <w:lang w:val="fr-FR"/>
        </w:rPr>
        <w:t xml:space="preserve"> (l</w:t>
      </w:r>
      <w:r>
        <w:rPr>
          <w:lang w:val="fr-FR"/>
        </w:rPr>
        <w:t>’</w:t>
      </w:r>
      <w:r w:rsidRPr="00E919A1">
        <w:rPr>
          <w:lang w:val="fr-FR"/>
        </w:rPr>
        <w:t>annexe VII fournit des informations sur l</w:t>
      </w:r>
      <w:r>
        <w:rPr>
          <w:lang w:val="fr-FR"/>
        </w:rPr>
        <w:t>’</w:t>
      </w:r>
      <w:r w:rsidRPr="00E919A1">
        <w:rPr>
          <w:lang w:val="fr-FR"/>
        </w:rPr>
        <w:t xml:space="preserve">affectation actuelle des ressources) et du besoin de soutien financier. Le CTI et ses organes subsidiaires ont également besoin de deux à trois ans pour bien se préparer à jouer un rôle mondial à part </w:t>
      </w:r>
      <w:r w:rsidRPr="00E919A1">
        <w:rPr>
          <w:lang w:val="fr-FR"/>
        </w:rPr>
        <w:lastRenderedPageBreak/>
        <w:t>entière dans les transports intérieurs durables avec coordination d</w:t>
      </w:r>
      <w:r>
        <w:rPr>
          <w:lang w:val="fr-FR"/>
        </w:rPr>
        <w:t>’</w:t>
      </w:r>
      <w:r w:rsidRPr="00E919A1">
        <w:rPr>
          <w:lang w:val="fr-FR"/>
        </w:rPr>
        <w:t>un rôle régional. La liste des priorités devrait aider le CTI à fournir aux Nations Unies des services spécialisés en matière de transports intérieurs durables jusqu</w:t>
      </w:r>
      <w:r>
        <w:rPr>
          <w:lang w:val="fr-FR"/>
        </w:rPr>
        <w:t>’</w:t>
      </w:r>
      <w:r w:rsidRPr="00E919A1">
        <w:rPr>
          <w:lang w:val="fr-FR"/>
        </w:rPr>
        <w:t>en 2030 et au-delà.</w:t>
      </w:r>
    </w:p>
    <w:p w:rsidR="008217C8" w:rsidRPr="00E919A1" w:rsidRDefault="008217C8" w:rsidP="008217C8">
      <w:pPr>
        <w:pStyle w:val="Heading1"/>
        <w:spacing w:after="120"/>
        <w:ind w:left="0"/>
        <w:rPr>
          <w:lang w:val="fr-FR"/>
        </w:rPr>
      </w:pPr>
      <w:r w:rsidRPr="00E919A1">
        <w:rPr>
          <w:lang w:val="fr-FR"/>
        </w:rPr>
        <w:t>Tableau 1</w:t>
      </w:r>
      <w:r>
        <w:rPr>
          <w:lang w:val="fr-FR"/>
        </w:rPr>
        <w:br/>
      </w:r>
      <w:r w:rsidRPr="009E7EB0">
        <w:rPr>
          <w:b/>
          <w:lang w:val="fr-FR"/>
        </w:rPr>
        <w:t>Liste des priorités à l’horizon 2030</w:t>
      </w:r>
      <w:r w:rsidRPr="00E919A1">
        <w:rPr>
          <w:lang w:val="fr-FR"/>
        </w:rPr>
        <w:t xml:space="preserve"> </w:t>
      </w:r>
    </w:p>
    <w:tbl>
      <w:tblPr>
        <w:tblW w:w="9637" w:type="dxa"/>
        <w:tblLayout w:type="fixed"/>
        <w:tblCellMar>
          <w:left w:w="0" w:type="dxa"/>
          <w:right w:w="0" w:type="dxa"/>
        </w:tblCellMar>
        <w:tblLook w:val="04A0" w:firstRow="1" w:lastRow="0" w:firstColumn="1" w:lastColumn="0" w:noHBand="0" w:noVBand="1"/>
      </w:tblPr>
      <w:tblGrid>
        <w:gridCol w:w="1823"/>
        <w:gridCol w:w="2282"/>
        <w:gridCol w:w="3664"/>
        <w:gridCol w:w="1868"/>
      </w:tblGrid>
      <w:tr w:rsidR="008217C8" w:rsidRPr="009E7EB0" w:rsidDel="00C24980" w:rsidTr="00826F40">
        <w:trPr>
          <w:tblHeader/>
        </w:trPr>
        <w:tc>
          <w:tcPr>
            <w:tcW w:w="1823" w:type="dxa"/>
            <w:tcBorders>
              <w:top w:val="single" w:sz="4" w:space="0" w:color="auto"/>
              <w:bottom w:val="single" w:sz="12" w:space="0" w:color="auto"/>
            </w:tcBorders>
            <w:shd w:val="clear" w:color="auto" w:fill="auto"/>
            <w:vAlign w:val="bottom"/>
          </w:tcPr>
          <w:bookmarkEnd w:id="4"/>
          <w:p w:rsidR="008217C8" w:rsidRPr="009E7EB0" w:rsidDel="00C24980" w:rsidRDefault="008217C8" w:rsidP="00826F40">
            <w:pPr>
              <w:spacing w:before="80" w:after="80" w:line="200" w:lineRule="exact"/>
              <w:ind w:right="113"/>
              <w:rPr>
                <w:i/>
                <w:sz w:val="16"/>
              </w:rPr>
            </w:pPr>
            <w:r w:rsidRPr="009E7EB0">
              <w:rPr>
                <w:i/>
                <w:sz w:val="16"/>
                <w:lang w:val="fr-FR"/>
              </w:rPr>
              <w:t>Thème/ODD correspondant</w:t>
            </w:r>
          </w:p>
        </w:tc>
        <w:tc>
          <w:tcPr>
            <w:tcW w:w="2282" w:type="dxa"/>
            <w:tcBorders>
              <w:top w:val="single" w:sz="4" w:space="0" w:color="auto"/>
              <w:bottom w:val="single" w:sz="12" w:space="0" w:color="auto"/>
            </w:tcBorders>
            <w:shd w:val="clear" w:color="auto" w:fill="auto"/>
            <w:vAlign w:val="bottom"/>
          </w:tcPr>
          <w:p w:rsidR="008217C8" w:rsidRPr="009E7EB0" w:rsidDel="00C24980" w:rsidRDefault="008217C8" w:rsidP="00826F40">
            <w:pPr>
              <w:spacing w:before="80" w:after="80" w:line="200" w:lineRule="exact"/>
              <w:ind w:right="113"/>
              <w:rPr>
                <w:i/>
                <w:sz w:val="16"/>
              </w:rPr>
            </w:pPr>
            <w:r w:rsidRPr="009E7EB0">
              <w:rPr>
                <w:i/>
                <w:sz w:val="16"/>
                <w:lang w:val="fr-FR"/>
              </w:rPr>
              <w:t>Action à long terme</w:t>
            </w:r>
          </w:p>
        </w:tc>
        <w:tc>
          <w:tcPr>
            <w:tcW w:w="3664" w:type="dxa"/>
            <w:tcBorders>
              <w:top w:val="single" w:sz="4" w:space="0" w:color="auto"/>
              <w:bottom w:val="single" w:sz="12" w:space="0" w:color="auto"/>
            </w:tcBorders>
            <w:shd w:val="clear" w:color="auto" w:fill="auto"/>
            <w:vAlign w:val="bottom"/>
          </w:tcPr>
          <w:p w:rsidR="008217C8" w:rsidRPr="009E7EB0" w:rsidDel="00C24980" w:rsidRDefault="008217C8" w:rsidP="00826F40">
            <w:pPr>
              <w:spacing w:before="80" w:after="80" w:line="200" w:lineRule="exact"/>
              <w:ind w:right="113"/>
              <w:rPr>
                <w:i/>
                <w:sz w:val="16"/>
              </w:rPr>
            </w:pPr>
            <w:r w:rsidRPr="009E7EB0">
              <w:rPr>
                <w:i/>
                <w:sz w:val="16"/>
                <w:lang w:val="fr-FR"/>
              </w:rPr>
              <w:t>Actions prioritaires à l’horizon 2030</w:t>
            </w:r>
          </w:p>
        </w:tc>
        <w:tc>
          <w:tcPr>
            <w:tcW w:w="1868" w:type="dxa"/>
            <w:tcBorders>
              <w:top w:val="single" w:sz="4" w:space="0" w:color="auto"/>
              <w:bottom w:val="single" w:sz="12" w:space="0" w:color="auto"/>
            </w:tcBorders>
            <w:shd w:val="clear" w:color="auto" w:fill="auto"/>
            <w:vAlign w:val="bottom"/>
          </w:tcPr>
          <w:p w:rsidR="008217C8" w:rsidRPr="009E7EB0" w:rsidRDefault="008217C8" w:rsidP="00826F40">
            <w:pPr>
              <w:spacing w:before="80" w:after="80" w:line="200" w:lineRule="exact"/>
              <w:ind w:left="57" w:right="113"/>
              <w:rPr>
                <w:i/>
                <w:sz w:val="16"/>
                <w:lang w:val="fr-FR"/>
              </w:rPr>
            </w:pPr>
            <w:r w:rsidRPr="009E7EB0">
              <w:rPr>
                <w:i/>
                <w:sz w:val="16"/>
                <w:lang w:val="fr-FR"/>
              </w:rPr>
              <w:t xml:space="preserve">Budget indicatif </w:t>
            </w:r>
            <w:r>
              <w:rPr>
                <w:i/>
                <w:sz w:val="16"/>
                <w:lang w:val="fr-FR"/>
              </w:rPr>
              <w:br/>
              <w:t>(</w:t>
            </w:r>
            <w:r w:rsidRPr="009E7EB0">
              <w:rPr>
                <w:i/>
                <w:sz w:val="16"/>
                <w:lang w:val="fr-FR"/>
              </w:rPr>
              <w:t>(budget ordinaire/</w:t>
            </w:r>
            <w:r>
              <w:rPr>
                <w:i/>
                <w:sz w:val="16"/>
                <w:lang w:val="fr-FR"/>
              </w:rPr>
              <w:t xml:space="preserve"> </w:t>
            </w:r>
            <w:r>
              <w:rPr>
                <w:i/>
                <w:sz w:val="16"/>
                <w:lang w:val="fr-FR"/>
              </w:rPr>
              <w:br/>
            </w:r>
            <w:r w:rsidRPr="009E7EB0">
              <w:rPr>
                <w:i/>
                <w:sz w:val="16"/>
                <w:lang w:val="fr-FR"/>
              </w:rPr>
              <w:t>fonds extrabudgétaires (BO/FE)</w:t>
            </w:r>
            <w:r>
              <w:rPr>
                <w:i/>
                <w:sz w:val="16"/>
                <w:lang w:val="fr-FR"/>
              </w:rPr>
              <w:t>)</w:t>
            </w:r>
            <w:r w:rsidRPr="009E7EB0">
              <w:rPr>
                <w:i/>
                <w:sz w:val="16"/>
                <w:lang w:val="fr-FR"/>
              </w:rPr>
              <w:t xml:space="preserve"> ; modes de gestion ; partenariats </w:t>
            </w:r>
          </w:p>
        </w:tc>
      </w:tr>
      <w:tr w:rsidR="008217C8" w:rsidRPr="009E7EB0" w:rsidDel="00C24980" w:rsidTr="00826F40">
        <w:trPr>
          <w:trHeight w:hRule="exact" w:val="113"/>
          <w:tblHeader/>
        </w:trPr>
        <w:tc>
          <w:tcPr>
            <w:tcW w:w="1823" w:type="dxa"/>
            <w:tcBorders>
              <w:top w:val="single" w:sz="12" w:space="0" w:color="auto"/>
            </w:tcBorders>
            <w:shd w:val="clear" w:color="auto" w:fill="auto"/>
          </w:tcPr>
          <w:p w:rsidR="008217C8" w:rsidRPr="009E7EB0" w:rsidRDefault="008217C8" w:rsidP="00826F40">
            <w:pPr>
              <w:spacing w:before="40" w:after="120"/>
              <w:ind w:right="113"/>
              <w:rPr>
                <w:lang w:val="fr-FR"/>
              </w:rPr>
            </w:pPr>
          </w:p>
        </w:tc>
        <w:tc>
          <w:tcPr>
            <w:tcW w:w="2282" w:type="dxa"/>
            <w:tcBorders>
              <w:top w:val="single" w:sz="12" w:space="0" w:color="auto"/>
            </w:tcBorders>
            <w:shd w:val="clear" w:color="auto" w:fill="auto"/>
          </w:tcPr>
          <w:p w:rsidR="008217C8" w:rsidRPr="009E7EB0" w:rsidRDefault="008217C8" w:rsidP="00826F40">
            <w:pPr>
              <w:spacing w:before="40" w:after="120"/>
              <w:ind w:right="113"/>
              <w:rPr>
                <w:lang w:val="fr-FR"/>
              </w:rPr>
            </w:pPr>
          </w:p>
        </w:tc>
        <w:tc>
          <w:tcPr>
            <w:tcW w:w="3664" w:type="dxa"/>
            <w:tcBorders>
              <w:top w:val="single" w:sz="12" w:space="0" w:color="auto"/>
            </w:tcBorders>
            <w:shd w:val="clear" w:color="auto" w:fill="auto"/>
          </w:tcPr>
          <w:p w:rsidR="008217C8" w:rsidRPr="009E7EB0" w:rsidRDefault="008217C8" w:rsidP="00826F40">
            <w:pPr>
              <w:spacing w:before="40" w:after="120"/>
              <w:ind w:right="113"/>
              <w:rPr>
                <w:lang w:val="fr-FR"/>
              </w:rPr>
            </w:pPr>
          </w:p>
        </w:tc>
        <w:tc>
          <w:tcPr>
            <w:tcW w:w="1868" w:type="dxa"/>
            <w:tcBorders>
              <w:top w:val="single" w:sz="12" w:space="0" w:color="auto"/>
            </w:tcBorders>
            <w:shd w:val="clear" w:color="auto" w:fill="auto"/>
          </w:tcPr>
          <w:p w:rsidR="008217C8" w:rsidRPr="009E7EB0" w:rsidRDefault="008217C8" w:rsidP="00826F40">
            <w:pPr>
              <w:spacing w:before="40" w:after="120"/>
              <w:ind w:left="57" w:right="113"/>
              <w:rPr>
                <w:lang w:val="fr-FR"/>
              </w:rPr>
            </w:pPr>
          </w:p>
        </w:tc>
      </w:tr>
      <w:tr w:rsidR="008217C8" w:rsidRPr="009E7EB0" w:rsidDel="00C24980" w:rsidTr="00826F40">
        <w:tc>
          <w:tcPr>
            <w:tcW w:w="1823" w:type="dxa"/>
            <w:vMerge w:val="restart"/>
            <w:shd w:val="clear" w:color="auto" w:fill="auto"/>
          </w:tcPr>
          <w:p w:rsidR="008217C8" w:rsidRPr="009E7EB0" w:rsidRDefault="008217C8" w:rsidP="00826F40">
            <w:pPr>
              <w:spacing w:before="40" w:after="120"/>
              <w:ind w:right="113"/>
              <w:rPr>
                <w:lang w:val="fr-FR"/>
              </w:rPr>
            </w:pPr>
            <w:r w:rsidRPr="009E7EB0">
              <w:rPr>
                <w:lang w:val="fr-FR"/>
              </w:rPr>
              <w:t>Plateforme des Nations Unies pour les conventions relatives aux transports intérieurs</w:t>
            </w:r>
          </w:p>
          <w:p w:rsidR="008217C8" w:rsidRPr="009E7EB0" w:rsidRDefault="008217C8" w:rsidP="00826F40">
            <w:pPr>
              <w:spacing w:before="40" w:after="120"/>
              <w:ind w:right="113"/>
              <w:rPr>
                <w:lang w:val="en-US"/>
              </w:rPr>
            </w:pPr>
            <w:r w:rsidRPr="009E7EB0">
              <w:rPr>
                <w:lang w:val="en-US"/>
              </w:rPr>
              <w:t>ODD</w:t>
            </w:r>
            <w:r>
              <w:rPr>
                <w:lang w:val="en-US"/>
              </w:rPr>
              <w:t xml:space="preserve"> </w:t>
            </w:r>
            <w:proofErr w:type="spellStart"/>
            <w:proofErr w:type="gramStart"/>
            <w:r>
              <w:rPr>
                <w:lang w:val="en-US"/>
              </w:rPr>
              <w:t>c</w:t>
            </w:r>
            <w:r w:rsidRPr="009E7EB0">
              <w:rPr>
                <w:lang w:val="en-US"/>
              </w:rPr>
              <w:t>orrespondants</w:t>
            </w:r>
            <w:proofErr w:type="spellEnd"/>
            <w:r w:rsidRPr="009E7EB0">
              <w:rPr>
                <w:lang w:val="en-US"/>
              </w:rPr>
              <w:t> :</w:t>
            </w:r>
            <w:proofErr w:type="gramEnd"/>
            <w:r w:rsidRPr="009E7EB0">
              <w:rPr>
                <w:lang w:val="en-US"/>
              </w:rPr>
              <w:t xml:space="preserve"> ODD 3, ODD 6, ODD 7, ODD 8, ODD 9, ODD 11, ODD 12, ODD 13 </w:t>
            </w:r>
          </w:p>
        </w:tc>
        <w:tc>
          <w:tcPr>
            <w:tcW w:w="2282" w:type="dxa"/>
            <w:shd w:val="clear" w:color="auto" w:fill="auto"/>
          </w:tcPr>
          <w:p w:rsidR="008217C8" w:rsidRPr="009E7EB0" w:rsidRDefault="008217C8" w:rsidP="00826F40">
            <w:pPr>
              <w:spacing w:before="40" w:after="120"/>
              <w:ind w:right="113"/>
            </w:pPr>
            <w:r w:rsidRPr="009E7EB0">
              <w:rPr>
                <w:lang w:val="fr-FR"/>
              </w:rPr>
              <w:t xml:space="preserve">Service d’instruments juridiques </w:t>
            </w:r>
          </w:p>
        </w:tc>
        <w:tc>
          <w:tcPr>
            <w:tcW w:w="3664" w:type="dxa"/>
            <w:shd w:val="clear" w:color="auto" w:fill="auto"/>
          </w:tcPr>
          <w:p w:rsidR="008217C8" w:rsidRPr="009E7EB0" w:rsidRDefault="008217C8" w:rsidP="00826F40">
            <w:pPr>
              <w:spacing w:before="40" w:after="120"/>
              <w:ind w:right="113"/>
              <w:rPr>
                <w:lang w:val="fr-FR"/>
              </w:rPr>
            </w:pPr>
            <w:r w:rsidRPr="009E7EB0">
              <w:rPr>
                <w:lang w:val="fr-FR"/>
              </w:rPr>
              <w:t>Le service et l’administration des instruments juridiques, en particulier dans les domaines de l’harmonisation des réglementations relatives aux véhicules, du transport des marchandises dangereuses, de la facilitation du passage des frontières et de la sécurité routière, représente la tâche la plus importante du CTI. Il s’agit en particulier des amendements réguliers ou ponctuels, ainsi que de l’intégration des amendements aux instruments juridiques et des discussions sur leur mise en œuvre</w:t>
            </w:r>
          </w:p>
        </w:tc>
        <w:tc>
          <w:tcPr>
            <w:tcW w:w="1868" w:type="dxa"/>
            <w:shd w:val="clear" w:color="auto" w:fill="auto"/>
          </w:tcPr>
          <w:p w:rsidR="008217C8" w:rsidRPr="009E7EB0" w:rsidRDefault="008217C8" w:rsidP="00826F40">
            <w:pPr>
              <w:spacing w:before="40" w:after="120"/>
              <w:ind w:left="57" w:right="113"/>
              <w:rPr>
                <w:b/>
                <w:bCs/>
                <w:lang w:val="fr-FR"/>
              </w:rPr>
            </w:pPr>
            <w:r w:rsidRPr="009E7EB0">
              <w:rPr>
                <w:b/>
                <w:bCs/>
                <w:lang w:val="fr-FR"/>
              </w:rPr>
              <w:t>BO et FE dans certains cas</w:t>
            </w:r>
          </w:p>
        </w:tc>
      </w:tr>
      <w:tr w:rsidR="008217C8" w:rsidRPr="009E7EB0" w:rsidDel="00C24980" w:rsidTr="00826F40">
        <w:tc>
          <w:tcPr>
            <w:tcW w:w="1823" w:type="dxa"/>
            <w:vMerge/>
            <w:tcBorders>
              <w:top w:val="single" w:sz="12" w:space="0" w:color="auto"/>
            </w:tcBorders>
            <w:shd w:val="clear" w:color="auto" w:fill="auto"/>
          </w:tcPr>
          <w:p w:rsidR="008217C8" w:rsidRPr="009E7EB0" w:rsidDel="00C24980" w:rsidRDefault="008217C8" w:rsidP="00826F40">
            <w:pPr>
              <w:spacing w:before="40" w:after="120"/>
              <w:ind w:right="113"/>
              <w:rPr>
                <w:lang w:val="fr-FR"/>
              </w:rPr>
            </w:pPr>
          </w:p>
        </w:tc>
        <w:tc>
          <w:tcPr>
            <w:tcW w:w="2282" w:type="dxa"/>
            <w:shd w:val="clear" w:color="auto" w:fill="auto"/>
          </w:tcPr>
          <w:p w:rsidR="008217C8" w:rsidRPr="009E7EB0" w:rsidDel="00C24980" w:rsidRDefault="008217C8" w:rsidP="00826F40">
            <w:pPr>
              <w:spacing w:before="20" w:after="120"/>
              <w:ind w:right="113"/>
              <w:rPr>
                <w:lang w:val="fr-FR"/>
              </w:rPr>
            </w:pPr>
            <w:r w:rsidRPr="009E7EB0">
              <w:rPr>
                <w:lang w:val="fr-FR"/>
              </w:rPr>
              <w:t>Promotion de l’adhésion d’États non membres de la</w:t>
            </w:r>
            <w:r>
              <w:rPr>
                <w:lang w:val="fr-FR"/>
              </w:rPr>
              <w:t> </w:t>
            </w:r>
            <w:r w:rsidRPr="009E7EB0">
              <w:rPr>
                <w:lang w:val="fr-FR"/>
              </w:rPr>
              <w:t>CEE aux instruments juridiques des Nations Unies</w:t>
            </w:r>
          </w:p>
        </w:tc>
        <w:tc>
          <w:tcPr>
            <w:tcW w:w="3664" w:type="dxa"/>
            <w:shd w:val="clear" w:color="auto" w:fill="auto"/>
          </w:tcPr>
          <w:p w:rsidR="008217C8" w:rsidRPr="009E7EB0" w:rsidRDefault="008217C8" w:rsidP="008217C8">
            <w:pPr>
              <w:pStyle w:val="Bullet1G"/>
              <w:numPr>
                <w:ilvl w:val="0"/>
                <w:numId w:val="1"/>
              </w:numPr>
              <w:spacing w:before="20"/>
              <w:ind w:left="170" w:right="0"/>
              <w:jc w:val="left"/>
              <w:rPr>
                <w:lang w:val="fr-FR"/>
              </w:rPr>
            </w:pPr>
            <w:r w:rsidRPr="009E7EB0">
              <w:rPr>
                <w:lang w:val="fr-FR"/>
              </w:rPr>
              <w:t>Modifications du mandat du CTI d’ici à 2020</w:t>
            </w:r>
          </w:p>
          <w:p w:rsidR="008217C8" w:rsidRPr="009E7EB0" w:rsidRDefault="008217C8" w:rsidP="008217C8">
            <w:pPr>
              <w:pStyle w:val="Bullet1G"/>
              <w:numPr>
                <w:ilvl w:val="0"/>
                <w:numId w:val="1"/>
              </w:numPr>
              <w:spacing w:before="20"/>
              <w:ind w:left="170" w:right="0"/>
              <w:jc w:val="left"/>
              <w:rPr>
                <w:lang w:val="fr-FR"/>
              </w:rPr>
            </w:pPr>
            <w:r w:rsidRPr="009E7EB0">
              <w:rPr>
                <w:lang w:val="fr-FR"/>
              </w:rPr>
              <w:t>Modifications des instruments juridiques comportant des obstacles géographiques et procéduraux d’ici à 2025</w:t>
            </w:r>
          </w:p>
          <w:p w:rsidR="008217C8" w:rsidRPr="009E7EB0" w:rsidRDefault="008217C8" w:rsidP="008217C8">
            <w:pPr>
              <w:pStyle w:val="Bullet1G"/>
              <w:numPr>
                <w:ilvl w:val="0"/>
                <w:numId w:val="1"/>
              </w:numPr>
              <w:spacing w:before="20"/>
              <w:ind w:left="170" w:right="0"/>
              <w:jc w:val="left"/>
              <w:rPr>
                <w:lang w:val="fr-FR"/>
              </w:rPr>
            </w:pPr>
            <w:r w:rsidRPr="009E7EB0">
              <w:rPr>
                <w:lang w:val="fr-FR"/>
              </w:rPr>
              <w:t>Examen de la relation entre les instruments juridiques et les recommandations existants d’ici à 2022</w:t>
            </w:r>
          </w:p>
          <w:p w:rsidR="008217C8" w:rsidRPr="009E7EB0" w:rsidDel="00C24980" w:rsidRDefault="008217C8" w:rsidP="008217C8">
            <w:pPr>
              <w:pStyle w:val="Bullet1G"/>
              <w:numPr>
                <w:ilvl w:val="0"/>
                <w:numId w:val="1"/>
              </w:numPr>
              <w:spacing w:before="20"/>
              <w:ind w:left="170" w:right="0"/>
              <w:jc w:val="left"/>
              <w:rPr>
                <w:lang w:val="fr-FR"/>
              </w:rPr>
            </w:pPr>
            <w:r>
              <w:rPr>
                <w:lang w:val="fr-FR"/>
              </w:rPr>
              <w:t>D</w:t>
            </w:r>
            <w:r w:rsidRPr="009E7EB0">
              <w:rPr>
                <w:lang w:val="fr-FR"/>
              </w:rPr>
              <w:t>étermination des instruments juridiques supplémentaires nécessaires</w:t>
            </w:r>
          </w:p>
        </w:tc>
        <w:tc>
          <w:tcPr>
            <w:tcW w:w="1868" w:type="dxa"/>
            <w:shd w:val="clear" w:color="auto" w:fill="auto"/>
          </w:tcPr>
          <w:p w:rsidR="008217C8" w:rsidRPr="009E7EB0" w:rsidRDefault="008217C8" w:rsidP="00826F40">
            <w:pPr>
              <w:spacing w:before="20" w:after="120"/>
              <w:ind w:left="57" w:right="113"/>
              <w:rPr>
                <w:b/>
                <w:bCs/>
              </w:rPr>
            </w:pPr>
            <w:r w:rsidRPr="009E7EB0">
              <w:rPr>
                <w:b/>
                <w:bCs/>
                <w:lang w:val="fr-FR"/>
              </w:rPr>
              <w:t>BO</w:t>
            </w:r>
          </w:p>
        </w:tc>
      </w:tr>
      <w:tr w:rsidR="008217C8" w:rsidRPr="009E7EB0" w:rsidDel="00C24980" w:rsidTr="00826F40">
        <w:tc>
          <w:tcPr>
            <w:tcW w:w="1823" w:type="dxa"/>
            <w:vMerge/>
            <w:tcBorders>
              <w:top w:val="single" w:sz="12" w:space="0" w:color="auto"/>
            </w:tcBorders>
            <w:shd w:val="clear" w:color="auto" w:fill="auto"/>
          </w:tcPr>
          <w:p w:rsidR="008217C8" w:rsidRPr="009E7EB0" w:rsidDel="00C24980" w:rsidRDefault="008217C8" w:rsidP="00826F40">
            <w:pPr>
              <w:spacing w:before="40" w:after="120"/>
              <w:ind w:right="113"/>
            </w:pPr>
          </w:p>
        </w:tc>
        <w:tc>
          <w:tcPr>
            <w:tcW w:w="2282" w:type="dxa"/>
            <w:shd w:val="clear" w:color="auto" w:fill="auto"/>
          </w:tcPr>
          <w:p w:rsidR="008217C8" w:rsidRPr="009E7EB0" w:rsidDel="00C24980" w:rsidRDefault="008217C8" w:rsidP="00826F40">
            <w:pPr>
              <w:spacing w:before="20" w:after="120"/>
              <w:ind w:right="113"/>
              <w:rPr>
                <w:lang w:val="fr-FR"/>
              </w:rPr>
            </w:pPr>
            <w:r w:rsidRPr="009E7EB0">
              <w:rPr>
                <w:lang w:val="fr-FR"/>
              </w:rPr>
              <w:t>Nouveaux instruments juridiques dans le cadre du</w:t>
            </w:r>
            <w:r>
              <w:rPr>
                <w:lang w:val="fr-FR"/>
              </w:rPr>
              <w:t> </w:t>
            </w:r>
            <w:r w:rsidRPr="009E7EB0">
              <w:rPr>
                <w:lang w:val="fr-FR"/>
              </w:rPr>
              <w:t>programme de développement durable</w:t>
            </w:r>
          </w:p>
        </w:tc>
        <w:tc>
          <w:tcPr>
            <w:tcW w:w="3664" w:type="dxa"/>
            <w:shd w:val="clear" w:color="auto" w:fill="auto"/>
          </w:tcPr>
          <w:p w:rsidR="008217C8" w:rsidRPr="009E7EB0" w:rsidDel="00C24980" w:rsidRDefault="008217C8" w:rsidP="008217C8">
            <w:pPr>
              <w:pStyle w:val="Bullet1G"/>
              <w:numPr>
                <w:ilvl w:val="0"/>
                <w:numId w:val="1"/>
              </w:numPr>
              <w:spacing w:before="20"/>
              <w:ind w:left="170" w:right="0"/>
              <w:jc w:val="left"/>
              <w:rPr>
                <w:lang w:val="fr-FR"/>
              </w:rPr>
            </w:pPr>
            <w:r w:rsidRPr="009E7EB0">
              <w:rPr>
                <w:lang w:val="fr-FR"/>
              </w:rPr>
              <w:t xml:space="preserve">Version définitive de trois projets d’instruments juridiques en cours d’élaboration : uniformisation du droit ferroviaire international, </w:t>
            </w:r>
            <w:proofErr w:type="spellStart"/>
            <w:r w:rsidRPr="009E7EB0">
              <w:rPr>
                <w:lang w:val="fr-FR"/>
              </w:rPr>
              <w:t>OmniBUS</w:t>
            </w:r>
            <w:proofErr w:type="spellEnd"/>
            <w:r w:rsidRPr="009E7EB0">
              <w:rPr>
                <w:lang w:val="fr-FR"/>
              </w:rPr>
              <w:t xml:space="preserve"> et convention sur le transport ferroviaire de voyageurs </w:t>
            </w:r>
            <w:r>
              <w:rPr>
                <w:lang w:val="fr-FR"/>
              </w:rPr>
              <w:t>−</w:t>
            </w:r>
            <w:r w:rsidRPr="009E7EB0">
              <w:rPr>
                <w:lang w:val="fr-FR"/>
              </w:rPr>
              <w:t xml:space="preserve"> Étude de la possibilité de nouveaux instruments juridiques à partir </w:t>
            </w:r>
            <w:r>
              <w:rPr>
                <w:lang w:val="fr-FR"/>
              </w:rPr>
              <w:br/>
            </w:r>
            <w:r w:rsidRPr="009E7EB0">
              <w:rPr>
                <w:lang w:val="fr-FR"/>
              </w:rPr>
              <w:t>de 2020</w:t>
            </w:r>
          </w:p>
        </w:tc>
        <w:tc>
          <w:tcPr>
            <w:tcW w:w="1868" w:type="dxa"/>
            <w:shd w:val="clear" w:color="auto" w:fill="auto"/>
          </w:tcPr>
          <w:p w:rsidR="008217C8" w:rsidRPr="009E7EB0" w:rsidRDefault="008217C8" w:rsidP="00826F40">
            <w:pPr>
              <w:spacing w:before="20" w:after="120"/>
              <w:ind w:left="57" w:right="113"/>
              <w:rPr>
                <w:b/>
                <w:bCs/>
                <w:lang w:val="fr-FR"/>
              </w:rPr>
            </w:pPr>
            <w:r w:rsidRPr="009E7EB0">
              <w:rPr>
                <w:b/>
                <w:bCs/>
                <w:lang w:val="fr-FR"/>
              </w:rPr>
              <w:t>BO, peut-être aussi FE si nécessaire</w:t>
            </w:r>
          </w:p>
        </w:tc>
      </w:tr>
      <w:tr w:rsidR="008217C8" w:rsidRPr="009E7EB0" w:rsidDel="00C24980" w:rsidTr="00826F40">
        <w:tc>
          <w:tcPr>
            <w:tcW w:w="1823" w:type="dxa"/>
            <w:vMerge/>
            <w:tcBorders>
              <w:top w:val="single" w:sz="12" w:space="0" w:color="auto"/>
            </w:tcBorders>
            <w:shd w:val="clear" w:color="auto" w:fill="auto"/>
          </w:tcPr>
          <w:p w:rsidR="008217C8" w:rsidRPr="009E7EB0" w:rsidDel="00C24980" w:rsidRDefault="008217C8" w:rsidP="00826F40">
            <w:pPr>
              <w:spacing w:before="40" w:after="120"/>
              <w:ind w:right="113"/>
              <w:rPr>
                <w:lang w:val="fr-FR"/>
              </w:rPr>
            </w:pPr>
          </w:p>
        </w:tc>
        <w:tc>
          <w:tcPr>
            <w:tcW w:w="2282" w:type="dxa"/>
            <w:shd w:val="clear" w:color="auto" w:fill="auto"/>
          </w:tcPr>
          <w:p w:rsidR="008217C8" w:rsidRPr="009E7EB0" w:rsidDel="00C24980" w:rsidRDefault="008217C8" w:rsidP="00826F40">
            <w:pPr>
              <w:spacing w:before="20" w:after="120"/>
              <w:ind w:right="113"/>
              <w:rPr>
                <w:lang w:val="fr-FR"/>
              </w:rPr>
            </w:pPr>
            <w:bookmarkStart w:id="5" w:name="_Hlk508551743"/>
            <w:r w:rsidRPr="009E7EB0">
              <w:rPr>
                <w:lang w:val="fr-FR"/>
              </w:rPr>
              <w:t>Élaboration de programmes de renforcement des capacités, de manuels de</w:t>
            </w:r>
            <w:r>
              <w:rPr>
                <w:lang w:val="fr-FR"/>
              </w:rPr>
              <w:t> </w:t>
            </w:r>
            <w:r w:rsidRPr="009E7EB0">
              <w:rPr>
                <w:lang w:val="fr-FR"/>
              </w:rPr>
              <w:t>formation, de lignes directrices, de normes, de</w:t>
            </w:r>
            <w:r>
              <w:rPr>
                <w:lang w:val="fr-FR"/>
              </w:rPr>
              <w:t> </w:t>
            </w:r>
            <w:r w:rsidRPr="009E7EB0">
              <w:rPr>
                <w:lang w:val="fr-FR"/>
              </w:rPr>
              <w:t>critères de compétence et de formations, ou</w:t>
            </w:r>
            <w:r>
              <w:rPr>
                <w:lang w:val="fr-FR"/>
              </w:rPr>
              <w:t> </w:t>
            </w:r>
            <w:r w:rsidRPr="009E7EB0">
              <w:rPr>
                <w:lang w:val="fr-FR"/>
              </w:rPr>
              <w:t>adaptation/mise à jour de ce qui existe</w:t>
            </w:r>
            <w:bookmarkEnd w:id="5"/>
          </w:p>
        </w:tc>
        <w:tc>
          <w:tcPr>
            <w:tcW w:w="3664" w:type="dxa"/>
            <w:shd w:val="clear" w:color="auto" w:fill="auto"/>
          </w:tcPr>
          <w:p w:rsidR="008217C8" w:rsidRPr="009E7EB0" w:rsidRDefault="008217C8" w:rsidP="008217C8">
            <w:pPr>
              <w:pStyle w:val="Bullet1G"/>
              <w:numPr>
                <w:ilvl w:val="0"/>
                <w:numId w:val="1"/>
              </w:numPr>
              <w:spacing w:before="20"/>
              <w:ind w:left="170" w:right="0"/>
              <w:jc w:val="left"/>
              <w:rPr>
                <w:lang w:val="fr-FR"/>
              </w:rPr>
            </w:pPr>
            <w:r w:rsidRPr="009E7EB0">
              <w:rPr>
                <w:lang w:val="fr-FR"/>
              </w:rPr>
              <w:t>Plan global de renforcement des capacités d’ici à 2020</w:t>
            </w:r>
          </w:p>
          <w:p w:rsidR="008217C8" w:rsidRPr="009E7EB0" w:rsidRDefault="008217C8" w:rsidP="008217C8">
            <w:pPr>
              <w:pStyle w:val="Bullet1G"/>
              <w:numPr>
                <w:ilvl w:val="0"/>
                <w:numId w:val="1"/>
              </w:numPr>
              <w:spacing w:before="20"/>
              <w:ind w:left="170" w:right="0"/>
              <w:jc w:val="left"/>
              <w:rPr>
                <w:lang w:val="fr-FR"/>
              </w:rPr>
            </w:pPr>
            <w:r w:rsidRPr="009E7EB0">
              <w:rPr>
                <w:lang w:val="fr-FR"/>
              </w:rPr>
              <w:t>Adaptation/mise à jour des supports de formation existants à partir de 2020</w:t>
            </w:r>
          </w:p>
          <w:p w:rsidR="008217C8" w:rsidRPr="009E7EB0" w:rsidRDefault="008217C8" w:rsidP="008217C8">
            <w:pPr>
              <w:pStyle w:val="Bullet1G"/>
              <w:numPr>
                <w:ilvl w:val="0"/>
                <w:numId w:val="1"/>
              </w:numPr>
              <w:spacing w:before="20"/>
              <w:ind w:left="170" w:right="0"/>
              <w:jc w:val="left"/>
              <w:rPr>
                <w:lang w:val="fr-FR"/>
              </w:rPr>
            </w:pPr>
            <w:r w:rsidRPr="009E7EB0">
              <w:rPr>
                <w:lang w:val="fr-FR"/>
              </w:rPr>
              <w:t>Supports de formation, normes et critères de compétence nouveaux à partir de 2022</w:t>
            </w:r>
          </w:p>
          <w:p w:rsidR="008217C8" w:rsidRPr="009E7EB0" w:rsidDel="00C24980" w:rsidRDefault="008217C8" w:rsidP="008217C8">
            <w:pPr>
              <w:pStyle w:val="Bullet1G"/>
              <w:numPr>
                <w:ilvl w:val="0"/>
                <w:numId w:val="1"/>
              </w:numPr>
              <w:spacing w:before="20"/>
              <w:ind w:left="170" w:right="0"/>
              <w:jc w:val="left"/>
            </w:pPr>
            <w:r w:rsidRPr="009E7EB0">
              <w:rPr>
                <w:lang w:val="fr-FR"/>
              </w:rPr>
              <w:t>Formations à partir de 2019</w:t>
            </w:r>
          </w:p>
        </w:tc>
        <w:tc>
          <w:tcPr>
            <w:tcW w:w="1868" w:type="dxa"/>
            <w:shd w:val="clear" w:color="auto" w:fill="auto"/>
          </w:tcPr>
          <w:p w:rsidR="008217C8" w:rsidRPr="00733B74" w:rsidRDefault="008217C8" w:rsidP="00826F40">
            <w:pPr>
              <w:spacing w:before="20" w:after="120"/>
              <w:ind w:left="57" w:right="113"/>
              <w:rPr>
                <w:b/>
                <w:bCs/>
                <w:lang w:val="fr-FR"/>
              </w:rPr>
            </w:pPr>
            <w:r w:rsidRPr="009E7EB0">
              <w:rPr>
                <w:b/>
                <w:bCs/>
                <w:lang w:val="fr-FR"/>
              </w:rPr>
              <w:t>BO pour soutenir l’intégration des normes et des compétences en matière de formation dans les instruments juridiques si nécessaire</w:t>
            </w:r>
          </w:p>
        </w:tc>
      </w:tr>
      <w:tr w:rsidR="008217C8" w:rsidRPr="009E7EB0" w:rsidDel="00C24980" w:rsidTr="00826F40">
        <w:trPr>
          <w:cantSplit/>
        </w:trPr>
        <w:tc>
          <w:tcPr>
            <w:tcW w:w="1823" w:type="dxa"/>
            <w:shd w:val="clear" w:color="auto" w:fill="auto"/>
          </w:tcPr>
          <w:p w:rsidR="008217C8" w:rsidRPr="009E7EB0" w:rsidDel="00C24980" w:rsidRDefault="008217C8" w:rsidP="00826F40">
            <w:pPr>
              <w:spacing w:before="40" w:after="120"/>
              <w:ind w:right="113"/>
              <w:rPr>
                <w:lang w:val="fr-FR"/>
              </w:rPr>
            </w:pPr>
          </w:p>
        </w:tc>
        <w:tc>
          <w:tcPr>
            <w:tcW w:w="7814" w:type="dxa"/>
            <w:gridSpan w:val="3"/>
            <w:shd w:val="clear" w:color="auto" w:fill="auto"/>
          </w:tcPr>
          <w:p w:rsidR="008217C8" w:rsidRPr="009E7EB0" w:rsidRDefault="008217C8" w:rsidP="00826F40">
            <w:pPr>
              <w:spacing w:before="40" w:after="120"/>
              <w:ind w:left="57" w:right="113"/>
              <w:rPr>
                <w:b/>
                <w:bCs/>
                <w:lang w:val="fr-FR"/>
              </w:rPr>
            </w:pPr>
          </w:p>
        </w:tc>
      </w:tr>
      <w:tr w:rsidR="008217C8" w:rsidRPr="009E7EB0" w:rsidDel="00C24980" w:rsidTr="00826F40">
        <w:trPr>
          <w:cantSplit/>
        </w:trPr>
        <w:tc>
          <w:tcPr>
            <w:tcW w:w="1823" w:type="dxa"/>
            <w:vMerge w:val="restart"/>
            <w:shd w:val="clear" w:color="auto" w:fill="auto"/>
          </w:tcPr>
          <w:p w:rsidR="008217C8" w:rsidRPr="009E7EB0" w:rsidDel="00C24980" w:rsidRDefault="008217C8" w:rsidP="00826F40">
            <w:pPr>
              <w:keepNext/>
              <w:spacing w:before="40" w:after="120"/>
              <w:ind w:right="113"/>
              <w:rPr>
                <w:lang w:val="fr-FR"/>
              </w:rPr>
            </w:pPr>
          </w:p>
        </w:tc>
        <w:tc>
          <w:tcPr>
            <w:tcW w:w="2282" w:type="dxa"/>
            <w:shd w:val="clear" w:color="auto" w:fill="auto"/>
          </w:tcPr>
          <w:p w:rsidR="008217C8" w:rsidRPr="009E7EB0" w:rsidRDefault="008217C8" w:rsidP="00826F40">
            <w:pPr>
              <w:keepNext/>
              <w:spacing w:before="40" w:after="120"/>
              <w:ind w:left="57" w:right="113"/>
              <w:rPr>
                <w:b/>
                <w:bCs/>
                <w:lang w:val="fr-FR"/>
              </w:rPr>
            </w:pPr>
          </w:p>
        </w:tc>
        <w:tc>
          <w:tcPr>
            <w:tcW w:w="3664" w:type="dxa"/>
            <w:shd w:val="clear" w:color="auto" w:fill="auto"/>
          </w:tcPr>
          <w:p w:rsidR="008217C8" w:rsidRPr="0040457D" w:rsidRDefault="008217C8" w:rsidP="00826F40">
            <w:pPr>
              <w:keepNext/>
              <w:spacing w:before="40" w:after="120"/>
              <w:ind w:left="57" w:right="113"/>
              <w:rPr>
                <w:b/>
                <w:bCs/>
                <w:highlight w:val="cyan"/>
                <w:lang w:val="fr-FR"/>
              </w:rPr>
            </w:pPr>
          </w:p>
        </w:tc>
        <w:tc>
          <w:tcPr>
            <w:tcW w:w="1868" w:type="dxa"/>
            <w:shd w:val="clear" w:color="auto" w:fill="auto"/>
          </w:tcPr>
          <w:p w:rsidR="008217C8" w:rsidRPr="0040457D" w:rsidRDefault="008217C8" w:rsidP="00826F40">
            <w:pPr>
              <w:keepNext/>
              <w:keepLines/>
              <w:spacing w:before="40" w:after="120"/>
              <w:ind w:left="57" w:right="113"/>
              <w:rPr>
                <w:b/>
                <w:bCs/>
                <w:highlight w:val="cyan"/>
                <w:lang w:val="fr-FR"/>
              </w:rPr>
            </w:pPr>
            <w:r w:rsidRPr="009E7EB0">
              <w:rPr>
                <w:b/>
                <w:bCs/>
                <w:lang w:val="fr-FR"/>
              </w:rPr>
              <w:t>FE pour les supports de formation et les cours au travers de partenariats avec des établissements de formation</w:t>
            </w:r>
          </w:p>
        </w:tc>
      </w:tr>
      <w:tr w:rsidR="008217C8" w:rsidRPr="009E7EB0" w:rsidDel="00C24980" w:rsidTr="00826F40">
        <w:tc>
          <w:tcPr>
            <w:tcW w:w="1823" w:type="dxa"/>
            <w:vMerge/>
            <w:tcBorders>
              <w:top w:val="single" w:sz="12" w:space="0" w:color="auto"/>
            </w:tcBorders>
            <w:shd w:val="clear" w:color="auto" w:fill="auto"/>
          </w:tcPr>
          <w:p w:rsidR="008217C8" w:rsidRPr="009E7EB0" w:rsidDel="00C24980" w:rsidRDefault="008217C8" w:rsidP="00826F40">
            <w:pPr>
              <w:spacing w:before="40" w:after="120"/>
              <w:ind w:right="113"/>
              <w:rPr>
                <w:lang w:val="fr-FR"/>
              </w:rPr>
            </w:pPr>
          </w:p>
        </w:tc>
        <w:tc>
          <w:tcPr>
            <w:tcW w:w="2282" w:type="dxa"/>
            <w:shd w:val="clear" w:color="auto" w:fill="auto"/>
          </w:tcPr>
          <w:p w:rsidR="008217C8" w:rsidRPr="009E7EB0" w:rsidDel="00C24980" w:rsidRDefault="008217C8" w:rsidP="00826F40">
            <w:pPr>
              <w:spacing w:before="40" w:after="120"/>
              <w:ind w:right="113"/>
            </w:pPr>
            <w:r w:rsidRPr="009E7EB0">
              <w:rPr>
                <w:lang w:val="fr-FR"/>
              </w:rPr>
              <w:t>Mise au point d’indicateurs</w:t>
            </w:r>
          </w:p>
        </w:tc>
        <w:tc>
          <w:tcPr>
            <w:tcW w:w="3664" w:type="dxa"/>
            <w:shd w:val="clear" w:color="auto" w:fill="auto"/>
          </w:tcPr>
          <w:p w:rsidR="008217C8" w:rsidRPr="009E7EB0" w:rsidDel="00C24980" w:rsidRDefault="008217C8" w:rsidP="00826F40">
            <w:pPr>
              <w:spacing w:before="40" w:after="120"/>
              <w:ind w:right="113"/>
            </w:pPr>
            <w:r w:rsidRPr="009E7EB0">
              <w:rPr>
                <w:lang w:val="fr-FR"/>
              </w:rPr>
              <w:t>À partir de 2019</w:t>
            </w:r>
          </w:p>
        </w:tc>
        <w:tc>
          <w:tcPr>
            <w:tcW w:w="1868" w:type="dxa"/>
            <w:shd w:val="clear" w:color="auto" w:fill="auto"/>
          </w:tcPr>
          <w:p w:rsidR="008217C8" w:rsidRPr="009E7EB0" w:rsidRDefault="008217C8" w:rsidP="00826F40">
            <w:pPr>
              <w:spacing w:before="40" w:after="120"/>
              <w:ind w:left="57" w:right="113"/>
              <w:rPr>
                <w:lang w:val="fr-FR"/>
              </w:rPr>
            </w:pPr>
            <w:r w:rsidRPr="009E7EB0">
              <w:rPr>
                <w:b/>
                <w:bCs/>
                <w:lang w:val="fr-FR"/>
              </w:rPr>
              <w:t>BO non CEE (par</w:t>
            </w:r>
            <w:r>
              <w:rPr>
                <w:b/>
                <w:bCs/>
                <w:lang w:val="fr-FR"/>
              </w:rPr>
              <w:t> </w:t>
            </w:r>
            <w:r w:rsidRPr="009E7EB0">
              <w:rPr>
                <w:b/>
                <w:bCs/>
                <w:lang w:val="fr-FR"/>
              </w:rPr>
              <w:t>exemple Compte pour le développement) ou</w:t>
            </w:r>
            <w:r>
              <w:rPr>
                <w:b/>
                <w:bCs/>
                <w:lang w:val="fr-FR"/>
              </w:rPr>
              <w:t> </w:t>
            </w:r>
            <w:r w:rsidRPr="009E7EB0">
              <w:rPr>
                <w:b/>
                <w:bCs/>
                <w:lang w:val="fr-FR"/>
              </w:rPr>
              <w:t>FE</w:t>
            </w:r>
          </w:p>
        </w:tc>
      </w:tr>
      <w:tr w:rsidR="008217C8" w:rsidRPr="009E7EB0" w:rsidDel="00C24980" w:rsidTr="00826F40">
        <w:tc>
          <w:tcPr>
            <w:tcW w:w="1823" w:type="dxa"/>
            <w:vMerge w:val="restart"/>
            <w:shd w:val="clear" w:color="auto" w:fill="auto"/>
          </w:tcPr>
          <w:p w:rsidR="008217C8" w:rsidRPr="009E7EB0" w:rsidRDefault="008217C8" w:rsidP="00826F40">
            <w:pPr>
              <w:spacing w:before="20" w:after="120"/>
              <w:ind w:right="113"/>
              <w:rPr>
                <w:lang w:val="fr-FR"/>
              </w:rPr>
            </w:pPr>
            <w:r w:rsidRPr="009E7EB0">
              <w:rPr>
                <w:lang w:val="fr-FR"/>
              </w:rPr>
              <w:t>Plateforme des Nations Unies pour la promotion des nouvelles technologies et de l’innovation dans les transports intérieurs</w:t>
            </w:r>
          </w:p>
          <w:p w:rsidR="008217C8" w:rsidRPr="009E7EB0" w:rsidDel="00C24980" w:rsidRDefault="008217C8" w:rsidP="00826F40">
            <w:pPr>
              <w:spacing w:before="20" w:after="120"/>
              <w:ind w:right="113"/>
              <w:rPr>
                <w:lang w:val="en-US"/>
              </w:rPr>
            </w:pPr>
            <w:r w:rsidRPr="009E7EB0">
              <w:rPr>
                <w:lang w:val="en-US"/>
              </w:rPr>
              <w:t xml:space="preserve">ODD </w:t>
            </w:r>
            <w:proofErr w:type="spellStart"/>
            <w:proofErr w:type="gramStart"/>
            <w:r w:rsidRPr="009E7EB0">
              <w:rPr>
                <w:lang w:val="en-US"/>
              </w:rPr>
              <w:t>correspondants</w:t>
            </w:r>
            <w:proofErr w:type="spellEnd"/>
            <w:r w:rsidRPr="009E7EB0">
              <w:rPr>
                <w:lang w:val="en-US"/>
              </w:rPr>
              <w:t> :</w:t>
            </w:r>
            <w:proofErr w:type="gramEnd"/>
            <w:r w:rsidRPr="009E7EB0">
              <w:rPr>
                <w:lang w:val="en-US"/>
              </w:rPr>
              <w:t xml:space="preserve"> ODD 3, ODD 6, ODD 7, ODD 8, ODD 9, ODD 11, ODD 12, ODD 13 </w:t>
            </w:r>
          </w:p>
        </w:tc>
        <w:tc>
          <w:tcPr>
            <w:tcW w:w="2282" w:type="dxa"/>
            <w:shd w:val="clear" w:color="auto" w:fill="auto"/>
          </w:tcPr>
          <w:p w:rsidR="008217C8" w:rsidRPr="009E7EB0" w:rsidDel="00C24980" w:rsidRDefault="008217C8" w:rsidP="00826F40">
            <w:pPr>
              <w:spacing w:before="20" w:after="120"/>
              <w:ind w:right="113"/>
              <w:rPr>
                <w:lang w:val="fr-FR"/>
              </w:rPr>
            </w:pPr>
            <w:proofErr w:type="spellStart"/>
            <w:r w:rsidRPr="009E7EB0">
              <w:rPr>
                <w:lang w:val="fr-FR"/>
              </w:rPr>
              <w:t>Platesformes</w:t>
            </w:r>
            <w:proofErr w:type="spellEnd"/>
            <w:r w:rsidRPr="009E7EB0">
              <w:rPr>
                <w:lang w:val="fr-FR"/>
              </w:rPr>
              <w:t xml:space="preserve"> régionales et mondiales pour la numérisation, la conduite automatisée et les systèmes de transport intelligents</w:t>
            </w:r>
          </w:p>
        </w:tc>
        <w:tc>
          <w:tcPr>
            <w:tcW w:w="3664" w:type="dxa"/>
            <w:shd w:val="clear" w:color="auto" w:fill="auto"/>
          </w:tcPr>
          <w:p w:rsidR="008217C8" w:rsidRPr="009E7EB0" w:rsidRDefault="008217C8" w:rsidP="008217C8">
            <w:pPr>
              <w:pStyle w:val="Bullet1G"/>
              <w:numPr>
                <w:ilvl w:val="0"/>
                <w:numId w:val="1"/>
              </w:numPr>
              <w:spacing w:before="20"/>
              <w:ind w:left="170" w:right="0"/>
              <w:jc w:val="left"/>
              <w:rPr>
                <w:lang w:val="fr-FR"/>
              </w:rPr>
            </w:pPr>
            <w:r w:rsidRPr="009E7EB0">
              <w:rPr>
                <w:lang w:val="fr-FR"/>
              </w:rPr>
              <w:t xml:space="preserve">Continuer d’élargir la participation au WP.1 et au WP.29 à l’échelle mondiale, </w:t>
            </w:r>
            <w:r>
              <w:rPr>
                <w:lang w:val="fr-FR"/>
              </w:rPr>
              <w:br/>
            </w:r>
            <w:r w:rsidRPr="009E7EB0">
              <w:rPr>
                <w:lang w:val="fr-FR"/>
              </w:rPr>
              <w:t xml:space="preserve">et la coopération entre ces deux organes </w:t>
            </w:r>
          </w:p>
          <w:p w:rsidR="008217C8" w:rsidRPr="009E7EB0" w:rsidRDefault="008217C8" w:rsidP="008217C8">
            <w:pPr>
              <w:pStyle w:val="Bullet1G"/>
              <w:numPr>
                <w:ilvl w:val="0"/>
                <w:numId w:val="1"/>
              </w:numPr>
              <w:spacing w:before="20"/>
              <w:ind w:left="170" w:right="0"/>
              <w:jc w:val="left"/>
              <w:rPr>
                <w:lang w:val="fr-FR"/>
              </w:rPr>
            </w:pPr>
            <w:r w:rsidRPr="009E7EB0">
              <w:rPr>
                <w:lang w:val="fr-FR"/>
              </w:rPr>
              <w:t>Mettre à jour la DETA et l’héberger sur le site de la CEE à partir de 2022</w:t>
            </w:r>
          </w:p>
          <w:p w:rsidR="008217C8" w:rsidRPr="009E7EB0" w:rsidRDefault="008217C8" w:rsidP="008217C8">
            <w:pPr>
              <w:pStyle w:val="Bullet1G"/>
              <w:numPr>
                <w:ilvl w:val="0"/>
                <w:numId w:val="1"/>
              </w:numPr>
              <w:spacing w:before="20"/>
              <w:ind w:left="170" w:right="0"/>
              <w:jc w:val="left"/>
              <w:rPr>
                <w:lang w:val="fr-FR"/>
              </w:rPr>
            </w:pPr>
            <w:r w:rsidRPr="009E7EB0">
              <w:rPr>
                <w:lang w:val="fr-FR"/>
              </w:rPr>
              <w:t>Promouvoir l’adhésion à la lettre de voiture électronique (e-CMR) et le passage à la phase opérationnelle dans la région de la CEE et au-delà à partir de 2019</w:t>
            </w:r>
          </w:p>
          <w:p w:rsidR="008217C8" w:rsidRPr="009E7EB0" w:rsidRDefault="008217C8" w:rsidP="008217C8">
            <w:pPr>
              <w:pStyle w:val="Bullet1G"/>
              <w:numPr>
                <w:ilvl w:val="0"/>
                <w:numId w:val="1"/>
              </w:numPr>
              <w:spacing w:before="20"/>
              <w:ind w:left="170" w:right="0"/>
              <w:jc w:val="left"/>
              <w:rPr>
                <w:lang w:val="fr-FR"/>
              </w:rPr>
            </w:pPr>
            <w:r w:rsidRPr="009E7EB0">
              <w:rPr>
                <w:lang w:val="fr-FR"/>
              </w:rPr>
              <w:t>Développer progressivement le système e</w:t>
            </w:r>
            <w:r>
              <w:rPr>
                <w:lang w:val="fr-FR"/>
              </w:rPr>
              <w:noBreakHyphen/>
            </w:r>
            <w:r w:rsidRPr="009E7EB0">
              <w:rPr>
                <w:lang w:val="fr-FR"/>
              </w:rPr>
              <w:t>TIR en vue de son éventuelle mise en œuvre complète d’ici à 2023, sous réserve de l’entrée en vigueur de la nouvelle annexe 11 de la Convention TIR</w:t>
            </w:r>
          </w:p>
          <w:p w:rsidR="008217C8" w:rsidRPr="00CF64D7" w:rsidDel="00C24980" w:rsidRDefault="008217C8" w:rsidP="008217C8">
            <w:pPr>
              <w:pStyle w:val="Bullet1G"/>
              <w:numPr>
                <w:ilvl w:val="0"/>
                <w:numId w:val="1"/>
              </w:numPr>
              <w:spacing w:before="20"/>
              <w:ind w:left="170" w:right="0"/>
              <w:jc w:val="left"/>
              <w:rPr>
                <w:lang w:val="fr-FR"/>
              </w:rPr>
            </w:pPr>
            <w:r w:rsidRPr="009E7EB0">
              <w:rPr>
                <w:lang w:val="fr-FR"/>
              </w:rPr>
              <w:t>Repérer les nouvelles technologies dans les domaines du rail, de la route, de la mobilité routière, de la navigation intérieure, de la logistique et du transport intermodal, et encourager et faciliter leur introduction jusqu’en 2030</w:t>
            </w:r>
          </w:p>
        </w:tc>
        <w:tc>
          <w:tcPr>
            <w:tcW w:w="1868" w:type="dxa"/>
            <w:shd w:val="clear" w:color="auto" w:fill="auto"/>
          </w:tcPr>
          <w:p w:rsidR="008217C8" w:rsidRPr="009E7EB0" w:rsidRDefault="008217C8" w:rsidP="00826F40">
            <w:pPr>
              <w:spacing w:before="20" w:after="120"/>
              <w:ind w:left="57" w:right="113"/>
              <w:rPr>
                <w:b/>
                <w:bCs/>
                <w:lang w:val="fr-FR"/>
              </w:rPr>
            </w:pPr>
            <w:r w:rsidRPr="009E7EB0">
              <w:rPr>
                <w:b/>
                <w:bCs/>
                <w:lang w:val="fr-FR"/>
              </w:rPr>
              <w:t>BO pour le personnel permanent, les installations et les services de réunion et le DETA</w:t>
            </w:r>
            <w:r w:rsidRPr="009E7EB0">
              <w:rPr>
                <w:lang w:val="fr-FR"/>
              </w:rPr>
              <w:t xml:space="preserve"> </w:t>
            </w:r>
          </w:p>
          <w:p w:rsidR="008217C8" w:rsidRPr="009E7EB0" w:rsidRDefault="008217C8" w:rsidP="00826F40">
            <w:pPr>
              <w:spacing w:before="20" w:after="120"/>
              <w:ind w:left="57" w:right="113"/>
            </w:pPr>
            <w:r w:rsidRPr="009E7EB0">
              <w:rPr>
                <w:b/>
                <w:bCs/>
                <w:lang w:val="fr-FR"/>
              </w:rPr>
              <w:t>FE pour le reste</w:t>
            </w:r>
          </w:p>
        </w:tc>
      </w:tr>
      <w:tr w:rsidR="008217C8" w:rsidRPr="009E7EB0" w:rsidDel="00C24980" w:rsidTr="00826F40">
        <w:tc>
          <w:tcPr>
            <w:tcW w:w="1823" w:type="dxa"/>
            <w:vMerge/>
            <w:shd w:val="clear" w:color="auto" w:fill="auto"/>
          </w:tcPr>
          <w:p w:rsidR="008217C8" w:rsidRPr="009E7EB0" w:rsidDel="00C24980" w:rsidRDefault="008217C8" w:rsidP="00826F40">
            <w:pPr>
              <w:spacing w:before="40" w:after="120"/>
              <w:ind w:right="113"/>
            </w:pPr>
          </w:p>
        </w:tc>
        <w:tc>
          <w:tcPr>
            <w:tcW w:w="2282" w:type="dxa"/>
            <w:shd w:val="clear" w:color="auto" w:fill="auto"/>
          </w:tcPr>
          <w:p w:rsidR="008217C8" w:rsidRPr="009E7EB0" w:rsidDel="00C24980" w:rsidRDefault="008217C8" w:rsidP="00826F40">
            <w:pPr>
              <w:spacing w:before="20" w:after="120"/>
              <w:ind w:right="113"/>
              <w:rPr>
                <w:lang w:val="fr-FR"/>
              </w:rPr>
            </w:pPr>
            <w:r w:rsidRPr="009E7EB0">
              <w:rPr>
                <w:lang w:val="fr-FR"/>
              </w:rPr>
              <w:t>Environnement réglementaire pour la promotion des véhicules automatisés, ainsi que des véhicules à faible intensité de carbone et à taux d’émissions faible</w:t>
            </w:r>
          </w:p>
        </w:tc>
        <w:tc>
          <w:tcPr>
            <w:tcW w:w="3664" w:type="dxa"/>
            <w:shd w:val="clear" w:color="auto" w:fill="auto"/>
          </w:tcPr>
          <w:p w:rsidR="008217C8" w:rsidRPr="009E7EB0" w:rsidDel="00C24980" w:rsidRDefault="008217C8" w:rsidP="008217C8">
            <w:pPr>
              <w:pStyle w:val="Bullet1G"/>
              <w:numPr>
                <w:ilvl w:val="0"/>
                <w:numId w:val="1"/>
              </w:numPr>
              <w:spacing w:before="20"/>
              <w:ind w:left="170" w:right="0"/>
              <w:jc w:val="left"/>
              <w:rPr>
                <w:lang w:val="fr-FR"/>
              </w:rPr>
            </w:pPr>
            <w:r w:rsidRPr="009E7EB0">
              <w:rPr>
                <w:lang w:val="fr-FR"/>
              </w:rPr>
              <w:t>Renforcer la promotion des véhicules automatisés à partir de 2019, y compris en continuant à modifier les instruments juridiques et les normes existants, et élaborer éventuellement de nouveaux accords si nécessaire</w:t>
            </w:r>
          </w:p>
        </w:tc>
        <w:tc>
          <w:tcPr>
            <w:tcW w:w="1868" w:type="dxa"/>
            <w:shd w:val="clear" w:color="auto" w:fill="auto"/>
          </w:tcPr>
          <w:p w:rsidR="008217C8" w:rsidRPr="009E7EB0" w:rsidRDefault="008217C8" w:rsidP="00826F40">
            <w:pPr>
              <w:spacing w:before="20" w:after="120"/>
              <w:ind w:left="57" w:right="113"/>
            </w:pPr>
            <w:r w:rsidRPr="009E7EB0">
              <w:rPr>
                <w:b/>
                <w:bCs/>
                <w:lang w:val="fr-FR"/>
              </w:rPr>
              <w:t>BO</w:t>
            </w:r>
          </w:p>
        </w:tc>
      </w:tr>
      <w:tr w:rsidR="008217C8" w:rsidRPr="009E7EB0" w:rsidDel="00C24980" w:rsidTr="00826F40">
        <w:tc>
          <w:tcPr>
            <w:tcW w:w="1823" w:type="dxa"/>
            <w:vMerge w:val="restart"/>
            <w:shd w:val="clear" w:color="auto" w:fill="auto"/>
          </w:tcPr>
          <w:p w:rsidR="008217C8" w:rsidRPr="009E7EB0" w:rsidRDefault="008217C8" w:rsidP="00826F40">
            <w:pPr>
              <w:keepNext/>
              <w:spacing w:before="40" w:after="120"/>
              <w:ind w:right="113"/>
              <w:rPr>
                <w:lang w:val="fr-FR"/>
              </w:rPr>
            </w:pPr>
            <w:r w:rsidRPr="009E7EB0">
              <w:rPr>
                <w:lang w:val="fr-FR"/>
              </w:rPr>
              <w:lastRenderedPageBreak/>
              <w:t>Plateforme des Nations Unies pour les dialogues régionaux, interrégionaux et mondiaux sur les politiques en matière de transports intérieurs</w:t>
            </w:r>
          </w:p>
          <w:p w:rsidR="008217C8" w:rsidRPr="009E7EB0" w:rsidDel="00C24980" w:rsidRDefault="008217C8" w:rsidP="00826F40">
            <w:pPr>
              <w:keepNext/>
              <w:spacing w:before="40" w:after="120"/>
              <w:ind w:right="113"/>
              <w:rPr>
                <w:lang w:val="en-US"/>
              </w:rPr>
            </w:pPr>
            <w:r w:rsidRPr="009E7EB0">
              <w:rPr>
                <w:lang w:val="en-US"/>
              </w:rPr>
              <w:t xml:space="preserve">ODD </w:t>
            </w:r>
            <w:proofErr w:type="spellStart"/>
            <w:proofErr w:type="gramStart"/>
            <w:r w:rsidRPr="009E7EB0">
              <w:rPr>
                <w:lang w:val="en-US"/>
              </w:rPr>
              <w:t>correspondants</w:t>
            </w:r>
            <w:proofErr w:type="spellEnd"/>
            <w:r w:rsidRPr="009E7EB0">
              <w:rPr>
                <w:lang w:val="en-US"/>
              </w:rPr>
              <w:t> :</w:t>
            </w:r>
            <w:proofErr w:type="gramEnd"/>
            <w:r w:rsidRPr="009E7EB0">
              <w:rPr>
                <w:lang w:val="en-US"/>
              </w:rPr>
              <w:t xml:space="preserve"> ODD 3, ODD 6, ODD 7, ODD 8, ODD 9, ODD 11, ODD 12, ODD 13 </w:t>
            </w:r>
          </w:p>
        </w:tc>
        <w:tc>
          <w:tcPr>
            <w:tcW w:w="2282" w:type="dxa"/>
            <w:shd w:val="clear" w:color="auto" w:fill="auto"/>
          </w:tcPr>
          <w:p w:rsidR="008217C8" w:rsidRPr="009E7EB0" w:rsidDel="00C24980" w:rsidRDefault="008217C8" w:rsidP="00826F40">
            <w:pPr>
              <w:keepNext/>
              <w:spacing w:before="40" w:after="120"/>
              <w:ind w:right="113"/>
              <w:rPr>
                <w:lang w:val="fr-FR"/>
              </w:rPr>
            </w:pPr>
            <w:r w:rsidRPr="009E7EB0">
              <w:rPr>
                <w:lang w:val="fr-FR"/>
              </w:rPr>
              <w:t>Organiser des débats thématiques régionaux, interrégionaux et mondiaux sur le transport terrestre durable pendant les sessions du CTI</w:t>
            </w:r>
          </w:p>
        </w:tc>
        <w:tc>
          <w:tcPr>
            <w:tcW w:w="3664" w:type="dxa"/>
            <w:shd w:val="clear" w:color="auto" w:fill="auto"/>
          </w:tcPr>
          <w:p w:rsidR="008217C8" w:rsidRPr="009E7EB0" w:rsidDel="00C24980" w:rsidRDefault="008217C8" w:rsidP="00826F40">
            <w:pPr>
              <w:keepNext/>
              <w:spacing w:before="40" w:after="120"/>
              <w:ind w:right="113"/>
              <w:rPr>
                <w:lang w:val="fr-FR"/>
              </w:rPr>
            </w:pPr>
            <w:r w:rsidRPr="009E7EB0">
              <w:rPr>
                <w:lang w:val="fr-FR"/>
              </w:rPr>
              <w:t>Débats de haut niveau du CTI sur divers thèmes relatifs à la viabilité des transports intérieurs à partir de 2019</w:t>
            </w:r>
          </w:p>
        </w:tc>
        <w:tc>
          <w:tcPr>
            <w:tcW w:w="1868" w:type="dxa"/>
            <w:shd w:val="clear" w:color="auto" w:fill="auto"/>
          </w:tcPr>
          <w:p w:rsidR="008217C8" w:rsidRPr="009E7EB0" w:rsidRDefault="008217C8" w:rsidP="00826F40">
            <w:pPr>
              <w:keepNext/>
              <w:spacing w:before="40" w:after="120"/>
              <w:ind w:left="57" w:right="113"/>
              <w:rPr>
                <w:lang w:val="fr-FR"/>
              </w:rPr>
            </w:pPr>
            <w:r w:rsidRPr="009E7EB0">
              <w:rPr>
                <w:b/>
                <w:bCs/>
                <w:lang w:val="fr-FR"/>
              </w:rPr>
              <w:t>BO, dans le cadre de la session du Comité</w:t>
            </w:r>
          </w:p>
        </w:tc>
      </w:tr>
      <w:tr w:rsidR="008217C8" w:rsidRPr="009E7EB0" w:rsidDel="00C24980" w:rsidTr="00826F40">
        <w:tc>
          <w:tcPr>
            <w:tcW w:w="1823" w:type="dxa"/>
            <w:vMerge/>
            <w:shd w:val="clear" w:color="auto" w:fill="auto"/>
          </w:tcPr>
          <w:p w:rsidR="008217C8" w:rsidRPr="009E7EB0" w:rsidRDefault="008217C8" w:rsidP="00826F40">
            <w:pPr>
              <w:keepNext/>
              <w:spacing w:before="40" w:after="120"/>
              <w:ind w:right="113"/>
              <w:rPr>
                <w:lang w:val="fr-FR"/>
              </w:rPr>
            </w:pPr>
          </w:p>
        </w:tc>
        <w:tc>
          <w:tcPr>
            <w:tcW w:w="2282" w:type="dxa"/>
            <w:shd w:val="clear" w:color="auto" w:fill="auto"/>
          </w:tcPr>
          <w:p w:rsidR="008217C8" w:rsidRPr="009E7EB0" w:rsidRDefault="008217C8" w:rsidP="00826F40">
            <w:pPr>
              <w:keepNext/>
              <w:spacing w:before="40" w:after="120"/>
              <w:ind w:right="113"/>
              <w:rPr>
                <w:lang w:val="fr-FR"/>
              </w:rPr>
            </w:pPr>
            <w:r w:rsidRPr="009E7EB0">
              <w:rPr>
                <w:lang w:val="fr-FR"/>
              </w:rPr>
              <w:t>Inclure les points de l’ordre du jour du CTI sur les défis auxquels sont confrontés les transports intérieurs dans différentes régions</w:t>
            </w:r>
          </w:p>
        </w:tc>
        <w:tc>
          <w:tcPr>
            <w:tcW w:w="3664" w:type="dxa"/>
            <w:shd w:val="clear" w:color="auto" w:fill="auto"/>
          </w:tcPr>
          <w:p w:rsidR="008217C8" w:rsidRPr="009E7EB0" w:rsidDel="00C24980" w:rsidRDefault="008217C8" w:rsidP="00826F40">
            <w:pPr>
              <w:keepNext/>
              <w:spacing w:before="40" w:after="120"/>
              <w:ind w:right="113"/>
              <w:rPr>
                <w:lang w:val="fr-FR"/>
              </w:rPr>
            </w:pPr>
            <w:r w:rsidRPr="009E7EB0">
              <w:rPr>
                <w:lang w:val="fr-FR"/>
              </w:rPr>
              <w:t>Points de l’ordre du jour du CTI sur les défis à relever dans différentes régions à partir de 2020</w:t>
            </w:r>
          </w:p>
        </w:tc>
        <w:tc>
          <w:tcPr>
            <w:tcW w:w="1868" w:type="dxa"/>
            <w:shd w:val="clear" w:color="auto" w:fill="auto"/>
          </w:tcPr>
          <w:p w:rsidR="008217C8" w:rsidRPr="009E7EB0" w:rsidRDefault="008217C8" w:rsidP="00826F40">
            <w:pPr>
              <w:keepNext/>
              <w:spacing w:before="40" w:after="120"/>
              <w:ind w:left="57" w:right="113"/>
              <w:rPr>
                <w:lang w:val="fr-FR"/>
              </w:rPr>
            </w:pPr>
          </w:p>
        </w:tc>
      </w:tr>
      <w:tr w:rsidR="008217C8" w:rsidRPr="009E7EB0" w:rsidDel="00C24980" w:rsidTr="00826F40">
        <w:tc>
          <w:tcPr>
            <w:tcW w:w="1823" w:type="dxa"/>
            <w:vMerge w:val="restart"/>
            <w:shd w:val="clear" w:color="auto" w:fill="auto"/>
          </w:tcPr>
          <w:p w:rsidR="008217C8" w:rsidRPr="009E7EB0" w:rsidRDefault="008217C8" w:rsidP="00826F40">
            <w:pPr>
              <w:spacing w:before="20" w:after="120"/>
              <w:ind w:right="113"/>
              <w:rPr>
                <w:lang w:val="fr-FR"/>
              </w:rPr>
            </w:pPr>
            <w:r w:rsidRPr="009E7EB0">
              <w:rPr>
                <w:lang w:val="fr-FR"/>
              </w:rPr>
              <w:t>Plateforme des Nations Unies pour la promotion d’une connectivité et d’une mobilité durables dans les transports intérieurs régionaux et interrégionaux</w:t>
            </w:r>
          </w:p>
          <w:p w:rsidR="008217C8" w:rsidRPr="009E7EB0" w:rsidDel="00C24980" w:rsidRDefault="008217C8" w:rsidP="00826F40">
            <w:pPr>
              <w:spacing w:before="20" w:after="120"/>
              <w:ind w:right="113"/>
              <w:rPr>
                <w:lang w:val="en-US"/>
              </w:rPr>
            </w:pPr>
            <w:r w:rsidRPr="009E7EB0">
              <w:rPr>
                <w:lang w:val="en-US"/>
              </w:rPr>
              <w:t xml:space="preserve">ODD </w:t>
            </w:r>
            <w:proofErr w:type="spellStart"/>
            <w:proofErr w:type="gramStart"/>
            <w:r w:rsidRPr="009E7EB0">
              <w:rPr>
                <w:lang w:val="en-US"/>
              </w:rPr>
              <w:t>correspondants</w:t>
            </w:r>
            <w:proofErr w:type="spellEnd"/>
            <w:r w:rsidRPr="009E7EB0">
              <w:rPr>
                <w:lang w:val="en-US"/>
              </w:rPr>
              <w:t> :</w:t>
            </w:r>
            <w:proofErr w:type="gramEnd"/>
            <w:r w:rsidRPr="009E7EB0">
              <w:rPr>
                <w:lang w:val="en-US"/>
              </w:rPr>
              <w:t xml:space="preserve"> ODD 3, ODD 6, ODD 7, ODD 8, ODD 9, ODD 11, ODD 12, ODD 13 </w:t>
            </w:r>
          </w:p>
        </w:tc>
        <w:tc>
          <w:tcPr>
            <w:tcW w:w="2282" w:type="dxa"/>
            <w:shd w:val="clear" w:color="auto" w:fill="auto"/>
          </w:tcPr>
          <w:p w:rsidR="008217C8" w:rsidRPr="009E7EB0" w:rsidDel="00C24980" w:rsidRDefault="008217C8" w:rsidP="00826F40">
            <w:pPr>
              <w:spacing w:before="20" w:after="120"/>
              <w:ind w:right="113"/>
              <w:rPr>
                <w:lang w:val="fr-FR"/>
              </w:rPr>
            </w:pPr>
            <w:r w:rsidRPr="009E7EB0">
              <w:rPr>
                <w:lang w:val="fr-FR"/>
              </w:rPr>
              <w:t>Connectivité et mobilité régionales, intégrées, intermodales et infrastructurelles</w:t>
            </w:r>
          </w:p>
        </w:tc>
        <w:tc>
          <w:tcPr>
            <w:tcW w:w="3664" w:type="dxa"/>
            <w:shd w:val="clear" w:color="auto" w:fill="auto"/>
          </w:tcPr>
          <w:p w:rsidR="008217C8" w:rsidRPr="009E7EB0" w:rsidRDefault="008217C8" w:rsidP="008217C8">
            <w:pPr>
              <w:pStyle w:val="Bullet1G"/>
              <w:numPr>
                <w:ilvl w:val="0"/>
                <w:numId w:val="1"/>
              </w:numPr>
              <w:spacing w:before="20"/>
              <w:ind w:left="170" w:right="0"/>
              <w:jc w:val="left"/>
              <w:rPr>
                <w:lang w:val="fr-FR"/>
              </w:rPr>
            </w:pPr>
            <w:r w:rsidRPr="009E7EB0">
              <w:rPr>
                <w:lang w:val="fr-FR"/>
              </w:rPr>
              <w:t>Appui à la connectivité et à la mobilité intermodales intégrées à partir de 2020, y</w:t>
            </w:r>
            <w:r>
              <w:rPr>
                <w:lang w:val="fr-FR"/>
              </w:rPr>
              <w:t> </w:t>
            </w:r>
            <w:r w:rsidRPr="009E7EB0">
              <w:rPr>
                <w:lang w:val="fr-FR"/>
              </w:rPr>
              <w:t>compris TEM, TER, intermodalité et logistique</w:t>
            </w:r>
          </w:p>
          <w:p w:rsidR="008217C8" w:rsidRPr="009E7EB0" w:rsidDel="00C24980" w:rsidRDefault="008217C8" w:rsidP="008217C8">
            <w:pPr>
              <w:pStyle w:val="Bullet1G"/>
              <w:numPr>
                <w:ilvl w:val="0"/>
                <w:numId w:val="1"/>
              </w:numPr>
              <w:spacing w:before="20"/>
              <w:ind w:left="170" w:right="0"/>
              <w:jc w:val="left"/>
            </w:pPr>
            <w:r w:rsidRPr="009E7EB0">
              <w:rPr>
                <w:lang w:val="fr-FR"/>
              </w:rPr>
              <w:t>Statistiques des transports : poursuite et amélioration des processus de collecte, de validation et de diffusion des données afin de produire des statistiques précises qui permettent de prendre des décisions fondées sur des données probantes en matière de transports. De 2019 à 2030</w:t>
            </w:r>
          </w:p>
        </w:tc>
        <w:tc>
          <w:tcPr>
            <w:tcW w:w="1868" w:type="dxa"/>
            <w:shd w:val="clear" w:color="auto" w:fill="auto"/>
          </w:tcPr>
          <w:p w:rsidR="008217C8" w:rsidRPr="009E7EB0" w:rsidRDefault="008217C8" w:rsidP="00826F40">
            <w:pPr>
              <w:spacing w:before="20" w:after="120"/>
              <w:ind w:left="57" w:right="113"/>
            </w:pPr>
            <w:r w:rsidRPr="009E7EB0">
              <w:rPr>
                <w:b/>
                <w:bCs/>
                <w:lang w:val="fr-FR"/>
              </w:rPr>
              <w:t>BO et FE</w:t>
            </w:r>
          </w:p>
        </w:tc>
      </w:tr>
      <w:tr w:rsidR="008217C8" w:rsidRPr="009E7EB0" w:rsidDel="00C24980" w:rsidTr="00826F40">
        <w:tc>
          <w:tcPr>
            <w:tcW w:w="1823" w:type="dxa"/>
            <w:vMerge/>
            <w:shd w:val="clear" w:color="auto" w:fill="auto"/>
          </w:tcPr>
          <w:p w:rsidR="008217C8" w:rsidRPr="009E7EB0" w:rsidDel="00C24980" w:rsidRDefault="008217C8" w:rsidP="00826F40">
            <w:pPr>
              <w:spacing w:before="40" w:after="120"/>
              <w:ind w:right="113"/>
            </w:pPr>
          </w:p>
        </w:tc>
        <w:tc>
          <w:tcPr>
            <w:tcW w:w="2282" w:type="dxa"/>
            <w:shd w:val="clear" w:color="auto" w:fill="auto"/>
          </w:tcPr>
          <w:p w:rsidR="008217C8" w:rsidRPr="009E7EB0" w:rsidDel="00C24980" w:rsidRDefault="008217C8" w:rsidP="00826F40">
            <w:pPr>
              <w:spacing w:before="20" w:after="120"/>
              <w:ind w:right="113"/>
              <w:rPr>
                <w:lang w:val="fr-FR"/>
              </w:rPr>
            </w:pPr>
            <w:r w:rsidRPr="009E7EB0">
              <w:rPr>
                <w:lang w:val="fr-FR"/>
              </w:rPr>
              <w:t>Connectivité interrégionale, y compris grâce à divers corridors</w:t>
            </w:r>
          </w:p>
        </w:tc>
        <w:tc>
          <w:tcPr>
            <w:tcW w:w="3664" w:type="dxa"/>
            <w:shd w:val="clear" w:color="auto" w:fill="auto"/>
          </w:tcPr>
          <w:p w:rsidR="008217C8" w:rsidRPr="009E7EB0" w:rsidDel="00C24980" w:rsidRDefault="008217C8" w:rsidP="008217C8">
            <w:pPr>
              <w:pStyle w:val="Bullet1G"/>
              <w:numPr>
                <w:ilvl w:val="0"/>
                <w:numId w:val="1"/>
              </w:numPr>
              <w:spacing w:before="20"/>
              <w:ind w:left="170" w:right="0"/>
              <w:jc w:val="left"/>
              <w:rPr>
                <w:lang w:val="fr-FR"/>
              </w:rPr>
            </w:pPr>
            <w:r w:rsidRPr="009E7EB0">
              <w:rPr>
                <w:lang w:val="fr-FR"/>
              </w:rPr>
              <w:t>Appui à la connectivité et aux corridors interrégionaux de transport intérieur à partir de 2019</w:t>
            </w:r>
          </w:p>
        </w:tc>
        <w:tc>
          <w:tcPr>
            <w:tcW w:w="1868" w:type="dxa"/>
            <w:shd w:val="clear" w:color="auto" w:fill="auto"/>
          </w:tcPr>
          <w:p w:rsidR="008217C8" w:rsidRPr="009E7EB0" w:rsidRDefault="008217C8" w:rsidP="00826F40">
            <w:pPr>
              <w:spacing w:before="20" w:after="120"/>
              <w:ind w:left="57" w:right="113"/>
            </w:pPr>
            <w:r w:rsidRPr="009E7EB0">
              <w:rPr>
                <w:b/>
                <w:bCs/>
                <w:lang w:val="fr-FR"/>
              </w:rPr>
              <w:t>BO et FE</w:t>
            </w:r>
          </w:p>
        </w:tc>
      </w:tr>
      <w:tr w:rsidR="008217C8" w:rsidRPr="009E7EB0" w:rsidDel="00C24980" w:rsidTr="00826F40">
        <w:tc>
          <w:tcPr>
            <w:tcW w:w="1823" w:type="dxa"/>
            <w:vMerge/>
            <w:shd w:val="clear" w:color="auto" w:fill="auto"/>
          </w:tcPr>
          <w:p w:rsidR="008217C8" w:rsidRPr="009E7EB0" w:rsidDel="00C24980" w:rsidRDefault="008217C8" w:rsidP="00826F40">
            <w:pPr>
              <w:spacing w:before="40" w:after="120"/>
              <w:ind w:right="113"/>
            </w:pPr>
          </w:p>
        </w:tc>
        <w:tc>
          <w:tcPr>
            <w:tcW w:w="2282" w:type="dxa"/>
            <w:shd w:val="clear" w:color="auto" w:fill="auto"/>
          </w:tcPr>
          <w:p w:rsidR="008217C8" w:rsidRPr="009E7EB0" w:rsidDel="00C24980" w:rsidRDefault="008217C8" w:rsidP="00826F40">
            <w:pPr>
              <w:spacing w:before="20" w:after="120"/>
              <w:ind w:right="113"/>
              <w:rPr>
                <w:lang w:val="fr-FR"/>
              </w:rPr>
            </w:pPr>
            <w:r w:rsidRPr="009E7EB0">
              <w:rPr>
                <w:lang w:val="fr-FR"/>
              </w:rPr>
              <w:t>Promotion des transports durables et de la mobilité urbaine</w:t>
            </w:r>
          </w:p>
        </w:tc>
        <w:tc>
          <w:tcPr>
            <w:tcW w:w="3664" w:type="dxa"/>
            <w:shd w:val="clear" w:color="auto" w:fill="auto"/>
          </w:tcPr>
          <w:p w:rsidR="008217C8" w:rsidRPr="00DC7561" w:rsidDel="00C24980" w:rsidRDefault="008217C8" w:rsidP="008217C8">
            <w:pPr>
              <w:pStyle w:val="Bullet1G"/>
              <w:numPr>
                <w:ilvl w:val="0"/>
                <w:numId w:val="1"/>
              </w:numPr>
              <w:spacing w:before="20"/>
              <w:ind w:left="170" w:right="0"/>
              <w:jc w:val="left"/>
              <w:rPr>
                <w:lang w:val="fr-FR"/>
              </w:rPr>
            </w:pPr>
            <w:r w:rsidRPr="009E7EB0">
              <w:rPr>
                <w:lang w:val="fr-FR"/>
              </w:rPr>
              <w:t xml:space="preserve">Nouveaux outils et nouvelles activités à partir de 2019, par exemple le PPE-TSE ; la poursuite du développement du module sur les polluants locaux de ForFITS ; </w:t>
            </w:r>
            <w:r>
              <w:rPr>
                <w:lang w:val="fr-FR"/>
              </w:rPr>
              <w:t xml:space="preserve">les </w:t>
            </w:r>
            <w:r w:rsidRPr="009E7EB0">
              <w:rPr>
                <w:lang w:val="fr-FR"/>
              </w:rPr>
              <w:t>examens relatifs aux transports et à la mobilité durables</w:t>
            </w:r>
          </w:p>
        </w:tc>
        <w:tc>
          <w:tcPr>
            <w:tcW w:w="1868" w:type="dxa"/>
            <w:shd w:val="clear" w:color="auto" w:fill="auto"/>
          </w:tcPr>
          <w:p w:rsidR="008217C8" w:rsidRPr="009E7EB0" w:rsidRDefault="008217C8" w:rsidP="00826F40">
            <w:pPr>
              <w:spacing w:before="20" w:after="120"/>
              <w:ind w:left="57" w:right="113"/>
            </w:pPr>
            <w:r w:rsidRPr="009E7EB0">
              <w:rPr>
                <w:b/>
                <w:bCs/>
                <w:lang w:val="fr-FR"/>
              </w:rPr>
              <w:t>FE</w:t>
            </w:r>
          </w:p>
        </w:tc>
      </w:tr>
      <w:tr w:rsidR="008217C8" w:rsidRPr="009E7EB0" w:rsidDel="00C24980" w:rsidTr="00826F40">
        <w:tc>
          <w:tcPr>
            <w:tcW w:w="1823" w:type="dxa"/>
            <w:tcBorders>
              <w:bottom w:val="single" w:sz="12" w:space="0" w:color="auto"/>
            </w:tcBorders>
            <w:shd w:val="clear" w:color="auto" w:fill="auto"/>
          </w:tcPr>
          <w:p w:rsidR="008217C8" w:rsidRPr="009E7EB0" w:rsidDel="00C24980" w:rsidRDefault="008217C8" w:rsidP="00826F40">
            <w:pPr>
              <w:spacing w:before="40" w:after="120"/>
              <w:ind w:right="113"/>
            </w:pPr>
          </w:p>
        </w:tc>
        <w:tc>
          <w:tcPr>
            <w:tcW w:w="2282" w:type="dxa"/>
            <w:tcBorders>
              <w:bottom w:val="single" w:sz="12" w:space="0" w:color="auto"/>
            </w:tcBorders>
            <w:shd w:val="clear" w:color="auto" w:fill="auto"/>
          </w:tcPr>
          <w:p w:rsidR="008217C8" w:rsidRPr="009E7EB0" w:rsidRDefault="008217C8" w:rsidP="00826F40">
            <w:pPr>
              <w:spacing w:before="20" w:after="120"/>
              <w:ind w:right="113"/>
              <w:rPr>
                <w:lang w:val="fr-FR"/>
              </w:rPr>
            </w:pPr>
            <w:r w:rsidRPr="009E7EB0">
              <w:rPr>
                <w:lang w:val="fr-FR"/>
              </w:rPr>
              <w:t>Infrastructures de transport résilientes face aux changements climatiques</w:t>
            </w:r>
          </w:p>
        </w:tc>
        <w:tc>
          <w:tcPr>
            <w:tcW w:w="3664" w:type="dxa"/>
            <w:tcBorders>
              <w:bottom w:val="single" w:sz="12" w:space="0" w:color="auto"/>
            </w:tcBorders>
            <w:shd w:val="clear" w:color="auto" w:fill="auto"/>
          </w:tcPr>
          <w:p w:rsidR="008217C8" w:rsidRPr="009E7EB0" w:rsidRDefault="008217C8" w:rsidP="00826F40">
            <w:pPr>
              <w:keepNext/>
              <w:spacing w:before="20" w:after="120"/>
              <w:ind w:right="113"/>
              <w:rPr>
                <w:lang w:val="fr-FR"/>
              </w:rPr>
            </w:pPr>
            <w:r w:rsidRPr="009E7EB0">
              <w:rPr>
                <w:lang w:val="fr-FR"/>
              </w:rPr>
              <w:t>Étudier l’influence des changements climatiques sur les infrastructures de transport</w:t>
            </w:r>
          </w:p>
        </w:tc>
        <w:tc>
          <w:tcPr>
            <w:tcW w:w="1868" w:type="dxa"/>
            <w:tcBorders>
              <w:bottom w:val="single" w:sz="12" w:space="0" w:color="auto"/>
            </w:tcBorders>
            <w:shd w:val="clear" w:color="auto" w:fill="auto"/>
          </w:tcPr>
          <w:p w:rsidR="008217C8" w:rsidRPr="009E7EB0" w:rsidRDefault="008217C8" w:rsidP="00826F40">
            <w:pPr>
              <w:spacing w:before="20" w:after="120"/>
              <w:ind w:left="57" w:right="113"/>
              <w:rPr>
                <w:b/>
                <w:bCs/>
                <w:lang w:val="fr-FR"/>
              </w:rPr>
            </w:pPr>
          </w:p>
        </w:tc>
      </w:tr>
    </w:tbl>
    <w:p w:rsidR="008217C8" w:rsidRPr="00DC7561" w:rsidRDefault="008217C8" w:rsidP="008217C8">
      <w:pPr>
        <w:spacing w:before="120" w:after="240" w:line="220" w:lineRule="atLeast"/>
        <w:ind w:firstLine="170"/>
        <w:jc w:val="both"/>
        <w:rPr>
          <w:iCs/>
          <w:sz w:val="18"/>
          <w:szCs w:val="18"/>
          <w:lang w:val="fr-FR"/>
        </w:rPr>
      </w:pPr>
      <w:r w:rsidRPr="00DC7561">
        <w:rPr>
          <w:i/>
          <w:iCs/>
          <w:sz w:val="18"/>
          <w:szCs w:val="18"/>
          <w:lang w:val="fr-FR"/>
        </w:rPr>
        <w:t>Note</w:t>
      </w:r>
      <w:r w:rsidRPr="00DC7561">
        <w:rPr>
          <w:sz w:val="18"/>
          <w:szCs w:val="18"/>
          <w:lang w:val="fr-FR"/>
        </w:rPr>
        <w:t xml:space="preserve"> : </w:t>
      </w:r>
      <w:r>
        <w:rPr>
          <w:sz w:val="18"/>
          <w:szCs w:val="18"/>
          <w:lang w:val="fr-FR"/>
        </w:rPr>
        <w:t>P</w:t>
      </w:r>
      <w:r w:rsidRPr="00DC7561">
        <w:rPr>
          <w:sz w:val="18"/>
          <w:szCs w:val="18"/>
          <w:lang w:val="fr-FR"/>
        </w:rPr>
        <w:t xml:space="preserve">our les priorités susmentionnées, il sera fait appel aux statistiques des transports, à des travaux d’analyse, au renforcement des capacités. Il sera également fait appel aux débats de haut niveau du CTI. </w:t>
      </w:r>
    </w:p>
    <w:p w:rsidR="008217C8" w:rsidRPr="00E919A1" w:rsidRDefault="008217C8" w:rsidP="008217C8">
      <w:pPr>
        <w:pStyle w:val="H23G"/>
        <w:rPr>
          <w:lang w:val="fr-FR"/>
        </w:rPr>
      </w:pPr>
      <w:r>
        <w:rPr>
          <w:lang w:val="fr-FR"/>
        </w:rPr>
        <w:tab/>
      </w:r>
      <w:r>
        <w:rPr>
          <w:lang w:val="fr-FR"/>
        </w:rPr>
        <w:tab/>
        <w:t>Une p</w:t>
      </w:r>
      <w:r w:rsidRPr="00E919A1">
        <w:rPr>
          <w:lang w:val="fr-FR"/>
        </w:rPr>
        <w:t>riorité spéciale d</w:t>
      </w:r>
      <w:r>
        <w:rPr>
          <w:lang w:val="fr-FR"/>
        </w:rPr>
        <w:t>’</w:t>
      </w:r>
      <w:r w:rsidRPr="00E919A1">
        <w:rPr>
          <w:lang w:val="fr-FR"/>
        </w:rPr>
        <w:t>intérêt mondial</w:t>
      </w:r>
      <w:r>
        <w:rPr>
          <w:lang w:val="fr-FR"/>
        </w:rPr>
        <w:t> :</w:t>
      </w:r>
      <w:r w:rsidRPr="00E919A1">
        <w:rPr>
          <w:lang w:val="fr-FR"/>
        </w:rPr>
        <w:t xml:space="preserve"> la sécurité routière</w:t>
      </w:r>
    </w:p>
    <w:p w:rsidR="008217C8" w:rsidRPr="00E919A1" w:rsidRDefault="008217C8" w:rsidP="008217C8">
      <w:pPr>
        <w:pStyle w:val="SingleTxtG"/>
        <w:rPr>
          <w:lang w:val="fr-FR"/>
        </w:rPr>
      </w:pPr>
      <w:r w:rsidRPr="00E919A1">
        <w:rPr>
          <w:lang w:val="fr-FR"/>
        </w:rPr>
        <w:t>14.</w:t>
      </w:r>
      <w:r w:rsidRPr="00E919A1">
        <w:rPr>
          <w:lang w:val="fr-FR"/>
        </w:rPr>
        <w:tab/>
        <w:t>Conscient d</w:t>
      </w:r>
      <w:r>
        <w:rPr>
          <w:lang w:val="fr-FR"/>
        </w:rPr>
        <w:t xml:space="preserve">u fait que </w:t>
      </w:r>
      <w:r w:rsidRPr="00E919A1">
        <w:rPr>
          <w:lang w:val="fr-FR"/>
        </w:rPr>
        <w:t>la tendance mondiale à l</w:t>
      </w:r>
      <w:r>
        <w:rPr>
          <w:lang w:val="fr-FR"/>
        </w:rPr>
        <w:t>’</w:t>
      </w:r>
      <w:r w:rsidRPr="00E919A1">
        <w:rPr>
          <w:lang w:val="fr-FR"/>
        </w:rPr>
        <w:t>augmentation de la mortalité routiè</w:t>
      </w:r>
      <w:r>
        <w:rPr>
          <w:lang w:val="fr-FR"/>
        </w:rPr>
        <w:t>re révèle des</w:t>
      </w:r>
      <w:r w:rsidRPr="00E919A1">
        <w:rPr>
          <w:lang w:val="fr-FR"/>
        </w:rPr>
        <w:t xml:space="preserve"> insuffisances en ce qui concerne la réalisation de la cible des OMD relative à la sécurité routière d</w:t>
      </w:r>
      <w:r>
        <w:rPr>
          <w:lang w:val="fr-FR"/>
        </w:rPr>
        <w:t>’</w:t>
      </w:r>
      <w:r w:rsidRPr="00E919A1">
        <w:rPr>
          <w:lang w:val="fr-FR"/>
        </w:rPr>
        <w:t>ici à 2020, le CTI renforcera ses fonctions de réglementation pour améliorer les performances en matière de sécurité routière</w:t>
      </w:r>
      <w:r>
        <w:rPr>
          <w:lang w:val="fr-FR"/>
        </w:rPr>
        <w:t>. C</w:t>
      </w:r>
      <w:r w:rsidRPr="00E919A1">
        <w:rPr>
          <w:lang w:val="fr-FR"/>
        </w:rPr>
        <w:t>e faisant</w:t>
      </w:r>
      <w:r>
        <w:rPr>
          <w:lang w:val="fr-FR"/>
        </w:rPr>
        <w:t>, il</w:t>
      </w:r>
      <w:r w:rsidRPr="00E919A1">
        <w:rPr>
          <w:lang w:val="fr-FR"/>
        </w:rPr>
        <w:t xml:space="preserve"> contribuera à la réalisation des aspirations de la communauté internationale en matière de sécurité routière.</w:t>
      </w:r>
    </w:p>
    <w:p w:rsidR="008217C8" w:rsidRPr="00E919A1" w:rsidRDefault="008217C8" w:rsidP="008217C8">
      <w:pPr>
        <w:pStyle w:val="SingleTxtG"/>
        <w:rPr>
          <w:lang w:val="fr-FR"/>
        </w:rPr>
      </w:pPr>
      <w:r w:rsidRPr="00E919A1">
        <w:rPr>
          <w:lang w:val="fr-FR"/>
        </w:rPr>
        <w:lastRenderedPageBreak/>
        <w:t>15.</w:t>
      </w:r>
      <w:r w:rsidRPr="00E919A1">
        <w:rPr>
          <w:lang w:val="fr-FR"/>
        </w:rPr>
        <w:tab/>
      </w:r>
      <w:r>
        <w:rPr>
          <w:lang w:val="fr-FR"/>
        </w:rPr>
        <w:t>À</w:t>
      </w:r>
      <w:r w:rsidRPr="00E919A1">
        <w:rPr>
          <w:lang w:val="fr-FR"/>
        </w:rPr>
        <w:t xml:space="preserve"> cette fin, le CTI et ses organes subsidiaires renforceront leurs activités liées aux instruments juridiques des Nations Unies relatifs à la sécurité routière relevant de la compétence du Comité</w:t>
      </w:r>
      <w:r>
        <w:rPr>
          <w:lang w:val="fr-FR"/>
        </w:rPr>
        <w:t xml:space="preserve"> (voir</w:t>
      </w:r>
      <w:r w:rsidRPr="00E919A1">
        <w:rPr>
          <w:lang w:val="fr-FR"/>
        </w:rPr>
        <w:t xml:space="preserve"> tableau 2</w:t>
      </w:r>
      <w:r>
        <w:rPr>
          <w:lang w:val="fr-FR"/>
        </w:rPr>
        <w:t>)</w:t>
      </w:r>
      <w:r w:rsidRPr="00E919A1">
        <w:rPr>
          <w:lang w:val="fr-FR"/>
        </w:rPr>
        <w:t xml:space="preserve"> </w:t>
      </w:r>
      <w:r>
        <w:rPr>
          <w:lang w:val="fr-FR"/>
        </w:rPr>
        <w:t>dans le but :</w:t>
      </w:r>
      <w:r w:rsidRPr="00E919A1">
        <w:rPr>
          <w:lang w:val="fr-FR"/>
        </w:rPr>
        <w:t xml:space="preserve"> a)</w:t>
      </w:r>
      <w:r>
        <w:rPr>
          <w:lang w:val="fr-FR"/>
        </w:rPr>
        <w:t> </w:t>
      </w:r>
      <w:r w:rsidRPr="00E919A1">
        <w:rPr>
          <w:lang w:val="fr-FR"/>
        </w:rPr>
        <w:t>d</w:t>
      </w:r>
      <w:r>
        <w:rPr>
          <w:lang w:val="fr-FR"/>
        </w:rPr>
        <w:t>’</w:t>
      </w:r>
      <w:r w:rsidRPr="00E919A1">
        <w:rPr>
          <w:lang w:val="fr-FR"/>
        </w:rPr>
        <w:t xml:space="preserve">aider les </w:t>
      </w:r>
      <w:r>
        <w:rPr>
          <w:lang w:val="fr-FR"/>
        </w:rPr>
        <w:t>P</w:t>
      </w:r>
      <w:r w:rsidRPr="00E919A1">
        <w:rPr>
          <w:lang w:val="fr-FR"/>
        </w:rPr>
        <w:t>arties contractantes à élaborer, améliorer et soutenir leurs systèmes nationaux de sécurité routière</w:t>
      </w:r>
      <w:r>
        <w:rPr>
          <w:lang w:val="fr-FR"/>
        </w:rPr>
        <w:t> ;</w:t>
      </w:r>
      <w:r w:rsidRPr="00E919A1">
        <w:rPr>
          <w:lang w:val="fr-FR"/>
        </w:rPr>
        <w:t xml:space="preserve"> b)</w:t>
      </w:r>
      <w:r>
        <w:rPr>
          <w:lang w:val="fr-FR"/>
        </w:rPr>
        <w:t> </w:t>
      </w:r>
      <w:r w:rsidRPr="00E919A1">
        <w:rPr>
          <w:lang w:val="fr-FR"/>
        </w:rPr>
        <w:t>de continuer à promouvoir l</w:t>
      </w:r>
      <w:r>
        <w:rPr>
          <w:lang w:val="fr-FR"/>
        </w:rPr>
        <w:t>’</w:t>
      </w:r>
      <w:r w:rsidRPr="00E919A1">
        <w:rPr>
          <w:lang w:val="fr-FR"/>
        </w:rPr>
        <w:t xml:space="preserve">adhésion aux instruments juridiques des Nations </w:t>
      </w:r>
      <w:r>
        <w:rPr>
          <w:lang w:val="fr-FR"/>
        </w:rPr>
        <w:t>U</w:t>
      </w:r>
      <w:r w:rsidRPr="00E919A1">
        <w:rPr>
          <w:lang w:val="fr-FR"/>
        </w:rPr>
        <w:t>nies et leur mise en œuvre effective</w:t>
      </w:r>
      <w:r>
        <w:rPr>
          <w:lang w:val="fr-FR"/>
        </w:rPr>
        <w:t> ;</w:t>
      </w:r>
      <w:r w:rsidRPr="00E919A1">
        <w:rPr>
          <w:lang w:val="fr-FR"/>
        </w:rPr>
        <w:t xml:space="preserve"> c)</w:t>
      </w:r>
      <w:r>
        <w:rPr>
          <w:lang w:val="fr-FR"/>
        </w:rPr>
        <w:t> </w:t>
      </w:r>
      <w:r w:rsidRPr="00E919A1">
        <w:rPr>
          <w:lang w:val="fr-FR"/>
        </w:rPr>
        <w:t>d</w:t>
      </w:r>
      <w:r>
        <w:rPr>
          <w:lang w:val="fr-FR"/>
        </w:rPr>
        <w:t>’</w:t>
      </w:r>
      <w:r w:rsidRPr="00E919A1">
        <w:rPr>
          <w:lang w:val="fr-FR"/>
        </w:rPr>
        <w:t>appuyer les activités menées par l</w:t>
      </w:r>
      <w:r>
        <w:rPr>
          <w:lang w:val="fr-FR"/>
        </w:rPr>
        <w:t>’</w:t>
      </w:r>
      <w:r w:rsidRPr="00E919A1">
        <w:rPr>
          <w:lang w:val="fr-FR"/>
        </w:rPr>
        <w:t>Envoyé spécial du Secrétaire général de l</w:t>
      </w:r>
      <w:r>
        <w:rPr>
          <w:lang w:val="fr-FR"/>
        </w:rPr>
        <w:t>’</w:t>
      </w:r>
      <w:r w:rsidRPr="00E919A1">
        <w:rPr>
          <w:lang w:val="fr-FR"/>
        </w:rPr>
        <w:t>ONU pour la sécurité routière pour promouvoir l</w:t>
      </w:r>
      <w:r>
        <w:rPr>
          <w:lang w:val="fr-FR"/>
        </w:rPr>
        <w:t>’</w:t>
      </w:r>
      <w:r w:rsidRPr="00E919A1">
        <w:rPr>
          <w:lang w:val="fr-FR"/>
        </w:rPr>
        <w:t>accession aux instruments juridiques mondiaux des Nations Unies relatifs à la sécurité routière</w:t>
      </w:r>
      <w:r>
        <w:rPr>
          <w:lang w:val="fr-FR"/>
        </w:rPr>
        <w:t> ;</w:t>
      </w:r>
      <w:r w:rsidRPr="00E919A1">
        <w:rPr>
          <w:lang w:val="fr-FR"/>
        </w:rPr>
        <w:t xml:space="preserve"> d) de jouer un rôle efficace en tant qu</w:t>
      </w:r>
      <w:r>
        <w:rPr>
          <w:lang w:val="fr-FR"/>
        </w:rPr>
        <w:t>’</w:t>
      </w:r>
      <w:r w:rsidRPr="00E919A1">
        <w:rPr>
          <w:lang w:val="fr-FR"/>
        </w:rPr>
        <w:t>appui à la réglementation à l</w:t>
      </w:r>
      <w:r>
        <w:rPr>
          <w:lang w:val="fr-FR"/>
        </w:rPr>
        <w:t>’</w:t>
      </w:r>
      <w:r w:rsidRPr="00E919A1">
        <w:rPr>
          <w:lang w:val="fr-FR"/>
        </w:rPr>
        <w:t>échelle internationale dans le cadre du Plan-cadre mondial pour la sécurité routière du Fonds d</w:t>
      </w:r>
      <w:r>
        <w:rPr>
          <w:lang w:val="fr-FR"/>
        </w:rPr>
        <w:t>’</w:t>
      </w:r>
      <w:r w:rsidRPr="00E919A1">
        <w:rPr>
          <w:lang w:val="fr-FR"/>
        </w:rPr>
        <w:t>affectation spéciale des Nations Unies pour la sécurité routière.</w:t>
      </w:r>
    </w:p>
    <w:p w:rsidR="008217C8" w:rsidRPr="00E919A1" w:rsidRDefault="008217C8" w:rsidP="008217C8">
      <w:pPr>
        <w:pStyle w:val="Heading1"/>
        <w:spacing w:after="120"/>
        <w:ind w:left="0"/>
        <w:rPr>
          <w:lang w:val="fr-FR"/>
        </w:rPr>
      </w:pPr>
      <w:r w:rsidRPr="00E919A1">
        <w:rPr>
          <w:lang w:val="fr-FR"/>
        </w:rPr>
        <w:t>Tableau 2</w:t>
      </w:r>
      <w:r>
        <w:rPr>
          <w:lang w:val="fr-FR"/>
        </w:rPr>
        <w:br/>
      </w:r>
      <w:r w:rsidRPr="00E11D4D">
        <w:rPr>
          <w:b/>
          <w:lang w:val="fr-FR"/>
        </w:rPr>
        <w:t xml:space="preserve">Le CTI de la CEE : un rôle moteur sur la voie de la sécurité, pour aider la communauté mondiale à atteindre </w:t>
      </w:r>
      <w:r>
        <w:rPr>
          <w:b/>
          <w:lang w:val="fr-FR"/>
        </w:rPr>
        <w:br/>
      </w:r>
      <w:r w:rsidRPr="00E11D4D">
        <w:rPr>
          <w:b/>
          <w:lang w:val="fr-FR"/>
        </w:rPr>
        <w:t>les objectifs relatifs à la sécurité routière dans le monde</w:t>
      </w:r>
      <w:r w:rsidRPr="00FF032A">
        <w:rPr>
          <w:rStyle w:val="FootnoteReference"/>
        </w:rPr>
        <w:footnoteReference w:id="5"/>
      </w:r>
    </w:p>
    <w:tbl>
      <w:tblPr>
        <w:tblW w:w="9635" w:type="dxa"/>
        <w:tblLayout w:type="fixed"/>
        <w:tblCellMar>
          <w:left w:w="0" w:type="dxa"/>
          <w:right w:w="0" w:type="dxa"/>
        </w:tblCellMar>
        <w:tblLook w:val="04A0" w:firstRow="1" w:lastRow="0" w:firstColumn="1" w:lastColumn="0" w:noHBand="0" w:noVBand="1"/>
      </w:tblPr>
      <w:tblGrid>
        <w:gridCol w:w="2148"/>
        <w:gridCol w:w="2928"/>
        <w:gridCol w:w="1055"/>
        <w:gridCol w:w="1542"/>
        <w:gridCol w:w="1129"/>
        <w:gridCol w:w="833"/>
      </w:tblGrid>
      <w:tr w:rsidR="008217C8" w:rsidRPr="00602692" w:rsidTr="00826F40">
        <w:trPr>
          <w:tblHeader/>
        </w:trPr>
        <w:tc>
          <w:tcPr>
            <w:tcW w:w="2148" w:type="dxa"/>
            <w:tcBorders>
              <w:top w:val="single" w:sz="4" w:space="0" w:color="auto"/>
              <w:bottom w:val="single" w:sz="12" w:space="0" w:color="auto"/>
            </w:tcBorders>
            <w:shd w:val="clear" w:color="auto" w:fill="auto"/>
            <w:vAlign w:val="bottom"/>
          </w:tcPr>
          <w:p w:rsidR="008217C8" w:rsidRPr="00602692" w:rsidRDefault="008217C8" w:rsidP="00826F40">
            <w:pPr>
              <w:spacing w:before="80" w:after="80" w:line="200" w:lineRule="exact"/>
              <w:ind w:right="113"/>
              <w:rPr>
                <w:bCs/>
                <w:i/>
                <w:sz w:val="16"/>
              </w:rPr>
            </w:pPr>
            <w:r w:rsidRPr="00602692">
              <w:rPr>
                <w:i/>
                <w:sz w:val="16"/>
                <w:lang w:val="fr-FR"/>
              </w:rPr>
              <w:t>Type d’engagement</w:t>
            </w:r>
          </w:p>
        </w:tc>
        <w:tc>
          <w:tcPr>
            <w:tcW w:w="2928" w:type="dxa"/>
            <w:tcBorders>
              <w:top w:val="single" w:sz="4" w:space="0" w:color="auto"/>
              <w:bottom w:val="single" w:sz="12" w:space="0" w:color="auto"/>
            </w:tcBorders>
            <w:shd w:val="clear" w:color="auto" w:fill="auto"/>
            <w:vAlign w:val="bottom"/>
          </w:tcPr>
          <w:p w:rsidR="008217C8" w:rsidRPr="00602692" w:rsidRDefault="008217C8" w:rsidP="00826F40">
            <w:pPr>
              <w:spacing w:before="80" w:after="80" w:line="200" w:lineRule="exact"/>
              <w:ind w:right="113"/>
              <w:rPr>
                <w:bCs/>
                <w:i/>
                <w:sz w:val="16"/>
                <w:lang w:val="fr-FR"/>
              </w:rPr>
            </w:pPr>
            <w:r w:rsidRPr="00602692">
              <w:rPr>
                <w:i/>
                <w:sz w:val="16"/>
                <w:lang w:val="fr-FR"/>
              </w:rPr>
              <w:t>Compétences/atouts fondamentaux</w:t>
            </w:r>
            <w:r>
              <w:rPr>
                <w:i/>
                <w:sz w:val="16"/>
                <w:lang w:val="fr-FR"/>
              </w:rPr>
              <w:br/>
            </w:r>
            <w:r w:rsidRPr="00602692">
              <w:rPr>
                <w:i/>
                <w:sz w:val="16"/>
                <w:lang w:val="fr-FR"/>
              </w:rPr>
              <w:t xml:space="preserve"> du CTI/CEE</w:t>
            </w:r>
          </w:p>
        </w:tc>
        <w:tc>
          <w:tcPr>
            <w:tcW w:w="1055" w:type="dxa"/>
            <w:tcBorders>
              <w:top w:val="single" w:sz="4" w:space="0" w:color="auto"/>
              <w:bottom w:val="single" w:sz="12" w:space="0" w:color="auto"/>
            </w:tcBorders>
            <w:shd w:val="clear" w:color="auto" w:fill="auto"/>
            <w:vAlign w:val="bottom"/>
          </w:tcPr>
          <w:p w:rsidR="008217C8" w:rsidRPr="00602692" w:rsidRDefault="008217C8" w:rsidP="00826F40">
            <w:pPr>
              <w:spacing w:before="80" w:after="80" w:line="200" w:lineRule="exact"/>
              <w:ind w:right="113"/>
              <w:rPr>
                <w:bCs/>
                <w:i/>
                <w:sz w:val="16"/>
              </w:rPr>
            </w:pPr>
            <w:r w:rsidRPr="00602692">
              <w:rPr>
                <w:i/>
                <w:sz w:val="16"/>
                <w:lang w:val="fr-FR"/>
              </w:rPr>
              <w:t>Portée</w:t>
            </w:r>
          </w:p>
        </w:tc>
        <w:tc>
          <w:tcPr>
            <w:tcW w:w="1542" w:type="dxa"/>
            <w:tcBorders>
              <w:top w:val="single" w:sz="4" w:space="0" w:color="auto"/>
              <w:bottom w:val="single" w:sz="12" w:space="0" w:color="auto"/>
            </w:tcBorders>
            <w:shd w:val="clear" w:color="auto" w:fill="auto"/>
            <w:vAlign w:val="bottom"/>
          </w:tcPr>
          <w:p w:rsidR="008217C8" w:rsidRPr="00602692" w:rsidRDefault="008217C8" w:rsidP="00826F40">
            <w:pPr>
              <w:spacing w:before="80" w:after="80" w:line="200" w:lineRule="exact"/>
              <w:ind w:right="113"/>
              <w:rPr>
                <w:bCs/>
                <w:i/>
                <w:sz w:val="16"/>
                <w:lang w:val="fr-FR"/>
              </w:rPr>
            </w:pPr>
            <w:r w:rsidRPr="00602692">
              <w:rPr>
                <w:i/>
                <w:sz w:val="16"/>
                <w:lang w:val="fr-FR"/>
              </w:rPr>
              <w:t xml:space="preserve">Concerne </w:t>
            </w:r>
            <w:r>
              <w:rPr>
                <w:i/>
                <w:sz w:val="16"/>
                <w:lang w:val="fr-FR"/>
              </w:rPr>
              <w:br/>
            </w:r>
            <w:r w:rsidRPr="00602692">
              <w:rPr>
                <w:i/>
                <w:sz w:val="16"/>
                <w:lang w:val="fr-FR"/>
              </w:rPr>
              <w:t>les ODD et les cibles volontaires à l’échelle mondiale et indicateurs associés</w:t>
            </w:r>
          </w:p>
        </w:tc>
        <w:tc>
          <w:tcPr>
            <w:tcW w:w="1129" w:type="dxa"/>
            <w:tcBorders>
              <w:top w:val="single" w:sz="4" w:space="0" w:color="auto"/>
              <w:bottom w:val="single" w:sz="12" w:space="0" w:color="auto"/>
            </w:tcBorders>
            <w:shd w:val="clear" w:color="auto" w:fill="auto"/>
            <w:vAlign w:val="bottom"/>
          </w:tcPr>
          <w:p w:rsidR="008217C8" w:rsidRPr="00602692" w:rsidRDefault="008217C8" w:rsidP="00826F40">
            <w:pPr>
              <w:spacing w:before="80" w:after="80" w:line="200" w:lineRule="exact"/>
              <w:ind w:right="113"/>
              <w:rPr>
                <w:bCs/>
                <w:i/>
                <w:sz w:val="16"/>
                <w:lang w:val="fr-FR"/>
              </w:rPr>
            </w:pPr>
            <w:r w:rsidRPr="00602692">
              <w:rPr>
                <w:i/>
                <w:sz w:val="16"/>
                <w:lang w:val="fr-FR"/>
              </w:rPr>
              <w:t>Volets de la Décennie d’action concernés</w:t>
            </w:r>
          </w:p>
        </w:tc>
        <w:tc>
          <w:tcPr>
            <w:tcW w:w="833" w:type="dxa"/>
            <w:tcBorders>
              <w:top w:val="single" w:sz="4" w:space="0" w:color="auto"/>
              <w:bottom w:val="single" w:sz="12" w:space="0" w:color="auto"/>
            </w:tcBorders>
            <w:shd w:val="clear" w:color="auto" w:fill="auto"/>
            <w:vAlign w:val="bottom"/>
          </w:tcPr>
          <w:p w:rsidR="008217C8" w:rsidRPr="00602692" w:rsidRDefault="008217C8" w:rsidP="00826F40">
            <w:pPr>
              <w:spacing w:before="80" w:after="80" w:line="200" w:lineRule="exact"/>
              <w:ind w:right="113"/>
              <w:rPr>
                <w:bCs/>
                <w:i/>
                <w:sz w:val="16"/>
              </w:rPr>
            </w:pPr>
            <w:r w:rsidRPr="00602692">
              <w:rPr>
                <w:i/>
                <w:sz w:val="16"/>
                <w:lang w:val="fr-FR"/>
              </w:rPr>
              <w:t xml:space="preserve">Budget indicatif (BO/FE) </w:t>
            </w:r>
          </w:p>
        </w:tc>
      </w:tr>
      <w:tr w:rsidR="008217C8" w:rsidRPr="00602692" w:rsidTr="00826F40">
        <w:trPr>
          <w:trHeight w:hRule="exact" w:val="113"/>
          <w:tblHeader/>
        </w:trPr>
        <w:tc>
          <w:tcPr>
            <w:tcW w:w="2148" w:type="dxa"/>
            <w:tcBorders>
              <w:top w:val="single" w:sz="12" w:space="0" w:color="auto"/>
            </w:tcBorders>
            <w:shd w:val="clear" w:color="auto" w:fill="auto"/>
          </w:tcPr>
          <w:p w:rsidR="008217C8" w:rsidRPr="00602692" w:rsidRDefault="008217C8" w:rsidP="00826F40">
            <w:pPr>
              <w:spacing w:before="40" w:after="120"/>
              <w:ind w:right="113"/>
              <w:rPr>
                <w:lang w:val="fr-FR"/>
              </w:rPr>
            </w:pPr>
          </w:p>
        </w:tc>
        <w:tc>
          <w:tcPr>
            <w:tcW w:w="2928" w:type="dxa"/>
            <w:tcBorders>
              <w:top w:val="single" w:sz="12" w:space="0" w:color="auto"/>
            </w:tcBorders>
            <w:shd w:val="clear" w:color="auto" w:fill="auto"/>
          </w:tcPr>
          <w:p w:rsidR="008217C8" w:rsidRPr="00602692" w:rsidRDefault="008217C8" w:rsidP="00826F40">
            <w:pPr>
              <w:spacing w:before="40" w:after="120"/>
              <w:ind w:right="113"/>
              <w:rPr>
                <w:lang w:val="fr-FR"/>
              </w:rPr>
            </w:pPr>
          </w:p>
        </w:tc>
        <w:tc>
          <w:tcPr>
            <w:tcW w:w="1055" w:type="dxa"/>
            <w:tcBorders>
              <w:top w:val="single" w:sz="12" w:space="0" w:color="auto"/>
            </w:tcBorders>
            <w:shd w:val="clear" w:color="auto" w:fill="auto"/>
          </w:tcPr>
          <w:p w:rsidR="008217C8" w:rsidRPr="00602692" w:rsidRDefault="008217C8" w:rsidP="00826F40">
            <w:pPr>
              <w:spacing w:before="40" w:after="120"/>
              <w:ind w:right="113"/>
              <w:rPr>
                <w:lang w:val="fr-FR"/>
              </w:rPr>
            </w:pPr>
          </w:p>
        </w:tc>
        <w:tc>
          <w:tcPr>
            <w:tcW w:w="1542" w:type="dxa"/>
            <w:tcBorders>
              <w:top w:val="single" w:sz="12" w:space="0" w:color="auto"/>
            </w:tcBorders>
            <w:shd w:val="clear" w:color="auto" w:fill="auto"/>
          </w:tcPr>
          <w:p w:rsidR="008217C8" w:rsidRPr="00602692" w:rsidRDefault="008217C8" w:rsidP="00826F40">
            <w:pPr>
              <w:spacing w:before="40" w:after="120"/>
              <w:ind w:right="113"/>
              <w:rPr>
                <w:lang w:val="fr-FR"/>
              </w:rPr>
            </w:pPr>
          </w:p>
        </w:tc>
        <w:tc>
          <w:tcPr>
            <w:tcW w:w="1129" w:type="dxa"/>
            <w:tcBorders>
              <w:top w:val="single" w:sz="12" w:space="0" w:color="auto"/>
            </w:tcBorders>
            <w:shd w:val="clear" w:color="auto" w:fill="auto"/>
          </w:tcPr>
          <w:p w:rsidR="008217C8" w:rsidRPr="00602692" w:rsidRDefault="008217C8" w:rsidP="00826F40">
            <w:pPr>
              <w:spacing w:before="40" w:after="120"/>
              <w:ind w:right="113"/>
              <w:rPr>
                <w:lang w:val="fr-FR"/>
              </w:rPr>
            </w:pPr>
          </w:p>
        </w:tc>
        <w:tc>
          <w:tcPr>
            <w:tcW w:w="833" w:type="dxa"/>
            <w:tcBorders>
              <w:top w:val="single" w:sz="12" w:space="0" w:color="auto"/>
            </w:tcBorders>
            <w:shd w:val="clear" w:color="auto" w:fill="auto"/>
          </w:tcPr>
          <w:p w:rsidR="008217C8" w:rsidRPr="00602692" w:rsidRDefault="008217C8" w:rsidP="00826F40">
            <w:pPr>
              <w:spacing w:before="40" w:after="120"/>
              <w:ind w:right="113"/>
              <w:rPr>
                <w:lang w:val="fr-FR"/>
              </w:rPr>
            </w:pPr>
          </w:p>
        </w:tc>
      </w:tr>
      <w:tr w:rsidR="008217C8" w:rsidRPr="00602692" w:rsidTr="00826F40">
        <w:tc>
          <w:tcPr>
            <w:tcW w:w="2148" w:type="dxa"/>
            <w:shd w:val="clear" w:color="auto" w:fill="auto"/>
          </w:tcPr>
          <w:p w:rsidR="008217C8" w:rsidRPr="00602692" w:rsidRDefault="008217C8" w:rsidP="00826F40">
            <w:pPr>
              <w:spacing w:before="40" w:after="120"/>
              <w:ind w:right="113"/>
              <w:rPr>
                <w:lang w:val="fr-FR"/>
              </w:rPr>
            </w:pPr>
            <w:r w:rsidRPr="00602692">
              <w:rPr>
                <w:lang w:val="fr-FR"/>
              </w:rPr>
              <w:t xml:space="preserve">Résolution 72/271 de l’Assemblée générale </w:t>
            </w:r>
            <w:r>
              <w:rPr>
                <w:lang w:val="fr-FR"/>
              </w:rPr>
              <w:br/>
            </w:r>
            <w:r w:rsidRPr="00602692">
              <w:rPr>
                <w:lang w:val="fr-FR"/>
              </w:rPr>
              <w:t>et autres résolutions biennales sur la sécurité routière</w:t>
            </w:r>
          </w:p>
        </w:tc>
        <w:tc>
          <w:tcPr>
            <w:tcW w:w="2928" w:type="dxa"/>
            <w:shd w:val="clear" w:color="auto" w:fill="auto"/>
          </w:tcPr>
          <w:p w:rsidR="008217C8" w:rsidRPr="00602692" w:rsidRDefault="008217C8" w:rsidP="00826F40">
            <w:pPr>
              <w:spacing w:before="40" w:after="120"/>
              <w:ind w:right="113"/>
              <w:rPr>
                <w:b/>
                <w:bCs/>
                <w:lang w:val="fr-FR"/>
              </w:rPr>
            </w:pPr>
            <w:r w:rsidRPr="00602692">
              <w:rPr>
                <w:b/>
                <w:bCs/>
                <w:lang w:val="fr-FR"/>
              </w:rPr>
              <w:t>Conventions des Nations Unies intéressant la sécurité routière</w:t>
            </w:r>
          </w:p>
        </w:tc>
        <w:tc>
          <w:tcPr>
            <w:tcW w:w="1055" w:type="dxa"/>
            <w:shd w:val="clear" w:color="auto" w:fill="auto"/>
          </w:tcPr>
          <w:p w:rsidR="008217C8" w:rsidRPr="00602692" w:rsidRDefault="008217C8" w:rsidP="00826F40">
            <w:pPr>
              <w:spacing w:before="40" w:after="120"/>
              <w:ind w:right="113"/>
            </w:pPr>
            <w:r w:rsidRPr="00602692">
              <w:rPr>
                <w:lang w:val="fr-FR"/>
              </w:rPr>
              <w:t>Mondiale</w:t>
            </w:r>
          </w:p>
        </w:tc>
        <w:tc>
          <w:tcPr>
            <w:tcW w:w="1542" w:type="dxa"/>
            <w:shd w:val="clear" w:color="auto" w:fill="auto"/>
          </w:tcPr>
          <w:p w:rsidR="008217C8" w:rsidRPr="00602692" w:rsidRDefault="008217C8" w:rsidP="00826F40">
            <w:pPr>
              <w:spacing w:before="40" w:after="120"/>
              <w:ind w:right="113"/>
              <w:rPr>
                <w:lang w:val="fr-FR"/>
              </w:rPr>
            </w:pPr>
            <w:r w:rsidRPr="00602692">
              <w:rPr>
                <w:lang w:val="fr-FR"/>
              </w:rPr>
              <w:t>ODD 3.6 et</w:t>
            </w:r>
            <w:r>
              <w:rPr>
                <w:lang w:val="fr-FR"/>
              </w:rPr>
              <w:t> </w:t>
            </w:r>
            <w:r w:rsidRPr="00602692">
              <w:rPr>
                <w:lang w:val="fr-FR"/>
              </w:rPr>
              <w:t>11.2</w:t>
            </w:r>
          </w:p>
          <w:p w:rsidR="008217C8" w:rsidRPr="00602692" w:rsidRDefault="008217C8" w:rsidP="00826F40">
            <w:pPr>
              <w:spacing w:before="40" w:after="120"/>
              <w:ind w:right="113"/>
              <w:rPr>
                <w:lang w:val="fr-FR"/>
              </w:rPr>
            </w:pPr>
            <w:r w:rsidRPr="00602692">
              <w:rPr>
                <w:lang w:val="fr-FR"/>
              </w:rPr>
              <w:t>Cibles volontaires et indicateurs associés (CV) : 2</w:t>
            </w:r>
            <w:r>
              <w:rPr>
                <w:lang w:val="fr-FR"/>
              </w:rPr>
              <w:t> </w:t>
            </w:r>
            <w:r w:rsidRPr="00602692">
              <w:rPr>
                <w:lang w:val="fr-FR"/>
              </w:rPr>
              <w:t>à 10</w:t>
            </w:r>
          </w:p>
        </w:tc>
        <w:tc>
          <w:tcPr>
            <w:tcW w:w="1129" w:type="dxa"/>
            <w:shd w:val="clear" w:color="auto" w:fill="auto"/>
          </w:tcPr>
          <w:p w:rsidR="008217C8" w:rsidRPr="00602692" w:rsidRDefault="008217C8" w:rsidP="00826F40">
            <w:pPr>
              <w:spacing w:before="40" w:after="120"/>
              <w:ind w:right="113"/>
            </w:pPr>
            <w:r w:rsidRPr="00602692">
              <w:rPr>
                <w:lang w:val="fr-FR"/>
              </w:rPr>
              <w:t>Volets 1 à 4</w:t>
            </w:r>
          </w:p>
        </w:tc>
        <w:tc>
          <w:tcPr>
            <w:tcW w:w="833" w:type="dxa"/>
            <w:shd w:val="clear" w:color="auto" w:fill="auto"/>
          </w:tcPr>
          <w:p w:rsidR="008217C8" w:rsidRPr="00602692" w:rsidRDefault="008217C8" w:rsidP="00826F40">
            <w:pPr>
              <w:spacing w:before="40" w:after="120"/>
              <w:ind w:right="113"/>
            </w:pPr>
            <w:r w:rsidRPr="00602692">
              <w:rPr>
                <w:lang w:val="fr-FR"/>
              </w:rPr>
              <w:t>BO et FE</w:t>
            </w:r>
          </w:p>
        </w:tc>
      </w:tr>
      <w:tr w:rsidR="008217C8" w:rsidRPr="00602692" w:rsidTr="00826F40">
        <w:tc>
          <w:tcPr>
            <w:tcW w:w="2148" w:type="dxa"/>
            <w:shd w:val="clear" w:color="auto" w:fill="auto"/>
          </w:tcPr>
          <w:p w:rsidR="008217C8" w:rsidRPr="00602692" w:rsidRDefault="008217C8" w:rsidP="00826F40">
            <w:pPr>
              <w:spacing w:before="40" w:after="120"/>
              <w:ind w:right="113"/>
              <w:rPr>
                <w:lang w:val="fr-FR"/>
              </w:rPr>
            </w:pPr>
            <w:r w:rsidRPr="00602692">
              <w:rPr>
                <w:lang w:val="fr-FR"/>
              </w:rPr>
              <w:t>Réglementaire/</w:t>
            </w:r>
            <w:r>
              <w:rPr>
                <w:lang w:val="fr-FR"/>
              </w:rPr>
              <w:br/>
            </w:r>
            <w:r w:rsidRPr="00602692">
              <w:rPr>
                <w:lang w:val="fr-FR"/>
              </w:rPr>
              <w:t>Institutionnel</w:t>
            </w:r>
          </w:p>
        </w:tc>
        <w:tc>
          <w:tcPr>
            <w:tcW w:w="2928" w:type="dxa"/>
            <w:shd w:val="clear" w:color="auto" w:fill="auto"/>
          </w:tcPr>
          <w:p w:rsidR="008217C8" w:rsidRPr="00AE17C9" w:rsidRDefault="008217C8" w:rsidP="00826F40">
            <w:pPr>
              <w:spacing w:before="40" w:after="100"/>
              <w:ind w:right="113"/>
              <w:rPr>
                <w:lang w:val="fr-FR"/>
              </w:rPr>
            </w:pPr>
            <w:r w:rsidRPr="00602692">
              <w:rPr>
                <w:b/>
                <w:bCs/>
                <w:lang w:val="fr-FR"/>
              </w:rPr>
              <w:t xml:space="preserve">Principales </w:t>
            </w:r>
            <w:r>
              <w:rPr>
                <w:b/>
                <w:bCs/>
                <w:lang w:val="fr-FR"/>
              </w:rPr>
              <w:t>Conventions des Nations Unies</w:t>
            </w:r>
            <w:r w:rsidRPr="00602692">
              <w:rPr>
                <w:b/>
                <w:bCs/>
                <w:lang w:val="fr-FR"/>
              </w:rPr>
              <w:t xml:space="preserve"> relatives </w:t>
            </w:r>
            <w:r>
              <w:rPr>
                <w:b/>
                <w:bCs/>
                <w:lang w:val="fr-FR"/>
              </w:rPr>
              <w:br/>
            </w:r>
            <w:r w:rsidRPr="00602692">
              <w:rPr>
                <w:b/>
                <w:bCs/>
                <w:lang w:val="fr-FR"/>
              </w:rPr>
              <w:t xml:space="preserve">à la sécurité routière </w:t>
            </w:r>
            <w:r>
              <w:rPr>
                <w:b/>
                <w:bCs/>
                <w:lang w:val="fr-FR"/>
              </w:rPr>
              <w:br/>
            </w:r>
            <w:r w:rsidRPr="00602692">
              <w:rPr>
                <w:b/>
                <w:bCs/>
                <w:lang w:val="fr-FR"/>
              </w:rPr>
              <w:t>et résolutions d’ensemble connexe</w:t>
            </w:r>
            <w:r>
              <w:rPr>
                <w:b/>
                <w:bCs/>
                <w:lang w:val="fr-FR"/>
              </w:rPr>
              <w:t>s</w:t>
            </w:r>
          </w:p>
        </w:tc>
        <w:tc>
          <w:tcPr>
            <w:tcW w:w="1055" w:type="dxa"/>
            <w:shd w:val="clear" w:color="auto" w:fill="auto"/>
          </w:tcPr>
          <w:p w:rsidR="008217C8" w:rsidRPr="00602692" w:rsidRDefault="008217C8" w:rsidP="00826F40">
            <w:pPr>
              <w:spacing w:before="40" w:after="120"/>
              <w:ind w:right="113"/>
              <w:rPr>
                <w:lang w:val="fr-FR"/>
              </w:rPr>
            </w:pPr>
            <w:r w:rsidRPr="00602692">
              <w:rPr>
                <w:lang w:val="fr-FR"/>
              </w:rPr>
              <w:t>Mondiale</w:t>
            </w:r>
          </w:p>
        </w:tc>
        <w:tc>
          <w:tcPr>
            <w:tcW w:w="1542" w:type="dxa"/>
            <w:shd w:val="clear" w:color="auto" w:fill="auto"/>
          </w:tcPr>
          <w:p w:rsidR="008217C8" w:rsidRPr="00602692" w:rsidRDefault="008217C8" w:rsidP="00826F40">
            <w:pPr>
              <w:spacing w:before="40" w:after="120"/>
              <w:ind w:right="113"/>
              <w:rPr>
                <w:lang w:val="fr-FR"/>
              </w:rPr>
            </w:pPr>
            <w:r w:rsidRPr="00602692">
              <w:rPr>
                <w:lang w:val="fr-FR"/>
              </w:rPr>
              <w:t>ODD 3.6 et</w:t>
            </w:r>
            <w:r>
              <w:rPr>
                <w:lang w:val="fr-FR"/>
              </w:rPr>
              <w:t> </w:t>
            </w:r>
            <w:r w:rsidRPr="00602692">
              <w:rPr>
                <w:lang w:val="fr-FR"/>
              </w:rPr>
              <w:t>11.2</w:t>
            </w:r>
          </w:p>
        </w:tc>
        <w:tc>
          <w:tcPr>
            <w:tcW w:w="1129" w:type="dxa"/>
            <w:shd w:val="clear" w:color="auto" w:fill="auto"/>
          </w:tcPr>
          <w:p w:rsidR="008217C8" w:rsidRPr="00602692" w:rsidRDefault="008217C8" w:rsidP="00826F40">
            <w:pPr>
              <w:spacing w:before="40" w:after="120"/>
              <w:ind w:right="113"/>
              <w:rPr>
                <w:lang w:val="fr-FR"/>
              </w:rPr>
            </w:pPr>
            <w:r w:rsidRPr="00602692">
              <w:rPr>
                <w:lang w:val="fr-FR"/>
              </w:rPr>
              <w:t>Volets 1 à 4</w:t>
            </w:r>
          </w:p>
        </w:tc>
        <w:tc>
          <w:tcPr>
            <w:tcW w:w="833" w:type="dxa"/>
            <w:shd w:val="clear" w:color="auto" w:fill="auto"/>
          </w:tcPr>
          <w:p w:rsidR="008217C8" w:rsidRPr="00602692" w:rsidRDefault="008217C8" w:rsidP="00826F40">
            <w:pPr>
              <w:spacing w:before="40" w:after="120"/>
              <w:ind w:right="113"/>
              <w:rPr>
                <w:lang w:val="fr-FR"/>
              </w:rPr>
            </w:pPr>
            <w:r w:rsidRPr="00602692">
              <w:rPr>
                <w:lang w:val="fr-FR"/>
              </w:rPr>
              <w:t>BO</w:t>
            </w:r>
          </w:p>
        </w:tc>
      </w:tr>
      <w:tr w:rsidR="008217C8" w:rsidRPr="00602692" w:rsidTr="00826F40">
        <w:tc>
          <w:tcPr>
            <w:tcW w:w="2148" w:type="dxa"/>
            <w:vMerge w:val="restart"/>
            <w:shd w:val="clear" w:color="auto" w:fill="auto"/>
          </w:tcPr>
          <w:p w:rsidR="008217C8" w:rsidRPr="00602692" w:rsidRDefault="008217C8" w:rsidP="00826F40">
            <w:pPr>
              <w:spacing w:before="40" w:after="120"/>
              <w:ind w:right="113"/>
              <w:rPr>
                <w:lang w:val="fr-FR"/>
              </w:rPr>
            </w:pPr>
            <w:r w:rsidRPr="00602692">
              <w:rPr>
                <w:lang w:val="fr-FR"/>
              </w:rPr>
              <w:t>Conventions/</w:t>
            </w:r>
            <w:r>
              <w:rPr>
                <w:lang w:val="fr-FR"/>
              </w:rPr>
              <w:br/>
            </w:r>
            <w:r w:rsidRPr="00602692">
              <w:rPr>
                <w:lang w:val="fr-FR"/>
              </w:rPr>
              <w:t>Accords/</w:t>
            </w:r>
          </w:p>
          <w:p w:rsidR="008217C8" w:rsidRPr="00602692" w:rsidRDefault="008217C8" w:rsidP="00826F40">
            <w:pPr>
              <w:spacing w:before="40" w:after="120"/>
              <w:ind w:right="113"/>
              <w:rPr>
                <w:lang w:val="fr-FR"/>
              </w:rPr>
            </w:pPr>
            <w:r w:rsidRPr="00602692">
              <w:rPr>
                <w:lang w:val="fr-FR"/>
              </w:rPr>
              <w:t xml:space="preserve">Normes/ Recommandations </w:t>
            </w:r>
          </w:p>
          <w:p w:rsidR="008217C8" w:rsidRPr="00602692" w:rsidRDefault="008217C8" w:rsidP="00826F40">
            <w:pPr>
              <w:spacing w:before="40" w:after="120"/>
              <w:ind w:right="113"/>
            </w:pPr>
            <w:r w:rsidRPr="00602692">
              <w:rPr>
                <w:lang w:val="fr-FR"/>
              </w:rPr>
              <w:t>Règlements/Règles/ Résolutions</w:t>
            </w:r>
          </w:p>
        </w:tc>
        <w:tc>
          <w:tcPr>
            <w:tcW w:w="2928" w:type="dxa"/>
            <w:shd w:val="clear" w:color="auto" w:fill="auto"/>
          </w:tcPr>
          <w:p w:rsidR="008217C8" w:rsidRPr="00602692" w:rsidRDefault="008217C8" w:rsidP="00826F40">
            <w:pPr>
              <w:spacing w:before="40" w:after="100"/>
              <w:ind w:right="113"/>
              <w:rPr>
                <w:lang w:val="fr-FR"/>
              </w:rPr>
            </w:pPr>
            <w:r w:rsidRPr="00602692">
              <w:rPr>
                <w:lang w:val="fr-FR"/>
              </w:rPr>
              <w:t>Convention de 1949 sur la circulation routière</w:t>
            </w:r>
          </w:p>
          <w:p w:rsidR="008217C8" w:rsidRPr="00602692" w:rsidRDefault="008217C8" w:rsidP="00826F40">
            <w:pPr>
              <w:spacing w:before="40" w:after="100"/>
              <w:ind w:right="113"/>
              <w:rPr>
                <w:lang w:val="fr-FR"/>
              </w:rPr>
            </w:pPr>
            <w:r w:rsidRPr="00602692">
              <w:rPr>
                <w:lang w:val="fr-FR"/>
              </w:rPr>
              <w:t>Convention de 1968 sur la circulation routière</w:t>
            </w:r>
          </w:p>
          <w:p w:rsidR="008217C8" w:rsidRPr="00602692" w:rsidRDefault="008217C8" w:rsidP="00826F40">
            <w:pPr>
              <w:spacing w:before="40" w:after="100"/>
              <w:ind w:right="113"/>
              <w:rPr>
                <w:lang w:val="fr-FR"/>
              </w:rPr>
            </w:pPr>
            <w:r w:rsidRPr="00602692">
              <w:rPr>
                <w:lang w:val="fr-FR"/>
              </w:rPr>
              <w:t>Convention de 1968 sur la signalisation routière</w:t>
            </w:r>
          </w:p>
          <w:p w:rsidR="008217C8" w:rsidRPr="00602692" w:rsidRDefault="008217C8" w:rsidP="00826F40">
            <w:pPr>
              <w:spacing w:before="40" w:after="100"/>
              <w:ind w:right="113"/>
              <w:rPr>
                <w:lang w:val="fr-FR"/>
              </w:rPr>
            </w:pPr>
            <w:r w:rsidRPr="00602692">
              <w:rPr>
                <w:lang w:val="fr-FR"/>
              </w:rPr>
              <w:t xml:space="preserve">Accord de 1958 </w:t>
            </w:r>
            <w:r>
              <w:rPr>
                <w:lang w:val="fr-FR"/>
              </w:rPr>
              <w:t>−</w:t>
            </w:r>
            <w:r w:rsidRPr="00602692">
              <w:rPr>
                <w:lang w:val="fr-FR"/>
              </w:rPr>
              <w:t xml:space="preserve"> Règlements ONU concernant l’homologation de type des véhicules</w:t>
            </w:r>
          </w:p>
          <w:p w:rsidR="008217C8" w:rsidRPr="00602692" w:rsidRDefault="008217C8" w:rsidP="00826F40">
            <w:pPr>
              <w:spacing w:before="40" w:after="100"/>
              <w:ind w:right="113"/>
              <w:rPr>
                <w:lang w:val="fr-FR"/>
              </w:rPr>
            </w:pPr>
            <w:r w:rsidRPr="00602692">
              <w:rPr>
                <w:lang w:val="fr-FR"/>
              </w:rPr>
              <w:t>Accord de 1997 sur les contrôles techniques périodiques </w:t>
            </w:r>
          </w:p>
          <w:p w:rsidR="008217C8" w:rsidRPr="00602692" w:rsidRDefault="008217C8" w:rsidP="00826F40">
            <w:pPr>
              <w:spacing w:before="40" w:after="100"/>
              <w:ind w:right="113"/>
              <w:rPr>
                <w:lang w:val="fr-FR"/>
              </w:rPr>
            </w:pPr>
            <w:r w:rsidRPr="00602692">
              <w:rPr>
                <w:lang w:val="fr-FR"/>
              </w:rPr>
              <w:t xml:space="preserve">Accord de 1998 </w:t>
            </w:r>
            <w:r>
              <w:rPr>
                <w:lang w:val="fr-FR"/>
              </w:rPr>
              <w:t>−</w:t>
            </w:r>
            <w:r w:rsidRPr="00602692">
              <w:rPr>
                <w:lang w:val="fr-FR"/>
              </w:rPr>
              <w:t xml:space="preserve"> Règlements techniques mondiaux ONU concernant la construction des véhicules</w:t>
            </w:r>
          </w:p>
        </w:tc>
        <w:tc>
          <w:tcPr>
            <w:tcW w:w="1055" w:type="dxa"/>
            <w:shd w:val="clear" w:color="auto" w:fill="auto"/>
          </w:tcPr>
          <w:p w:rsidR="008217C8" w:rsidRPr="00602692" w:rsidRDefault="008217C8" w:rsidP="00826F40">
            <w:pPr>
              <w:spacing w:before="40" w:after="120"/>
              <w:ind w:right="113"/>
            </w:pPr>
          </w:p>
        </w:tc>
        <w:tc>
          <w:tcPr>
            <w:tcW w:w="1542" w:type="dxa"/>
            <w:shd w:val="clear" w:color="auto" w:fill="auto"/>
          </w:tcPr>
          <w:p w:rsidR="008217C8" w:rsidRPr="00602692" w:rsidRDefault="008217C8" w:rsidP="00826F40">
            <w:pPr>
              <w:spacing w:before="40" w:after="120"/>
              <w:ind w:right="113"/>
              <w:rPr>
                <w:lang w:val="fr-FR"/>
              </w:rPr>
            </w:pPr>
            <w:r w:rsidRPr="00602692">
              <w:rPr>
                <w:lang w:val="fr-FR"/>
              </w:rPr>
              <w:t>Cibles volontaires et</w:t>
            </w:r>
            <w:r>
              <w:rPr>
                <w:lang w:val="fr-FR"/>
              </w:rPr>
              <w:t> </w:t>
            </w:r>
            <w:r w:rsidRPr="00602692">
              <w:rPr>
                <w:lang w:val="fr-FR"/>
              </w:rPr>
              <w:t>indicateurs associés (CV) : 2</w:t>
            </w:r>
            <w:r>
              <w:rPr>
                <w:lang w:val="fr-FR"/>
              </w:rPr>
              <w:t> </w:t>
            </w:r>
            <w:r w:rsidRPr="00602692">
              <w:rPr>
                <w:lang w:val="fr-FR"/>
              </w:rPr>
              <w:t>à 10</w:t>
            </w:r>
          </w:p>
        </w:tc>
        <w:tc>
          <w:tcPr>
            <w:tcW w:w="1129" w:type="dxa"/>
            <w:shd w:val="clear" w:color="auto" w:fill="auto"/>
          </w:tcPr>
          <w:p w:rsidR="008217C8" w:rsidRPr="00602692" w:rsidRDefault="008217C8" w:rsidP="00826F40">
            <w:pPr>
              <w:spacing w:before="40" w:after="120"/>
              <w:ind w:right="113"/>
            </w:pPr>
          </w:p>
        </w:tc>
        <w:tc>
          <w:tcPr>
            <w:tcW w:w="833" w:type="dxa"/>
            <w:shd w:val="clear" w:color="auto" w:fill="auto"/>
          </w:tcPr>
          <w:p w:rsidR="008217C8" w:rsidRPr="00602692" w:rsidRDefault="008217C8" w:rsidP="00826F40">
            <w:pPr>
              <w:spacing w:before="40" w:after="120"/>
              <w:ind w:right="113"/>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00"/>
              <w:ind w:right="113"/>
              <w:rPr>
                <w:lang w:val="fr-FR"/>
              </w:rPr>
            </w:pPr>
            <w:r w:rsidRPr="00602692">
              <w:rPr>
                <w:lang w:val="fr-FR"/>
              </w:rPr>
              <w:t>Accord européen de 1957 relatif au transport international des marchandises dangereuses par route</w:t>
            </w:r>
          </w:p>
        </w:tc>
        <w:tc>
          <w:tcPr>
            <w:tcW w:w="1055" w:type="dxa"/>
            <w:shd w:val="clear" w:color="auto" w:fill="auto"/>
          </w:tcPr>
          <w:p w:rsidR="008217C8" w:rsidRPr="00602692" w:rsidRDefault="008217C8" w:rsidP="00826F40">
            <w:pPr>
              <w:spacing w:before="40" w:after="120"/>
              <w:ind w:right="113"/>
            </w:pPr>
            <w:r w:rsidRPr="00602692">
              <w:rPr>
                <w:lang w:val="fr-FR"/>
              </w:rPr>
              <w:t>Mondiale</w:t>
            </w:r>
            <w:r>
              <w:rPr>
                <w:lang w:val="fr-FR"/>
              </w:rPr>
              <w:t>/</w:t>
            </w:r>
            <w:r>
              <w:rPr>
                <w:lang w:val="fr-FR"/>
              </w:rPr>
              <w:br/>
            </w:r>
            <w:r w:rsidRPr="00602692">
              <w:rPr>
                <w:lang w:val="fr-FR"/>
              </w:rPr>
              <w:t>Régionale</w:t>
            </w:r>
          </w:p>
        </w:tc>
        <w:tc>
          <w:tcPr>
            <w:tcW w:w="1542" w:type="dxa"/>
            <w:shd w:val="clear" w:color="auto" w:fill="auto"/>
          </w:tcPr>
          <w:p w:rsidR="008217C8" w:rsidRPr="00602692" w:rsidRDefault="008217C8" w:rsidP="00826F40">
            <w:pPr>
              <w:spacing w:before="40" w:after="120"/>
              <w:ind w:right="113"/>
            </w:pPr>
          </w:p>
        </w:tc>
        <w:tc>
          <w:tcPr>
            <w:tcW w:w="1129" w:type="dxa"/>
            <w:shd w:val="clear" w:color="auto" w:fill="auto"/>
          </w:tcPr>
          <w:p w:rsidR="008217C8" w:rsidRPr="00602692" w:rsidRDefault="008217C8" w:rsidP="00826F40">
            <w:pPr>
              <w:spacing w:before="40" w:after="120"/>
              <w:ind w:right="113"/>
            </w:pPr>
          </w:p>
        </w:tc>
        <w:tc>
          <w:tcPr>
            <w:tcW w:w="833" w:type="dxa"/>
            <w:shd w:val="clear" w:color="auto" w:fill="auto"/>
          </w:tcPr>
          <w:p w:rsidR="008217C8" w:rsidRPr="00602692" w:rsidRDefault="008217C8" w:rsidP="00826F40">
            <w:pPr>
              <w:spacing w:before="40" w:after="120"/>
              <w:ind w:right="113"/>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82BF2" w:rsidRDefault="008217C8" w:rsidP="00826F40">
            <w:pPr>
              <w:keepLines/>
              <w:spacing w:before="40" w:after="120"/>
              <w:ind w:right="113"/>
              <w:rPr>
                <w:b/>
                <w:bCs/>
                <w:lang w:val="fr-FR"/>
              </w:rPr>
            </w:pPr>
          </w:p>
        </w:tc>
        <w:tc>
          <w:tcPr>
            <w:tcW w:w="1055" w:type="dxa"/>
            <w:shd w:val="clear" w:color="auto" w:fill="auto"/>
          </w:tcPr>
          <w:p w:rsidR="008217C8" w:rsidRPr="00602692" w:rsidRDefault="008217C8" w:rsidP="00826F40">
            <w:pPr>
              <w:keepLines/>
              <w:spacing w:before="40" w:after="120"/>
              <w:ind w:right="113"/>
            </w:pPr>
          </w:p>
        </w:tc>
        <w:tc>
          <w:tcPr>
            <w:tcW w:w="1542" w:type="dxa"/>
            <w:shd w:val="clear" w:color="auto" w:fill="auto"/>
          </w:tcPr>
          <w:p w:rsidR="008217C8" w:rsidRPr="00602692" w:rsidRDefault="008217C8" w:rsidP="00826F40">
            <w:pPr>
              <w:keepLines/>
              <w:spacing w:before="40" w:after="120"/>
              <w:ind w:right="113"/>
            </w:pPr>
          </w:p>
        </w:tc>
        <w:tc>
          <w:tcPr>
            <w:tcW w:w="1129" w:type="dxa"/>
            <w:shd w:val="clear" w:color="auto" w:fill="auto"/>
          </w:tcPr>
          <w:p w:rsidR="008217C8" w:rsidRPr="00602692" w:rsidRDefault="008217C8" w:rsidP="00826F40">
            <w:pPr>
              <w:keepLines/>
              <w:spacing w:before="40" w:after="120"/>
              <w:ind w:right="113"/>
            </w:pPr>
          </w:p>
        </w:tc>
        <w:tc>
          <w:tcPr>
            <w:tcW w:w="833" w:type="dxa"/>
            <w:shd w:val="clear" w:color="auto" w:fill="auto"/>
          </w:tcPr>
          <w:p w:rsidR="008217C8" w:rsidRPr="00602692" w:rsidRDefault="008217C8" w:rsidP="00826F40">
            <w:pPr>
              <w:keepLines/>
              <w:spacing w:before="40" w:after="120"/>
              <w:ind w:right="113"/>
            </w:pPr>
          </w:p>
        </w:tc>
      </w:tr>
      <w:tr w:rsidR="008217C8" w:rsidRPr="00602692" w:rsidTr="00826F40">
        <w:trPr>
          <w:cantSplit/>
        </w:trPr>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82BF2" w:rsidRDefault="008217C8" w:rsidP="00826F40">
            <w:pPr>
              <w:keepLines/>
              <w:spacing w:before="40" w:after="120"/>
              <w:ind w:right="113"/>
              <w:rPr>
                <w:b/>
                <w:bCs/>
                <w:lang w:val="fr-FR"/>
              </w:rPr>
            </w:pPr>
            <w:r w:rsidRPr="00602692">
              <w:rPr>
                <w:b/>
                <w:bCs/>
                <w:lang w:val="fr-FR"/>
              </w:rPr>
              <w:t>Autres instruments juridiques</w:t>
            </w:r>
          </w:p>
        </w:tc>
        <w:tc>
          <w:tcPr>
            <w:tcW w:w="1055" w:type="dxa"/>
            <w:shd w:val="clear" w:color="auto" w:fill="auto"/>
          </w:tcPr>
          <w:p w:rsidR="008217C8" w:rsidRPr="00602692" w:rsidRDefault="008217C8" w:rsidP="00826F40">
            <w:pPr>
              <w:keepLines/>
              <w:spacing w:before="40" w:after="120"/>
              <w:ind w:right="113"/>
            </w:pPr>
          </w:p>
        </w:tc>
        <w:tc>
          <w:tcPr>
            <w:tcW w:w="1542" w:type="dxa"/>
            <w:shd w:val="clear" w:color="auto" w:fill="auto"/>
          </w:tcPr>
          <w:p w:rsidR="008217C8" w:rsidRPr="00602692" w:rsidRDefault="008217C8" w:rsidP="00826F40">
            <w:pPr>
              <w:keepLines/>
              <w:spacing w:before="40" w:after="120"/>
              <w:ind w:right="113"/>
            </w:pPr>
          </w:p>
        </w:tc>
        <w:tc>
          <w:tcPr>
            <w:tcW w:w="1129" w:type="dxa"/>
            <w:shd w:val="clear" w:color="auto" w:fill="auto"/>
          </w:tcPr>
          <w:p w:rsidR="008217C8" w:rsidRPr="00602692" w:rsidRDefault="008217C8" w:rsidP="00826F40">
            <w:pPr>
              <w:keepLines/>
              <w:spacing w:before="40" w:after="120"/>
              <w:ind w:right="113"/>
            </w:pPr>
          </w:p>
        </w:tc>
        <w:tc>
          <w:tcPr>
            <w:tcW w:w="833" w:type="dxa"/>
            <w:shd w:val="clear" w:color="auto" w:fill="auto"/>
          </w:tcPr>
          <w:p w:rsidR="008217C8" w:rsidRPr="00602692" w:rsidRDefault="008217C8" w:rsidP="00826F40">
            <w:pPr>
              <w:keepLines/>
              <w:spacing w:before="40" w:after="120"/>
              <w:ind w:right="113"/>
            </w:pPr>
            <w:r w:rsidRPr="00602692">
              <w:rPr>
                <w:lang w:val="fr-FR"/>
              </w:rPr>
              <w:t>BO</w:t>
            </w:r>
          </w:p>
        </w:tc>
      </w:tr>
      <w:tr w:rsidR="008217C8" w:rsidRPr="00602692" w:rsidTr="00826F40">
        <w:trPr>
          <w:cantSplit/>
        </w:trPr>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82BF2" w:rsidRDefault="008217C8" w:rsidP="00826F40">
            <w:pPr>
              <w:spacing w:before="40" w:after="120"/>
              <w:ind w:right="113"/>
              <w:rPr>
                <w:lang w:val="fr-FR"/>
              </w:rPr>
            </w:pPr>
            <w:r w:rsidRPr="00602692">
              <w:rPr>
                <w:lang w:val="fr-FR"/>
              </w:rPr>
              <w:t>Protocole de 1949 relatif à la signalisation routière</w:t>
            </w:r>
          </w:p>
        </w:tc>
        <w:tc>
          <w:tcPr>
            <w:tcW w:w="1055" w:type="dxa"/>
            <w:shd w:val="clear" w:color="auto" w:fill="auto"/>
          </w:tcPr>
          <w:p w:rsidR="008217C8" w:rsidRPr="00602692" w:rsidRDefault="008217C8" w:rsidP="00826F40">
            <w:pPr>
              <w:spacing w:before="40" w:after="120"/>
              <w:ind w:right="113"/>
              <w:rPr>
                <w:lang w:val="fr-FR"/>
              </w:rPr>
            </w:pPr>
            <w:r w:rsidRPr="00602692">
              <w:rPr>
                <w:lang w:val="fr-FR"/>
              </w:rPr>
              <w:t>Mondiale</w:t>
            </w:r>
          </w:p>
        </w:tc>
        <w:tc>
          <w:tcPr>
            <w:tcW w:w="1542" w:type="dxa"/>
            <w:shd w:val="clear" w:color="auto" w:fill="auto"/>
          </w:tcPr>
          <w:p w:rsidR="008217C8" w:rsidRPr="00602692" w:rsidRDefault="008217C8" w:rsidP="00826F40">
            <w:pPr>
              <w:spacing w:before="40" w:after="120"/>
              <w:ind w:right="113"/>
            </w:pPr>
          </w:p>
        </w:tc>
        <w:tc>
          <w:tcPr>
            <w:tcW w:w="1129" w:type="dxa"/>
            <w:shd w:val="clear" w:color="auto" w:fill="auto"/>
          </w:tcPr>
          <w:p w:rsidR="008217C8" w:rsidRPr="00602692" w:rsidRDefault="008217C8" w:rsidP="00826F40">
            <w:pPr>
              <w:spacing w:before="40" w:after="120"/>
              <w:ind w:right="113"/>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rPr>
          <w:cantSplit/>
        </w:trPr>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b/>
                <w:bCs/>
                <w:lang w:val="fr-FR"/>
              </w:rPr>
            </w:pPr>
            <w:r w:rsidRPr="00602692">
              <w:rPr>
                <w:lang w:val="fr-FR"/>
              </w:rPr>
              <w:t>Accord de 1975 sur les exigences minimales pour la délivrance et la validité des permis de conduire</w:t>
            </w:r>
          </w:p>
        </w:tc>
        <w:tc>
          <w:tcPr>
            <w:tcW w:w="1055" w:type="dxa"/>
            <w:shd w:val="clear" w:color="auto" w:fill="auto"/>
          </w:tcPr>
          <w:p w:rsidR="008217C8" w:rsidRPr="00602692" w:rsidRDefault="008217C8" w:rsidP="00826F40">
            <w:pPr>
              <w:spacing w:before="40" w:after="120"/>
              <w:ind w:right="113"/>
              <w:rPr>
                <w:lang w:val="fr-FR"/>
              </w:rPr>
            </w:pPr>
          </w:p>
        </w:tc>
        <w:tc>
          <w:tcPr>
            <w:tcW w:w="1542" w:type="dxa"/>
            <w:shd w:val="clear" w:color="auto" w:fill="auto"/>
          </w:tcPr>
          <w:p w:rsidR="008217C8" w:rsidRPr="00602692" w:rsidRDefault="008217C8" w:rsidP="00826F40">
            <w:pPr>
              <w:spacing w:before="40" w:after="120"/>
              <w:ind w:right="113"/>
            </w:pPr>
          </w:p>
        </w:tc>
        <w:tc>
          <w:tcPr>
            <w:tcW w:w="1129" w:type="dxa"/>
            <w:shd w:val="clear" w:color="auto" w:fill="auto"/>
          </w:tcPr>
          <w:p w:rsidR="008217C8" w:rsidRPr="00602692" w:rsidRDefault="008217C8" w:rsidP="00826F40">
            <w:pPr>
              <w:spacing w:before="40" w:after="120"/>
              <w:ind w:right="113"/>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rPr>
          <w:cantSplit/>
        </w:trPr>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F328BE" w:rsidRDefault="008217C8" w:rsidP="00826F40">
            <w:pPr>
              <w:spacing w:before="40" w:after="120"/>
              <w:ind w:right="113"/>
              <w:rPr>
                <w:lang w:val="fr-FR"/>
              </w:rPr>
            </w:pPr>
            <w:r w:rsidRPr="00602692">
              <w:rPr>
                <w:lang w:val="fr-FR"/>
              </w:rPr>
              <w:t>Accord européen de 1971 complétant la Convention de 1968 sur la circulation routière</w:t>
            </w:r>
          </w:p>
        </w:tc>
        <w:tc>
          <w:tcPr>
            <w:tcW w:w="1055" w:type="dxa"/>
            <w:shd w:val="clear" w:color="auto" w:fill="auto"/>
          </w:tcPr>
          <w:p w:rsidR="008217C8" w:rsidRPr="00602692" w:rsidRDefault="008217C8" w:rsidP="00826F40">
            <w:pPr>
              <w:spacing w:before="40" w:after="120"/>
              <w:ind w:right="113"/>
              <w:rPr>
                <w:lang w:val="fr-FR"/>
              </w:rPr>
            </w:pPr>
            <w:r w:rsidRPr="00602692">
              <w:rPr>
                <w:lang w:val="fr-FR"/>
              </w:rPr>
              <w:t>Mondiale/ Régionale</w:t>
            </w:r>
          </w:p>
        </w:tc>
        <w:tc>
          <w:tcPr>
            <w:tcW w:w="1542" w:type="dxa"/>
            <w:shd w:val="clear" w:color="auto" w:fill="auto"/>
          </w:tcPr>
          <w:p w:rsidR="008217C8" w:rsidRPr="00602692" w:rsidRDefault="008217C8" w:rsidP="00826F40">
            <w:pPr>
              <w:spacing w:before="40" w:after="120"/>
              <w:ind w:right="113"/>
            </w:pPr>
          </w:p>
        </w:tc>
        <w:tc>
          <w:tcPr>
            <w:tcW w:w="1129" w:type="dxa"/>
            <w:shd w:val="clear" w:color="auto" w:fill="auto"/>
          </w:tcPr>
          <w:p w:rsidR="008217C8" w:rsidRPr="00602692" w:rsidRDefault="008217C8" w:rsidP="00826F40">
            <w:pPr>
              <w:spacing w:before="40" w:after="120"/>
              <w:ind w:right="113"/>
            </w:pPr>
          </w:p>
        </w:tc>
        <w:tc>
          <w:tcPr>
            <w:tcW w:w="833" w:type="dxa"/>
            <w:shd w:val="clear" w:color="auto" w:fill="auto"/>
          </w:tcPr>
          <w:p w:rsidR="008217C8" w:rsidRPr="00602692" w:rsidRDefault="008217C8" w:rsidP="00826F40">
            <w:pPr>
              <w:spacing w:before="40" w:after="120"/>
              <w:ind w:right="113"/>
              <w:rPr>
                <w:lang w:val="fr-FR"/>
              </w:rPr>
            </w:pPr>
            <w:r w:rsidRPr="00602692">
              <w:rPr>
                <w:lang w:val="fr-FR"/>
              </w:rPr>
              <w:t>BO</w:t>
            </w: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Accord européen de 1971 complétant la Convention sur la signalisation routière</w:t>
            </w:r>
          </w:p>
        </w:tc>
        <w:tc>
          <w:tcPr>
            <w:tcW w:w="1055" w:type="dxa"/>
            <w:shd w:val="clear" w:color="auto" w:fill="auto"/>
          </w:tcPr>
          <w:p w:rsidR="008217C8" w:rsidRPr="00602692" w:rsidRDefault="008217C8" w:rsidP="00826F40">
            <w:pPr>
              <w:spacing w:before="40" w:after="120"/>
              <w:ind w:right="113"/>
            </w:pPr>
          </w:p>
        </w:tc>
        <w:tc>
          <w:tcPr>
            <w:tcW w:w="1542" w:type="dxa"/>
            <w:shd w:val="clear" w:color="auto" w:fill="auto"/>
          </w:tcPr>
          <w:p w:rsidR="008217C8" w:rsidRPr="00602692" w:rsidRDefault="008217C8" w:rsidP="00826F40">
            <w:pPr>
              <w:spacing w:before="40" w:after="120"/>
              <w:ind w:right="113"/>
            </w:pPr>
          </w:p>
        </w:tc>
        <w:tc>
          <w:tcPr>
            <w:tcW w:w="1129" w:type="dxa"/>
            <w:shd w:val="clear" w:color="auto" w:fill="auto"/>
          </w:tcPr>
          <w:p w:rsidR="008217C8" w:rsidRPr="00602692" w:rsidRDefault="008217C8" w:rsidP="00826F40">
            <w:pPr>
              <w:spacing w:before="40" w:after="120"/>
              <w:ind w:right="113"/>
            </w:pPr>
          </w:p>
        </w:tc>
        <w:tc>
          <w:tcPr>
            <w:tcW w:w="833" w:type="dxa"/>
            <w:shd w:val="clear" w:color="auto" w:fill="auto"/>
          </w:tcPr>
          <w:p w:rsidR="008217C8" w:rsidRPr="00602692" w:rsidRDefault="008217C8" w:rsidP="00826F40">
            <w:pPr>
              <w:spacing w:before="40" w:after="120"/>
              <w:ind w:right="113"/>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Accord européen de 1950 portant application de l’article 23 de la Convention sur la circulation routière de 1949 concernant les dimensions et poids des véhicules admis à circuler sur certaines routes des Parties contractantes</w:t>
            </w:r>
          </w:p>
        </w:tc>
        <w:tc>
          <w:tcPr>
            <w:tcW w:w="1055" w:type="dxa"/>
            <w:shd w:val="clear" w:color="auto" w:fill="auto"/>
          </w:tcPr>
          <w:p w:rsidR="008217C8" w:rsidRPr="00602692" w:rsidRDefault="008217C8" w:rsidP="00826F40">
            <w:pPr>
              <w:spacing w:before="40" w:after="120"/>
              <w:ind w:right="113"/>
              <w:rPr>
                <w:lang w:val="fr-FR"/>
              </w:rPr>
            </w:pPr>
          </w:p>
        </w:tc>
        <w:tc>
          <w:tcPr>
            <w:tcW w:w="1542" w:type="dxa"/>
            <w:shd w:val="clear" w:color="auto" w:fill="auto"/>
          </w:tcPr>
          <w:p w:rsidR="008217C8" w:rsidRPr="00602692" w:rsidRDefault="008217C8" w:rsidP="00826F40">
            <w:pPr>
              <w:spacing w:before="40" w:after="120"/>
              <w:ind w:right="113"/>
              <w:rPr>
                <w:lang w:val="fr-FR"/>
              </w:rPr>
            </w:pPr>
          </w:p>
        </w:tc>
        <w:tc>
          <w:tcPr>
            <w:tcW w:w="1129" w:type="dxa"/>
            <w:shd w:val="clear" w:color="auto" w:fill="auto"/>
          </w:tcPr>
          <w:p w:rsidR="008217C8" w:rsidRPr="00602692" w:rsidRDefault="008217C8" w:rsidP="00826F40">
            <w:pPr>
              <w:spacing w:before="40" w:after="120"/>
              <w:ind w:right="113"/>
              <w:rPr>
                <w:lang w:val="fr-FR"/>
              </w:rPr>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Accord européen de 1950 complétant la Convention de 1949 sur la circulation routière et le Protocole de 1949 relatif à la signalisation routière</w:t>
            </w:r>
          </w:p>
        </w:tc>
        <w:tc>
          <w:tcPr>
            <w:tcW w:w="1055" w:type="dxa"/>
            <w:shd w:val="clear" w:color="auto" w:fill="auto"/>
          </w:tcPr>
          <w:p w:rsidR="008217C8" w:rsidRPr="00602692" w:rsidRDefault="008217C8" w:rsidP="00826F40">
            <w:pPr>
              <w:spacing w:before="40" w:after="120"/>
              <w:ind w:right="113"/>
              <w:rPr>
                <w:lang w:val="fr-FR"/>
              </w:rPr>
            </w:pPr>
          </w:p>
        </w:tc>
        <w:tc>
          <w:tcPr>
            <w:tcW w:w="1542" w:type="dxa"/>
            <w:shd w:val="clear" w:color="auto" w:fill="auto"/>
          </w:tcPr>
          <w:p w:rsidR="008217C8" w:rsidRPr="00602692" w:rsidRDefault="008217C8" w:rsidP="00826F40">
            <w:pPr>
              <w:spacing w:before="40" w:after="120"/>
              <w:ind w:right="113"/>
              <w:rPr>
                <w:lang w:val="fr-FR"/>
              </w:rPr>
            </w:pPr>
          </w:p>
        </w:tc>
        <w:tc>
          <w:tcPr>
            <w:tcW w:w="1129" w:type="dxa"/>
            <w:shd w:val="clear" w:color="auto" w:fill="auto"/>
          </w:tcPr>
          <w:p w:rsidR="008217C8" w:rsidRPr="00602692" w:rsidRDefault="008217C8" w:rsidP="00826F40">
            <w:pPr>
              <w:spacing w:before="40" w:after="120"/>
              <w:ind w:right="113"/>
              <w:rPr>
                <w:lang w:val="fr-FR"/>
              </w:rPr>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Accord européen de 1957 relatif aux marques routières</w:t>
            </w:r>
          </w:p>
        </w:tc>
        <w:tc>
          <w:tcPr>
            <w:tcW w:w="1055" w:type="dxa"/>
            <w:shd w:val="clear" w:color="auto" w:fill="auto"/>
          </w:tcPr>
          <w:p w:rsidR="008217C8" w:rsidRPr="00602692" w:rsidRDefault="008217C8" w:rsidP="00826F40">
            <w:pPr>
              <w:spacing w:before="40" w:after="120"/>
              <w:ind w:right="113"/>
              <w:rPr>
                <w:lang w:val="fr-FR"/>
              </w:rPr>
            </w:pPr>
          </w:p>
        </w:tc>
        <w:tc>
          <w:tcPr>
            <w:tcW w:w="1542" w:type="dxa"/>
            <w:shd w:val="clear" w:color="auto" w:fill="auto"/>
          </w:tcPr>
          <w:p w:rsidR="008217C8" w:rsidRPr="00602692" w:rsidRDefault="008217C8" w:rsidP="00826F40">
            <w:pPr>
              <w:spacing w:before="40" w:after="120"/>
              <w:ind w:right="113"/>
              <w:rPr>
                <w:lang w:val="fr-FR"/>
              </w:rPr>
            </w:pPr>
          </w:p>
        </w:tc>
        <w:tc>
          <w:tcPr>
            <w:tcW w:w="1129" w:type="dxa"/>
            <w:shd w:val="clear" w:color="auto" w:fill="auto"/>
          </w:tcPr>
          <w:p w:rsidR="008217C8" w:rsidRPr="00602692" w:rsidRDefault="008217C8" w:rsidP="00826F40">
            <w:pPr>
              <w:spacing w:before="40" w:after="120"/>
              <w:ind w:right="113"/>
              <w:rPr>
                <w:lang w:val="fr-FR"/>
              </w:rPr>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Protocole de 1973 sur les marques routières, additionnel à l’Accord européen complétant la Convention sur la signalisation routière</w:t>
            </w:r>
          </w:p>
        </w:tc>
        <w:tc>
          <w:tcPr>
            <w:tcW w:w="1055" w:type="dxa"/>
            <w:shd w:val="clear" w:color="auto" w:fill="auto"/>
          </w:tcPr>
          <w:p w:rsidR="008217C8" w:rsidRPr="00602692" w:rsidRDefault="008217C8" w:rsidP="00826F40">
            <w:pPr>
              <w:spacing w:before="40" w:after="120"/>
              <w:ind w:right="113"/>
              <w:rPr>
                <w:lang w:val="fr-FR"/>
              </w:rPr>
            </w:pPr>
          </w:p>
        </w:tc>
        <w:tc>
          <w:tcPr>
            <w:tcW w:w="1542" w:type="dxa"/>
            <w:shd w:val="clear" w:color="auto" w:fill="auto"/>
          </w:tcPr>
          <w:p w:rsidR="008217C8" w:rsidRPr="00602692" w:rsidRDefault="008217C8" w:rsidP="00826F40">
            <w:pPr>
              <w:spacing w:before="40" w:after="120"/>
              <w:ind w:right="113"/>
              <w:rPr>
                <w:lang w:val="fr-FR"/>
              </w:rPr>
            </w:pPr>
          </w:p>
        </w:tc>
        <w:tc>
          <w:tcPr>
            <w:tcW w:w="1129" w:type="dxa"/>
            <w:shd w:val="clear" w:color="auto" w:fill="auto"/>
          </w:tcPr>
          <w:p w:rsidR="008217C8" w:rsidRPr="00602692" w:rsidRDefault="008217C8" w:rsidP="00826F40">
            <w:pPr>
              <w:spacing w:before="40" w:after="120"/>
              <w:ind w:right="113"/>
              <w:rPr>
                <w:lang w:val="fr-FR"/>
              </w:rPr>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Accords relatifs aux infrastructures : AGR, AGTC</w:t>
            </w:r>
          </w:p>
        </w:tc>
        <w:tc>
          <w:tcPr>
            <w:tcW w:w="1055" w:type="dxa"/>
            <w:shd w:val="clear" w:color="auto" w:fill="auto"/>
          </w:tcPr>
          <w:p w:rsidR="008217C8" w:rsidRPr="00602692" w:rsidRDefault="008217C8" w:rsidP="00826F40">
            <w:pPr>
              <w:spacing w:before="40" w:after="120"/>
              <w:ind w:right="113"/>
            </w:pPr>
            <w:r w:rsidRPr="00602692">
              <w:rPr>
                <w:lang w:val="fr-FR"/>
              </w:rPr>
              <w:t>Régionale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3 et 4</w:t>
            </w:r>
          </w:p>
        </w:tc>
        <w:tc>
          <w:tcPr>
            <w:tcW w:w="1129" w:type="dxa"/>
            <w:shd w:val="clear" w:color="auto" w:fill="auto"/>
          </w:tcPr>
          <w:p w:rsidR="008217C8" w:rsidRPr="00602692" w:rsidRDefault="008217C8" w:rsidP="00826F40">
            <w:pPr>
              <w:spacing w:before="40" w:after="120"/>
              <w:ind w:right="113"/>
            </w:pPr>
            <w:r w:rsidRPr="00602692">
              <w:rPr>
                <w:lang w:val="fr-FR"/>
              </w:rPr>
              <w:t>Volet 2</w:t>
            </w:r>
          </w:p>
        </w:tc>
        <w:tc>
          <w:tcPr>
            <w:tcW w:w="833" w:type="dxa"/>
            <w:shd w:val="clear" w:color="auto" w:fill="auto"/>
          </w:tcPr>
          <w:p w:rsidR="008217C8" w:rsidRPr="00602692" w:rsidRDefault="008217C8" w:rsidP="00826F40">
            <w:pPr>
              <w:spacing w:before="40" w:after="120"/>
              <w:ind w:right="113"/>
            </w:pPr>
            <w:r w:rsidRPr="00602692">
              <w:rPr>
                <w:lang w:val="fr-FR"/>
              </w:rPr>
              <w:t>BO</w:t>
            </w: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pPr>
            <w:r w:rsidRPr="00602692">
              <w:rPr>
                <w:lang w:val="fr-FR"/>
              </w:rPr>
              <w:t>AETR</w:t>
            </w:r>
            <w:r>
              <w:rPr>
                <w:lang w:val="fr-FR"/>
              </w:rPr>
              <w:br/>
            </w:r>
            <w:r w:rsidRPr="00602692">
              <w:rPr>
                <w:lang w:val="fr-FR"/>
              </w:rPr>
              <w:t>Code CTU</w:t>
            </w:r>
          </w:p>
        </w:tc>
        <w:tc>
          <w:tcPr>
            <w:tcW w:w="1055" w:type="dxa"/>
            <w:shd w:val="clear" w:color="auto" w:fill="auto"/>
          </w:tcPr>
          <w:p w:rsidR="008217C8" w:rsidRPr="00602692" w:rsidRDefault="008217C8" w:rsidP="00826F40">
            <w:pPr>
              <w:spacing w:before="40" w:after="120"/>
              <w:ind w:right="113"/>
            </w:pPr>
            <w:r w:rsidRPr="00602692">
              <w:rPr>
                <w:lang w:val="fr-FR"/>
              </w:rPr>
              <w:t xml:space="preserve">Régionale/ </w:t>
            </w:r>
            <w:r>
              <w:rPr>
                <w:lang w:val="fr-FR"/>
              </w:rPr>
              <w:t>Mondiale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11</w:t>
            </w:r>
          </w:p>
        </w:tc>
        <w:tc>
          <w:tcPr>
            <w:tcW w:w="1129" w:type="dxa"/>
            <w:shd w:val="clear" w:color="auto" w:fill="auto"/>
          </w:tcPr>
          <w:p w:rsidR="008217C8" w:rsidRPr="00602692" w:rsidRDefault="008217C8" w:rsidP="00826F40">
            <w:pPr>
              <w:spacing w:before="40" w:after="120"/>
              <w:ind w:right="113"/>
            </w:pPr>
            <w:r w:rsidRPr="00602692">
              <w:rPr>
                <w:lang w:val="fr-FR"/>
              </w:rPr>
              <w:t>Volets 1 et</w:t>
            </w:r>
            <w:r>
              <w:rPr>
                <w:lang w:val="fr-FR"/>
              </w:rPr>
              <w:t> </w:t>
            </w:r>
            <w:r w:rsidRPr="00602692">
              <w:rPr>
                <w:lang w:val="fr-FR"/>
              </w:rPr>
              <w:t>4</w:t>
            </w:r>
          </w:p>
        </w:tc>
        <w:tc>
          <w:tcPr>
            <w:tcW w:w="833" w:type="dxa"/>
            <w:shd w:val="clear" w:color="auto" w:fill="auto"/>
          </w:tcPr>
          <w:p w:rsidR="008217C8" w:rsidRPr="00602692" w:rsidRDefault="008217C8" w:rsidP="00826F40">
            <w:pPr>
              <w:spacing w:before="40" w:after="120"/>
              <w:ind w:right="113"/>
            </w:pPr>
            <w:r w:rsidRPr="00602692">
              <w:rPr>
                <w:lang w:val="fr-FR"/>
              </w:rPr>
              <w:t>BO</w:t>
            </w: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Organes subsidiaires du CTI : Forum mondial de la sécurité routière (WP.1)</w:t>
            </w:r>
          </w:p>
        </w:tc>
        <w:tc>
          <w:tcPr>
            <w:tcW w:w="1055" w:type="dxa"/>
            <w:shd w:val="clear" w:color="auto" w:fill="auto"/>
          </w:tcPr>
          <w:p w:rsidR="008217C8" w:rsidRPr="00602692" w:rsidRDefault="008217C8" w:rsidP="00826F40">
            <w:pPr>
              <w:spacing w:before="40" w:after="120"/>
              <w:ind w:right="113"/>
            </w:pPr>
            <w:r w:rsidRPr="00602692">
              <w:rPr>
                <w:lang w:val="fr-FR"/>
              </w:rPr>
              <w:t>Mondiale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2 à</w:t>
            </w:r>
            <w:r>
              <w:rPr>
                <w:lang w:val="fr-FR"/>
              </w:rPr>
              <w:t xml:space="preserve"> </w:t>
            </w:r>
            <w:r w:rsidRPr="00602692">
              <w:rPr>
                <w:lang w:val="fr-FR"/>
              </w:rPr>
              <w:t>11</w:t>
            </w:r>
          </w:p>
        </w:tc>
        <w:tc>
          <w:tcPr>
            <w:tcW w:w="1129" w:type="dxa"/>
            <w:shd w:val="clear" w:color="auto" w:fill="auto"/>
          </w:tcPr>
          <w:p w:rsidR="008217C8" w:rsidRPr="00602692" w:rsidRDefault="008217C8" w:rsidP="00826F40">
            <w:pPr>
              <w:spacing w:before="40" w:after="120"/>
              <w:ind w:right="113"/>
            </w:pPr>
            <w:r w:rsidRPr="00602692">
              <w:rPr>
                <w:lang w:val="fr-FR"/>
              </w:rPr>
              <w:t>Volets 1 à 4</w:t>
            </w:r>
          </w:p>
        </w:tc>
        <w:tc>
          <w:tcPr>
            <w:tcW w:w="833" w:type="dxa"/>
            <w:shd w:val="clear" w:color="auto" w:fill="auto"/>
          </w:tcPr>
          <w:p w:rsidR="008217C8" w:rsidRPr="00602692" w:rsidRDefault="008217C8" w:rsidP="00826F40">
            <w:pPr>
              <w:spacing w:before="40" w:after="120"/>
              <w:ind w:right="113"/>
            </w:pPr>
            <w:r w:rsidRPr="00602692">
              <w:rPr>
                <w:lang w:val="fr-FR"/>
              </w:rPr>
              <w:t>BO</w:t>
            </w:r>
          </w:p>
        </w:tc>
      </w:tr>
      <w:tr w:rsidR="008217C8" w:rsidRPr="00602692" w:rsidTr="00826F40">
        <w:tc>
          <w:tcPr>
            <w:tcW w:w="2148" w:type="dxa"/>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Forum mondial de l’harmonisation des Règlements concernant les véhicules (WP.29)</w:t>
            </w:r>
          </w:p>
        </w:tc>
        <w:tc>
          <w:tcPr>
            <w:tcW w:w="1055" w:type="dxa"/>
            <w:shd w:val="clear" w:color="auto" w:fill="auto"/>
          </w:tcPr>
          <w:p w:rsidR="008217C8" w:rsidRPr="00602692" w:rsidRDefault="008217C8" w:rsidP="00826F40">
            <w:pPr>
              <w:spacing w:before="40" w:after="120"/>
              <w:ind w:right="113"/>
              <w:rPr>
                <w:lang w:val="fr-FR"/>
              </w:rPr>
            </w:pPr>
          </w:p>
        </w:tc>
        <w:tc>
          <w:tcPr>
            <w:tcW w:w="1542" w:type="dxa"/>
            <w:shd w:val="clear" w:color="auto" w:fill="auto"/>
          </w:tcPr>
          <w:p w:rsidR="008217C8" w:rsidRPr="00602692" w:rsidRDefault="008217C8" w:rsidP="00826F40">
            <w:pPr>
              <w:spacing w:before="40" w:after="120"/>
              <w:ind w:right="113"/>
              <w:rPr>
                <w:lang w:val="fr-FR"/>
              </w:rPr>
            </w:pPr>
          </w:p>
        </w:tc>
        <w:tc>
          <w:tcPr>
            <w:tcW w:w="1129" w:type="dxa"/>
            <w:shd w:val="clear" w:color="auto" w:fill="auto"/>
          </w:tcPr>
          <w:p w:rsidR="008217C8" w:rsidRPr="00602692" w:rsidRDefault="008217C8" w:rsidP="00826F40">
            <w:pPr>
              <w:spacing w:before="40" w:after="120"/>
              <w:ind w:right="113"/>
              <w:rPr>
                <w:lang w:val="fr-FR"/>
              </w:rPr>
            </w:pPr>
          </w:p>
        </w:tc>
        <w:tc>
          <w:tcPr>
            <w:tcW w:w="833" w:type="dxa"/>
            <w:shd w:val="clear" w:color="auto" w:fill="auto"/>
          </w:tcPr>
          <w:p w:rsidR="008217C8" w:rsidRPr="00602692" w:rsidRDefault="008217C8" w:rsidP="00826F40">
            <w:pPr>
              <w:spacing w:before="40" w:after="120"/>
              <w:ind w:right="113"/>
              <w:rPr>
                <w:lang w:val="fr-FR"/>
              </w:rPr>
            </w:pPr>
          </w:p>
        </w:tc>
      </w:tr>
      <w:tr w:rsidR="008217C8" w:rsidRPr="00602692" w:rsidTr="00826F40">
        <w:tc>
          <w:tcPr>
            <w:tcW w:w="2148" w:type="dxa"/>
            <w:vMerge w:val="restart"/>
            <w:shd w:val="clear" w:color="auto" w:fill="auto"/>
          </w:tcPr>
          <w:p w:rsidR="008217C8" w:rsidRPr="00602692" w:rsidRDefault="008217C8" w:rsidP="00826F40">
            <w:pPr>
              <w:keepNext/>
              <w:spacing w:before="40" w:after="120"/>
              <w:ind w:right="113"/>
              <w:rPr>
                <w:lang w:val="fr-FR"/>
              </w:rPr>
            </w:pPr>
            <w:r w:rsidRPr="00602692">
              <w:rPr>
                <w:lang w:val="fr-FR"/>
              </w:rPr>
              <w:lastRenderedPageBreak/>
              <w:t>Renforcement des capacités/Assistance technique</w:t>
            </w:r>
          </w:p>
        </w:tc>
        <w:tc>
          <w:tcPr>
            <w:tcW w:w="2928" w:type="dxa"/>
            <w:shd w:val="clear" w:color="auto" w:fill="auto"/>
          </w:tcPr>
          <w:p w:rsidR="008217C8" w:rsidRPr="00602692" w:rsidRDefault="008217C8" w:rsidP="00826F40">
            <w:pPr>
              <w:keepNext/>
              <w:spacing w:before="40" w:after="120"/>
              <w:ind w:right="113"/>
              <w:rPr>
                <w:lang w:val="fr-FR"/>
              </w:rPr>
            </w:pPr>
            <w:r w:rsidRPr="00602692">
              <w:rPr>
                <w:lang w:val="fr-FR"/>
              </w:rPr>
              <w:t>Secrétariat de l’Envoyé spécial du Secrétaire général de l’ONU pour la sécurité routière</w:t>
            </w:r>
          </w:p>
        </w:tc>
        <w:tc>
          <w:tcPr>
            <w:tcW w:w="1055" w:type="dxa"/>
            <w:shd w:val="clear" w:color="auto" w:fill="auto"/>
          </w:tcPr>
          <w:p w:rsidR="008217C8" w:rsidRPr="00602692" w:rsidRDefault="008217C8" w:rsidP="00826F40">
            <w:pPr>
              <w:keepNext/>
              <w:spacing w:before="40" w:after="120"/>
              <w:ind w:right="113"/>
            </w:pPr>
            <w:r w:rsidRPr="00602692">
              <w:rPr>
                <w:lang w:val="fr-FR"/>
              </w:rPr>
              <w:t>Mondiale</w:t>
            </w:r>
          </w:p>
        </w:tc>
        <w:tc>
          <w:tcPr>
            <w:tcW w:w="1542" w:type="dxa"/>
            <w:shd w:val="clear" w:color="auto" w:fill="auto"/>
          </w:tcPr>
          <w:p w:rsidR="008217C8" w:rsidRPr="00602692" w:rsidRDefault="008217C8" w:rsidP="00826F40">
            <w:pPr>
              <w:keepNext/>
              <w:spacing w:before="40" w:after="120"/>
              <w:ind w:right="113"/>
            </w:pPr>
            <w:r w:rsidRPr="00602692">
              <w:rPr>
                <w:lang w:val="fr-FR"/>
              </w:rPr>
              <w:t>ODD 3.6 et 11.2</w:t>
            </w:r>
            <w:r>
              <w:rPr>
                <w:lang w:val="fr-FR"/>
              </w:rPr>
              <w:br/>
            </w:r>
            <w:r w:rsidRPr="00602692">
              <w:rPr>
                <w:lang w:val="fr-FR"/>
              </w:rPr>
              <w:t>CV : 1 à 12</w:t>
            </w:r>
          </w:p>
        </w:tc>
        <w:tc>
          <w:tcPr>
            <w:tcW w:w="1129" w:type="dxa"/>
            <w:shd w:val="clear" w:color="auto" w:fill="auto"/>
          </w:tcPr>
          <w:p w:rsidR="008217C8" w:rsidRPr="00602692" w:rsidRDefault="008217C8" w:rsidP="00826F40">
            <w:pPr>
              <w:keepNext/>
              <w:spacing w:before="40" w:after="120"/>
              <w:ind w:right="113"/>
            </w:pPr>
            <w:r w:rsidRPr="00602692">
              <w:rPr>
                <w:lang w:val="fr-FR"/>
              </w:rPr>
              <w:t>Volets 1 à 5</w:t>
            </w:r>
          </w:p>
        </w:tc>
        <w:tc>
          <w:tcPr>
            <w:tcW w:w="833" w:type="dxa"/>
            <w:shd w:val="clear" w:color="auto" w:fill="auto"/>
          </w:tcPr>
          <w:p w:rsidR="008217C8" w:rsidRPr="00602692" w:rsidRDefault="008217C8" w:rsidP="00826F40">
            <w:pPr>
              <w:keepNext/>
              <w:spacing w:before="40" w:after="120"/>
              <w:ind w:right="113"/>
            </w:pPr>
            <w:r w:rsidRPr="00602692">
              <w:rPr>
                <w:lang w:val="fr-FR"/>
              </w:rPr>
              <w:t>Contrôle FE et BO</w:t>
            </w: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Secrétariat du Fonds d’affectation spéciale des Nations Unies pour la sécurité routière</w:t>
            </w:r>
          </w:p>
        </w:tc>
        <w:tc>
          <w:tcPr>
            <w:tcW w:w="1055" w:type="dxa"/>
            <w:shd w:val="clear" w:color="auto" w:fill="auto"/>
          </w:tcPr>
          <w:p w:rsidR="008217C8" w:rsidRPr="00602692" w:rsidRDefault="008217C8" w:rsidP="00826F40">
            <w:pPr>
              <w:spacing w:before="40" w:after="120"/>
              <w:ind w:right="113"/>
            </w:pPr>
            <w:r w:rsidRPr="00602692">
              <w:rPr>
                <w:lang w:val="fr-FR"/>
              </w:rPr>
              <w:t>Mondiale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1 à 12</w:t>
            </w:r>
          </w:p>
        </w:tc>
        <w:tc>
          <w:tcPr>
            <w:tcW w:w="1129" w:type="dxa"/>
            <w:shd w:val="clear" w:color="auto" w:fill="auto"/>
          </w:tcPr>
          <w:p w:rsidR="008217C8" w:rsidRPr="00602692" w:rsidRDefault="008217C8" w:rsidP="00826F40">
            <w:pPr>
              <w:spacing w:before="40" w:after="120"/>
              <w:ind w:right="113"/>
            </w:pPr>
            <w:r w:rsidRPr="00602692">
              <w:rPr>
                <w:lang w:val="fr-FR"/>
              </w:rPr>
              <w:t>Volets 1 à 5</w:t>
            </w:r>
          </w:p>
        </w:tc>
        <w:tc>
          <w:tcPr>
            <w:tcW w:w="833" w:type="dxa"/>
            <w:shd w:val="clear" w:color="auto" w:fill="auto"/>
          </w:tcPr>
          <w:p w:rsidR="008217C8" w:rsidRPr="00602692" w:rsidRDefault="008217C8" w:rsidP="00826F40">
            <w:pPr>
              <w:spacing w:before="40" w:after="120"/>
              <w:ind w:right="113"/>
            </w:pPr>
            <w:r w:rsidRPr="00602692">
              <w:rPr>
                <w:lang w:val="fr-FR"/>
              </w:rPr>
              <w:t>Contrôle FE et BO</w:t>
            </w:r>
          </w:p>
        </w:tc>
      </w:tr>
      <w:tr w:rsidR="008217C8" w:rsidRPr="00602692" w:rsidTr="00826F40">
        <w:tc>
          <w:tcPr>
            <w:tcW w:w="2148" w:type="dxa"/>
            <w:vMerge w:val="restart"/>
            <w:shd w:val="clear" w:color="auto" w:fill="auto"/>
          </w:tcPr>
          <w:p w:rsidR="008217C8" w:rsidRPr="00602692" w:rsidRDefault="008217C8" w:rsidP="00826F40">
            <w:pPr>
              <w:spacing w:before="40" w:after="120"/>
              <w:ind w:right="113"/>
              <w:rPr>
                <w:lang w:val="fr-FR"/>
              </w:rPr>
            </w:pPr>
            <w:r w:rsidRPr="00602692">
              <w:rPr>
                <w:lang w:val="fr-FR"/>
              </w:rPr>
              <w:t>Travaux analytiques/dialogue politique/outils</w:t>
            </w: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SuM4All (initiative en faveur de la</w:t>
            </w:r>
            <w:r>
              <w:rPr>
                <w:lang w:val="fr-FR"/>
              </w:rPr>
              <w:t> </w:t>
            </w:r>
            <w:r w:rsidRPr="00602692">
              <w:rPr>
                <w:lang w:val="fr-FR"/>
              </w:rPr>
              <w:t xml:space="preserve">mobilité durable pour tous) : coresponsable du Groupe de travail de la sécurité routière et membre du Comité directeur </w:t>
            </w:r>
          </w:p>
        </w:tc>
        <w:tc>
          <w:tcPr>
            <w:tcW w:w="1055" w:type="dxa"/>
            <w:shd w:val="clear" w:color="auto" w:fill="auto"/>
          </w:tcPr>
          <w:p w:rsidR="008217C8" w:rsidRPr="00602692" w:rsidRDefault="008217C8" w:rsidP="00826F40">
            <w:pPr>
              <w:spacing w:before="40" w:after="120"/>
              <w:ind w:right="113"/>
            </w:pPr>
            <w:r w:rsidRPr="00602692">
              <w:rPr>
                <w:lang w:val="fr-FR"/>
              </w:rPr>
              <w:t>Mondiale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1 à 12</w:t>
            </w:r>
          </w:p>
        </w:tc>
        <w:tc>
          <w:tcPr>
            <w:tcW w:w="1129" w:type="dxa"/>
            <w:shd w:val="clear" w:color="auto" w:fill="auto"/>
          </w:tcPr>
          <w:p w:rsidR="008217C8" w:rsidRPr="00602692" w:rsidRDefault="008217C8" w:rsidP="00826F40">
            <w:pPr>
              <w:spacing w:before="40" w:after="120"/>
              <w:ind w:right="113"/>
            </w:pPr>
            <w:r w:rsidRPr="00602692">
              <w:rPr>
                <w:lang w:val="fr-FR"/>
              </w:rPr>
              <w:t>Volets 1 à 5</w:t>
            </w:r>
          </w:p>
        </w:tc>
        <w:tc>
          <w:tcPr>
            <w:tcW w:w="833" w:type="dxa"/>
            <w:shd w:val="clear" w:color="auto" w:fill="auto"/>
          </w:tcPr>
          <w:p w:rsidR="008217C8" w:rsidRPr="003D5466" w:rsidRDefault="008217C8" w:rsidP="00826F40">
            <w:pPr>
              <w:spacing w:before="40" w:after="120"/>
              <w:ind w:right="113"/>
            </w:pPr>
            <w:r w:rsidRPr="003D5466">
              <w:rPr>
                <w:bCs/>
                <w:lang w:val="fr-FR"/>
              </w:rPr>
              <w:t>BO et FE</w:t>
            </w: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pPr>
            <w:r w:rsidRPr="00602692">
              <w:rPr>
                <w:lang w:val="fr-FR"/>
              </w:rPr>
              <w:t>Statistiques des transports</w:t>
            </w:r>
          </w:p>
        </w:tc>
        <w:tc>
          <w:tcPr>
            <w:tcW w:w="1055" w:type="dxa"/>
            <w:shd w:val="clear" w:color="auto" w:fill="auto"/>
          </w:tcPr>
          <w:p w:rsidR="008217C8" w:rsidRPr="00602692" w:rsidRDefault="008217C8" w:rsidP="00826F40">
            <w:pPr>
              <w:spacing w:before="40" w:after="120"/>
              <w:ind w:right="113"/>
            </w:pPr>
            <w:r w:rsidRPr="00602692">
              <w:rPr>
                <w:lang w:val="fr-FR"/>
              </w:rPr>
              <w:t>Régionale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1 à 12</w:t>
            </w:r>
          </w:p>
        </w:tc>
        <w:tc>
          <w:tcPr>
            <w:tcW w:w="1129" w:type="dxa"/>
            <w:shd w:val="clear" w:color="auto" w:fill="auto"/>
          </w:tcPr>
          <w:p w:rsidR="008217C8" w:rsidRPr="00602692" w:rsidRDefault="008217C8" w:rsidP="00826F40">
            <w:pPr>
              <w:spacing w:before="40" w:after="120"/>
              <w:ind w:right="113"/>
            </w:pPr>
            <w:r w:rsidRPr="00602692">
              <w:rPr>
                <w:lang w:val="fr-FR"/>
              </w:rPr>
              <w:t>Volets 1 à 4</w:t>
            </w:r>
          </w:p>
        </w:tc>
        <w:tc>
          <w:tcPr>
            <w:tcW w:w="833" w:type="dxa"/>
            <w:shd w:val="clear" w:color="auto" w:fill="auto"/>
          </w:tcPr>
          <w:p w:rsidR="008217C8" w:rsidRPr="00602692" w:rsidRDefault="008217C8" w:rsidP="00826F40">
            <w:pPr>
              <w:spacing w:before="40" w:after="120"/>
              <w:ind w:right="113"/>
            </w:pPr>
            <w:r w:rsidRPr="00602692">
              <w:rPr>
                <w:lang w:val="fr-FR"/>
              </w:rPr>
              <w:t>BO</w:t>
            </w:r>
          </w:p>
        </w:tc>
      </w:tr>
      <w:tr w:rsidR="008217C8" w:rsidRPr="00602692" w:rsidTr="00826F40">
        <w:tc>
          <w:tcPr>
            <w:tcW w:w="2148" w:type="dxa"/>
            <w:vMerge/>
            <w:shd w:val="clear" w:color="auto" w:fill="auto"/>
          </w:tcPr>
          <w:p w:rsidR="008217C8" w:rsidRPr="00602692" w:rsidRDefault="008217C8" w:rsidP="00826F40">
            <w:pPr>
              <w:spacing w:before="40" w:after="120"/>
              <w:ind w:right="113"/>
            </w:pPr>
          </w:p>
        </w:tc>
        <w:tc>
          <w:tcPr>
            <w:tcW w:w="2928" w:type="dxa"/>
            <w:shd w:val="clear" w:color="auto" w:fill="auto"/>
          </w:tcPr>
          <w:p w:rsidR="008217C8" w:rsidRPr="00602692" w:rsidRDefault="008217C8" w:rsidP="00826F40">
            <w:pPr>
              <w:spacing w:before="40" w:after="120"/>
              <w:ind w:right="113"/>
              <w:rPr>
                <w:lang w:val="fr-FR"/>
              </w:rPr>
            </w:pPr>
            <w:r w:rsidRPr="00602692">
              <w:rPr>
                <w:lang w:val="fr-FR"/>
              </w:rPr>
              <w:t xml:space="preserve">Évaluations des résultats en matière de sécurité routière </w:t>
            </w:r>
          </w:p>
        </w:tc>
        <w:tc>
          <w:tcPr>
            <w:tcW w:w="1055" w:type="dxa"/>
            <w:shd w:val="clear" w:color="auto" w:fill="auto"/>
          </w:tcPr>
          <w:p w:rsidR="008217C8" w:rsidRPr="00602692" w:rsidRDefault="008217C8" w:rsidP="00826F40">
            <w:pPr>
              <w:spacing w:before="40" w:after="120"/>
              <w:ind w:right="113"/>
            </w:pPr>
            <w:r w:rsidRPr="00602692">
              <w:rPr>
                <w:lang w:val="fr-FR"/>
              </w:rPr>
              <w:t>Mondiale</w:t>
            </w:r>
          </w:p>
        </w:tc>
        <w:tc>
          <w:tcPr>
            <w:tcW w:w="1542" w:type="dxa"/>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1 à 12</w:t>
            </w:r>
          </w:p>
        </w:tc>
        <w:tc>
          <w:tcPr>
            <w:tcW w:w="1129" w:type="dxa"/>
            <w:shd w:val="clear" w:color="auto" w:fill="auto"/>
          </w:tcPr>
          <w:p w:rsidR="008217C8" w:rsidRPr="00602692" w:rsidRDefault="008217C8" w:rsidP="00826F40">
            <w:pPr>
              <w:spacing w:before="40" w:after="120"/>
              <w:ind w:right="113"/>
            </w:pPr>
            <w:r w:rsidRPr="00602692">
              <w:rPr>
                <w:lang w:val="fr-FR"/>
              </w:rPr>
              <w:t>Volets 1 à 5</w:t>
            </w:r>
          </w:p>
        </w:tc>
        <w:tc>
          <w:tcPr>
            <w:tcW w:w="833" w:type="dxa"/>
            <w:shd w:val="clear" w:color="auto" w:fill="auto"/>
          </w:tcPr>
          <w:p w:rsidR="008217C8" w:rsidRPr="00602692" w:rsidRDefault="008217C8" w:rsidP="00826F40">
            <w:pPr>
              <w:spacing w:before="40" w:after="120"/>
              <w:ind w:right="113"/>
            </w:pPr>
            <w:r w:rsidRPr="00602692">
              <w:rPr>
                <w:lang w:val="fr-FR"/>
              </w:rPr>
              <w:t>FE et BO</w:t>
            </w:r>
          </w:p>
        </w:tc>
      </w:tr>
      <w:tr w:rsidR="008217C8" w:rsidRPr="00602692" w:rsidTr="00826F40">
        <w:tc>
          <w:tcPr>
            <w:tcW w:w="2148" w:type="dxa"/>
            <w:vMerge/>
            <w:tcBorders>
              <w:bottom w:val="single" w:sz="12" w:space="0" w:color="auto"/>
            </w:tcBorders>
            <w:shd w:val="clear" w:color="auto" w:fill="auto"/>
          </w:tcPr>
          <w:p w:rsidR="008217C8" w:rsidRPr="00602692" w:rsidRDefault="008217C8" w:rsidP="00826F40">
            <w:pPr>
              <w:spacing w:before="40" w:after="120"/>
              <w:ind w:right="113"/>
            </w:pPr>
          </w:p>
        </w:tc>
        <w:tc>
          <w:tcPr>
            <w:tcW w:w="2928" w:type="dxa"/>
            <w:tcBorders>
              <w:bottom w:val="single" w:sz="12" w:space="0" w:color="auto"/>
            </w:tcBorders>
            <w:shd w:val="clear" w:color="auto" w:fill="auto"/>
          </w:tcPr>
          <w:p w:rsidR="008217C8" w:rsidRPr="00602692" w:rsidRDefault="008217C8" w:rsidP="00826F40">
            <w:pPr>
              <w:spacing w:before="40" w:after="120"/>
              <w:ind w:right="113"/>
            </w:pPr>
            <w:r w:rsidRPr="00602692">
              <w:rPr>
                <w:lang w:val="fr-FR"/>
              </w:rPr>
              <w:t>SafeFITS</w:t>
            </w:r>
          </w:p>
        </w:tc>
        <w:tc>
          <w:tcPr>
            <w:tcW w:w="1055" w:type="dxa"/>
            <w:tcBorders>
              <w:bottom w:val="single" w:sz="12" w:space="0" w:color="auto"/>
            </w:tcBorders>
            <w:shd w:val="clear" w:color="auto" w:fill="auto"/>
          </w:tcPr>
          <w:p w:rsidR="008217C8" w:rsidRPr="00602692" w:rsidRDefault="008217C8" w:rsidP="00826F40">
            <w:pPr>
              <w:spacing w:before="40" w:after="120"/>
              <w:ind w:right="113"/>
            </w:pPr>
            <w:r w:rsidRPr="00602692">
              <w:rPr>
                <w:lang w:val="fr-FR"/>
              </w:rPr>
              <w:t>Mondiale</w:t>
            </w:r>
          </w:p>
        </w:tc>
        <w:tc>
          <w:tcPr>
            <w:tcW w:w="1542" w:type="dxa"/>
            <w:tcBorders>
              <w:bottom w:val="single" w:sz="12" w:space="0" w:color="auto"/>
            </w:tcBorders>
            <w:shd w:val="clear" w:color="auto" w:fill="auto"/>
          </w:tcPr>
          <w:p w:rsidR="008217C8" w:rsidRPr="00602692" w:rsidRDefault="008217C8" w:rsidP="00826F40">
            <w:pPr>
              <w:spacing w:before="40" w:after="120"/>
              <w:ind w:right="113"/>
            </w:pPr>
            <w:r w:rsidRPr="00602692">
              <w:rPr>
                <w:lang w:val="fr-FR"/>
              </w:rPr>
              <w:t>ODD 3.6 et 11.2</w:t>
            </w:r>
            <w:r>
              <w:rPr>
                <w:lang w:val="fr-FR"/>
              </w:rPr>
              <w:br/>
            </w:r>
            <w:r w:rsidRPr="00602692">
              <w:rPr>
                <w:lang w:val="fr-FR"/>
              </w:rPr>
              <w:t>CV : 1 à 12</w:t>
            </w:r>
          </w:p>
        </w:tc>
        <w:tc>
          <w:tcPr>
            <w:tcW w:w="1129" w:type="dxa"/>
            <w:tcBorders>
              <w:bottom w:val="single" w:sz="12" w:space="0" w:color="auto"/>
            </w:tcBorders>
            <w:shd w:val="clear" w:color="auto" w:fill="auto"/>
          </w:tcPr>
          <w:p w:rsidR="008217C8" w:rsidRPr="00602692" w:rsidRDefault="008217C8" w:rsidP="00826F40">
            <w:pPr>
              <w:spacing w:before="40" w:after="120"/>
              <w:ind w:right="113"/>
            </w:pPr>
            <w:r w:rsidRPr="00602692">
              <w:rPr>
                <w:lang w:val="fr-FR"/>
              </w:rPr>
              <w:t>Volets 1 à 5</w:t>
            </w:r>
          </w:p>
        </w:tc>
        <w:tc>
          <w:tcPr>
            <w:tcW w:w="833" w:type="dxa"/>
            <w:tcBorders>
              <w:bottom w:val="single" w:sz="12" w:space="0" w:color="auto"/>
            </w:tcBorders>
            <w:shd w:val="clear" w:color="auto" w:fill="auto"/>
          </w:tcPr>
          <w:p w:rsidR="008217C8" w:rsidRPr="00602692" w:rsidRDefault="008217C8" w:rsidP="00826F40">
            <w:pPr>
              <w:spacing w:before="40" w:after="120"/>
              <w:ind w:right="113"/>
            </w:pPr>
            <w:r w:rsidRPr="00602692">
              <w:rPr>
                <w:lang w:val="fr-FR"/>
              </w:rPr>
              <w:t>BO</w:t>
            </w:r>
          </w:p>
        </w:tc>
      </w:tr>
    </w:tbl>
    <w:p w:rsidR="008217C8" w:rsidRPr="00E919A1" w:rsidRDefault="008217C8" w:rsidP="008217C8">
      <w:pPr>
        <w:pStyle w:val="HChG"/>
        <w:rPr>
          <w:lang w:val="fr-FR"/>
        </w:rPr>
      </w:pPr>
      <w:r>
        <w:rPr>
          <w:lang w:val="fr-FR"/>
        </w:rPr>
        <w:tab/>
      </w:r>
      <w:r w:rsidRPr="00E919A1">
        <w:rPr>
          <w:lang w:val="fr-FR"/>
        </w:rPr>
        <w:t>VI.</w:t>
      </w:r>
      <w:r w:rsidRPr="00E919A1">
        <w:rPr>
          <w:lang w:val="fr-FR"/>
        </w:rPr>
        <w:tab/>
        <w:t>Mobilisation des ressources et partenariats</w:t>
      </w:r>
    </w:p>
    <w:p w:rsidR="008217C8" w:rsidRPr="00E919A1" w:rsidRDefault="008217C8" w:rsidP="008217C8">
      <w:pPr>
        <w:pStyle w:val="SingleTxtG"/>
        <w:rPr>
          <w:lang w:val="fr-FR"/>
        </w:rPr>
      </w:pPr>
      <w:r w:rsidRPr="00E919A1">
        <w:rPr>
          <w:lang w:val="fr-FR"/>
        </w:rPr>
        <w:t>16.</w:t>
      </w:r>
      <w:r w:rsidRPr="00E919A1">
        <w:rPr>
          <w:lang w:val="fr-FR"/>
        </w:rPr>
        <w:tab/>
        <w:t>Le service et la mise à jour des instruments juridiques existants relevant de la compétence du Comité et l</w:t>
      </w:r>
      <w:r>
        <w:rPr>
          <w:lang w:val="fr-FR"/>
        </w:rPr>
        <w:t>’</w:t>
      </w:r>
      <w:r w:rsidRPr="00E919A1">
        <w:rPr>
          <w:lang w:val="fr-FR"/>
        </w:rPr>
        <w:t>élaboration de nouveaux instruments continueront d</w:t>
      </w:r>
      <w:r>
        <w:rPr>
          <w:lang w:val="fr-FR"/>
        </w:rPr>
        <w:t>’</w:t>
      </w:r>
      <w:r w:rsidRPr="00E919A1">
        <w:rPr>
          <w:lang w:val="fr-FR"/>
        </w:rPr>
        <w:t>être la priorité absolue du CTI et de dépendre des ressources du budget ordinaire. Les groupes de travail et le secrétariat programmeront leurs activités d</w:t>
      </w:r>
      <w:r>
        <w:rPr>
          <w:lang w:val="fr-FR"/>
        </w:rPr>
        <w:t>’</w:t>
      </w:r>
      <w:r w:rsidRPr="00E919A1">
        <w:rPr>
          <w:lang w:val="fr-FR"/>
        </w:rPr>
        <w:t>ici à 2030 et au-delà afin de répartir équitablement la charge de travail en fonction du plan d</w:t>
      </w:r>
      <w:r>
        <w:rPr>
          <w:lang w:val="fr-FR"/>
        </w:rPr>
        <w:t>’</w:t>
      </w:r>
      <w:r w:rsidRPr="00E919A1">
        <w:rPr>
          <w:lang w:val="fr-FR"/>
        </w:rPr>
        <w:t>action stratégique et de la liste des priorités ainsi que des ressources disponibles. Compte tenu de l</w:t>
      </w:r>
      <w:r>
        <w:rPr>
          <w:lang w:val="fr-FR"/>
        </w:rPr>
        <w:t>’</w:t>
      </w:r>
      <w:r w:rsidRPr="00E919A1">
        <w:rPr>
          <w:lang w:val="fr-FR"/>
        </w:rPr>
        <w:t>expérience acquise par le WP.1, le WP.29 et le WP.30</w:t>
      </w:r>
      <w:r>
        <w:rPr>
          <w:lang w:val="fr-FR"/>
        </w:rPr>
        <w:t>, dont la portée est mondiale</w:t>
      </w:r>
      <w:r w:rsidRPr="00E919A1">
        <w:rPr>
          <w:lang w:val="fr-FR"/>
        </w:rPr>
        <w:t>, aucune incidence budgétaire n</w:t>
      </w:r>
      <w:r>
        <w:rPr>
          <w:lang w:val="fr-FR"/>
        </w:rPr>
        <w:t>’</w:t>
      </w:r>
      <w:r w:rsidRPr="00E919A1">
        <w:rPr>
          <w:lang w:val="fr-FR"/>
        </w:rPr>
        <w:t>est prévue en raison de l</w:t>
      </w:r>
      <w:r>
        <w:rPr>
          <w:lang w:val="fr-FR"/>
        </w:rPr>
        <w:t>’</w:t>
      </w:r>
      <w:r w:rsidRPr="00E919A1">
        <w:rPr>
          <w:lang w:val="fr-FR"/>
        </w:rPr>
        <w:t xml:space="preserve">augmentation </w:t>
      </w:r>
      <w:r>
        <w:rPr>
          <w:lang w:val="fr-FR"/>
        </w:rPr>
        <w:t xml:space="preserve">du nombre </w:t>
      </w:r>
      <w:r w:rsidRPr="00E919A1">
        <w:rPr>
          <w:lang w:val="fr-FR"/>
        </w:rPr>
        <w:t>des Parties contractantes aux instruments juridiques relevant de ces groupes de travail.</w:t>
      </w:r>
    </w:p>
    <w:p w:rsidR="008217C8" w:rsidRPr="00E919A1" w:rsidRDefault="008217C8" w:rsidP="008217C8">
      <w:pPr>
        <w:pStyle w:val="SingleTxtG"/>
        <w:rPr>
          <w:lang w:val="fr-FR"/>
        </w:rPr>
      </w:pPr>
      <w:r w:rsidRPr="00E919A1">
        <w:rPr>
          <w:lang w:val="fr-FR"/>
        </w:rPr>
        <w:t>17.</w:t>
      </w:r>
      <w:r w:rsidRPr="00E919A1">
        <w:rPr>
          <w:lang w:val="fr-FR"/>
        </w:rPr>
        <w:tab/>
        <w:t>Les besoins en ressources les plus importants pour la mise en œuvre de la stratégie, qui concernent le renforcement des capacités pour la création de manuels de formation, de lignes directrices, de normes et de critères de compétence</w:t>
      </w:r>
      <w:r>
        <w:rPr>
          <w:lang w:val="fr-FR"/>
        </w:rPr>
        <w:t>,</w:t>
      </w:r>
      <w:r w:rsidRPr="00E919A1">
        <w:rPr>
          <w:lang w:val="fr-FR"/>
        </w:rPr>
        <w:t xml:space="preserve"> ou l</w:t>
      </w:r>
      <w:r>
        <w:rPr>
          <w:lang w:val="fr-FR"/>
        </w:rPr>
        <w:t>’</w:t>
      </w:r>
      <w:r w:rsidRPr="00E919A1">
        <w:rPr>
          <w:lang w:val="fr-FR"/>
        </w:rPr>
        <w:t>adaptation ou la mise à jour de ce qui existe</w:t>
      </w:r>
      <w:r>
        <w:rPr>
          <w:lang w:val="fr-FR"/>
        </w:rPr>
        <w:t xml:space="preserve"> déjà</w:t>
      </w:r>
      <w:r w:rsidRPr="00E919A1">
        <w:rPr>
          <w:lang w:val="fr-FR"/>
        </w:rPr>
        <w:t xml:space="preserve"> et l</w:t>
      </w:r>
      <w:r>
        <w:rPr>
          <w:lang w:val="fr-FR"/>
        </w:rPr>
        <w:t>’</w:t>
      </w:r>
      <w:r w:rsidRPr="00E919A1">
        <w:rPr>
          <w:lang w:val="fr-FR"/>
        </w:rPr>
        <w:t>organisation de formations, devraient être financés par des fonds extrabudgétaires ou au moyen d</w:t>
      </w:r>
      <w:r>
        <w:rPr>
          <w:lang w:val="fr-FR"/>
        </w:rPr>
        <w:t>’</w:t>
      </w:r>
      <w:r w:rsidRPr="00E919A1">
        <w:rPr>
          <w:lang w:val="fr-FR"/>
        </w:rPr>
        <w:t>autres solutions de financement hors budget ordinaire de la CEE. Viennent ensuite les travaux de recherche et d</w:t>
      </w:r>
      <w:r>
        <w:rPr>
          <w:lang w:val="fr-FR"/>
        </w:rPr>
        <w:t>’</w:t>
      </w:r>
      <w:r w:rsidRPr="00E919A1">
        <w:rPr>
          <w:lang w:val="fr-FR"/>
        </w:rPr>
        <w:t xml:space="preserve">analyse </w:t>
      </w:r>
      <w:r>
        <w:rPr>
          <w:lang w:val="fr-FR"/>
        </w:rPr>
        <w:t xml:space="preserve">portant </w:t>
      </w:r>
      <w:r w:rsidRPr="00E919A1">
        <w:rPr>
          <w:lang w:val="fr-FR"/>
        </w:rPr>
        <w:t>sur les défis régionaux et mondiaux en matière de transports intérieurs au regard du Programme de développement à l</w:t>
      </w:r>
      <w:r>
        <w:rPr>
          <w:lang w:val="fr-FR"/>
        </w:rPr>
        <w:t>’</w:t>
      </w:r>
      <w:r w:rsidRPr="00E919A1">
        <w:rPr>
          <w:lang w:val="fr-FR"/>
        </w:rPr>
        <w:t>horizon 2030 et sur les solutions, et la mise au point et la mise en œuvre d</w:t>
      </w:r>
      <w:r>
        <w:rPr>
          <w:lang w:val="fr-FR"/>
        </w:rPr>
        <w:t>’</w:t>
      </w:r>
      <w:r w:rsidRPr="00E919A1">
        <w:rPr>
          <w:lang w:val="fr-FR"/>
        </w:rPr>
        <w:t>outils et d</w:t>
      </w:r>
      <w:r>
        <w:rPr>
          <w:lang w:val="fr-FR"/>
        </w:rPr>
        <w:t>’</w:t>
      </w:r>
      <w:r w:rsidRPr="00E919A1">
        <w:rPr>
          <w:lang w:val="fr-FR"/>
        </w:rPr>
        <w:t>indicateurs.</w:t>
      </w:r>
    </w:p>
    <w:p w:rsidR="008217C8" w:rsidRPr="00E919A1" w:rsidRDefault="008217C8" w:rsidP="008217C8">
      <w:pPr>
        <w:pStyle w:val="SingleTxtG"/>
        <w:rPr>
          <w:lang w:val="fr-FR"/>
        </w:rPr>
      </w:pPr>
      <w:r w:rsidRPr="00E919A1">
        <w:rPr>
          <w:lang w:val="fr-FR"/>
        </w:rPr>
        <w:t>18.</w:t>
      </w:r>
      <w:r w:rsidRPr="00E919A1">
        <w:rPr>
          <w:lang w:val="fr-FR"/>
        </w:rPr>
        <w:tab/>
        <w:t>En principe, les ressources en personnel inscrites au budget ordinaire ne doivent être utilisées que pour l</w:t>
      </w:r>
      <w:r>
        <w:rPr>
          <w:lang w:val="fr-FR"/>
        </w:rPr>
        <w:t>’</w:t>
      </w:r>
      <w:r w:rsidRPr="00E919A1">
        <w:rPr>
          <w:lang w:val="fr-FR"/>
        </w:rPr>
        <w:t>administration des instruments juridiques et le service des groupes de travail, ou pour toute autre tâche relevant du budget ordinaire. Dans le cadre de ces travaux, le personnel relevant du budget ordinaire peut également, dans des circonstances exceptionnelles, apporter sa contribution à des tâches liées à des fonds extrabudgétaires, si nécessaire et si aucune ressource du budget ordinaire n</w:t>
      </w:r>
      <w:r>
        <w:rPr>
          <w:lang w:val="fr-FR"/>
        </w:rPr>
        <w:t>’</w:t>
      </w:r>
      <w:r w:rsidRPr="00E919A1">
        <w:rPr>
          <w:lang w:val="fr-FR"/>
        </w:rPr>
        <w:t>est disponible. Il n</w:t>
      </w:r>
      <w:r>
        <w:rPr>
          <w:lang w:val="fr-FR"/>
        </w:rPr>
        <w:t>’</w:t>
      </w:r>
      <w:r w:rsidRPr="00E919A1">
        <w:rPr>
          <w:lang w:val="fr-FR"/>
        </w:rPr>
        <w:t>est pas envisageable que l</w:t>
      </w:r>
      <w:r>
        <w:rPr>
          <w:lang w:val="fr-FR"/>
        </w:rPr>
        <w:t>’</w:t>
      </w:r>
      <w:r w:rsidRPr="00E919A1">
        <w:rPr>
          <w:lang w:val="fr-FR"/>
        </w:rPr>
        <w:t>exécution de tâches relevant du budget ordinaire soit affectée par ces mesures exceptionnelles.</w:t>
      </w:r>
      <w:bookmarkStart w:id="6" w:name="_Hlk516757783"/>
      <w:bookmarkEnd w:id="6"/>
    </w:p>
    <w:p w:rsidR="008217C8" w:rsidRPr="00E919A1" w:rsidRDefault="008217C8" w:rsidP="008217C8">
      <w:pPr>
        <w:pStyle w:val="SingleTxtG"/>
        <w:rPr>
          <w:lang w:val="fr-FR"/>
        </w:rPr>
      </w:pPr>
      <w:r w:rsidRPr="00E919A1">
        <w:rPr>
          <w:lang w:val="fr-FR"/>
        </w:rPr>
        <w:lastRenderedPageBreak/>
        <w:t>19.</w:t>
      </w:r>
      <w:r w:rsidRPr="00E919A1">
        <w:rPr>
          <w:lang w:val="fr-FR"/>
        </w:rPr>
        <w:tab/>
        <w:t>Dans ces deux domaines, un financement est principalement nécessaire pour l</w:t>
      </w:r>
      <w:r>
        <w:rPr>
          <w:lang w:val="fr-FR"/>
        </w:rPr>
        <w:t>’</w:t>
      </w:r>
      <w:r w:rsidRPr="00E919A1">
        <w:rPr>
          <w:lang w:val="fr-FR"/>
        </w:rPr>
        <w:t>assistance technique aux pays en développement et aux pays les moins avancés (PMA), y</w:t>
      </w:r>
      <w:r>
        <w:rPr>
          <w:lang w:val="fr-FR"/>
        </w:rPr>
        <w:t> </w:t>
      </w:r>
      <w:r w:rsidRPr="00E919A1">
        <w:rPr>
          <w:lang w:val="fr-FR"/>
        </w:rPr>
        <w:t>compris les pays en développement sans littoral. Le budget des Nations Unies consacré au renforcement des capacités des pays en développement et des pays les moins avancés peut être une source régulière de financement pour ce type d</w:t>
      </w:r>
      <w:r>
        <w:rPr>
          <w:lang w:val="fr-FR"/>
        </w:rPr>
        <w:t>’</w:t>
      </w:r>
      <w:r w:rsidRPr="00E919A1">
        <w:rPr>
          <w:lang w:val="fr-FR"/>
        </w:rPr>
        <w:t>activités.</w:t>
      </w:r>
    </w:p>
    <w:p w:rsidR="008217C8" w:rsidRPr="00E919A1" w:rsidRDefault="008217C8" w:rsidP="008217C8">
      <w:pPr>
        <w:pStyle w:val="SingleTxtG"/>
        <w:rPr>
          <w:lang w:val="fr-FR"/>
        </w:rPr>
      </w:pPr>
      <w:r w:rsidRPr="00E919A1">
        <w:rPr>
          <w:lang w:val="fr-FR"/>
        </w:rPr>
        <w:t>20.</w:t>
      </w:r>
      <w:r w:rsidRPr="00E919A1">
        <w:rPr>
          <w:lang w:val="fr-FR"/>
        </w:rPr>
        <w:tab/>
        <w:t>Les donateurs extrabudgétaires p</w:t>
      </w:r>
      <w:r>
        <w:rPr>
          <w:lang w:val="fr-FR"/>
        </w:rPr>
        <w:t>euv</w:t>
      </w:r>
      <w:r w:rsidRPr="00E919A1">
        <w:rPr>
          <w:lang w:val="fr-FR"/>
        </w:rPr>
        <w:t xml:space="preserve">ent avoir des politiques et priorités propres, mais les projets conçus sur la base du sous-programme découlant de la stratégie adoptée permettraient de contribuer à la mise en œuvre de cette stratégie. Dans le cadre </w:t>
      </w:r>
      <w:r>
        <w:rPr>
          <w:lang w:val="fr-FR"/>
        </w:rPr>
        <w:t>du CTI</w:t>
      </w:r>
      <w:r w:rsidRPr="00E919A1">
        <w:rPr>
          <w:lang w:val="fr-FR"/>
        </w:rPr>
        <w:t>, un processus rationalisé peut être envisagé pour améliorer la cohérence et l</w:t>
      </w:r>
      <w:r>
        <w:rPr>
          <w:lang w:val="fr-FR"/>
        </w:rPr>
        <w:t>’</w:t>
      </w:r>
      <w:r w:rsidRPr="00E919A1">
        <w:rPr>
          <w:lang w:val="fr-FR"/>
        </w:rPr>
        <w:t>efficacité du processus de financement. Un pacte ou un ensemble de projets à moyen terme peut aussi avoir le même succès.</w:t>
      </w:r>
    </w:p>
    <w:p w:rsidR="008217C8" w:rsidRPr="00E919A1" w:rsidRDefault="008217C8" w:rsidP="008217C8">
      <w:pPr>
        <w:pStyle w:val="SingleTxtG"/>
        <w:rPr>
          <w:lang w:val="fr-FR"/>
        </w:rPr>
      </w:pPr>
      <w:r w:rsidRPr="00E919A1">
        <w:rPr>
          <w:lang w:val="fr-FR"/>
        </w:rPr>
        <w:t>21.</w:t>
      </w:r>
      <w:r w:rsidRPr="00E919A1">
        <w:rPr>
          <w:lang w:val="fr-FR"/>
        </w:rPr>
        <w:tab/>
        <w:t>L</w:t>
      </w:r>
      <w:r>
        <w:rPr>
          <w:lang w:val="fr-FR"/>
        </w:rPr>
        <w:t>’</w:t>
      </w:r>
      <w:r w:rsidRPr="00E919A1">
        <w:rPr>
          <w:lang w:val="fr-FR"/>
        </w:rPr>
        <w:t>intégration des connaissances sur les instruments juridiques dans l</w:t>
      </w:r>
      <w:r>
        <w:rPr>
          <w:lang w:val="fr-FR"/>
        </w:rPr>
        <w:t>’</w:t>
      </w:r>
      <w:r w:rsidRPr="00E919A1">
        <w:rPr>
          <w:lang w:val="fr-FR"/>
        </w:rPr>
        <w:t xml:space="preserve">enseignement et la formation professionnels devrait être le principal </w:t>
      </w:r>
      <w:r>
        <w:rPr>
          <w:lang w:val="fr-FR"/>
        </w:rPr>
        <w:t>levier pour</w:t>
      </w:r>
      <w:r w:rsidRPr="00E919A1">
        <w:rPr>
          <w:lang w:val="fr-FR"/>
        </w:rPr>
        <w:t xml:space="preserve"> renforcer de manière rationnelle et efficace les capacités nationales. </w:t>
      </w:r>
      <w:r>
        <w:rPr>
          <w:lang w:val="fr-FR"/>
        </w:rPr>
        <w:t>Le CTI</w:t>
      </w:r>
      <w:r w:rsidRPr="00E919A1">
        <w:rPr>
          <w:lang w:val="fr-FR"/>
        </w:rPr>
        <w:t xml:space="preserve"> et ses organes subsidiaires peuvent fixer des normes et des critères de compétence minimaux, et impliquer les universités, les facultés et les centres de formation cl</w:t>
      </w:r>
      <w:r>
        <w:rPr>
          <w:lang w:val="fr-FR"/>
        </w:rPr>
        <w:t>ef</w:t>
      </w:r>
      <w:r w:rsidRPr="00E919A1">
        <w:rPr>
          <w:lang w:val="fr-FR"/>
        </w:rPr>
        <w:t>s dans leur processus pertinent. Le secrétariat peut nouer des partenariats avec les établissements d</w:t>
      </w:r>
      <w:r>
        <w:rPr>
          <w:lang w:val="fr-FR"/>
        </w:rPr>
        <w:t>’</w:t>
      </w:r>
      <w:r w:rsidRPr="00E919A1">
        <w:rPr>
          <w:lang w:val="fr-FR"/>
        </w:rPr>
        <w:t>enseignement et de formation et leur fournir des documents et du matériel pédagogique, ou coopérer avec eux à l</w:t>
      </w:r>
      <w:r>
        <w:rPr>
          <w:lang w:val="fr-FR"/>
        </w:rPr>
        <w:t>’</w:t>
      </w:r>
      <w:r w:rsidRPr="00E919A1">
        <w:rPr>
          <w:lang w:val="fr-FR"/>
        </w:rPr>
        <w:t>élaboration de tels outils.</w:t>
      </w:r>
    </w:p>
    <w:p w:rsidR="008217C8" w:rsidRPr="00E919A1" w:rsidRDefault="008217C8" w:rsidP="008217C8">
      <w:pPr>
        <w:pStyle w:val="SingleTxtG"/>
        <w:rPr>
          <w:lang w:val="fr-FR"/>
        </w:rPr>
      </w:pPr>
      <w:r w:rsidRPr="00E919A1">
        <w:rPr>
          <w:lang w:val="fr-FR"/>
        </w:rPr>
        <w:t>22.</w:t>
      </w:r>
      <w:r w:rsidRPr="00E919A1">
        <w:rPr>
          <w:lang w:val="fr-FR"/>
        </w:rPr>
        <w:tab/>
        <w:t>La mise au point de formations en ligne peut également être une façon efficace de renforcer les capacités pour surmonter la pénurie de ressources en personnel pour une gamme complète d</w:t>
      </w:r>
      <w:r>
        <w:rPr>
          <w:lang w:val="fr-FR"/>
        </w:rPr>
        <w:t>’</w:t>
      </w:r>
      <w:r w:rsidRPr="00E919A1">
        <w:rPr>
          <w:lang w:val="fr-FR"/>
        </w:rPr>
        <w:t>activités de renforcement des capacités à l</w:t>
      </w:r>
      <w:r>
        <w:rPr>
          <w:lang w:val="fr-FR"/>
        </w:rPr>
        <w:t>’</w:t>
      </w:r>
      <w:r w:rsidRPr="00E919A1">
        <w:rPr>
          <w:lang w:val="fr-FR"/>
        </w:rPr>
        <w:t>échelle mondiale. Le</w:t>
      </w:r>
      <w:r>
        <w:rPr>
          <w:lang w:val="fr-FR"/>
        </w:rPr>
        <w:t> </w:t>
      </w:r>
      <w:r w:rsidRPr="00E919A1">
        <w:rPr>
          <w:lang w:val="fr-FR"/>
        </w:rPr>
        <w:t>fonctionnement des</w:t>
      </w:r>
      <w:r>
        <w:rPr>
          <w:lang w:val="fr-FR"/>
        </w:rPr>
        <w:t xml:space="preserve"> </w:t>
      </w:r>
      <w:r w:rsidRPr="00E919A1">
        <w:rPr>
          <w:lang w:val="fr-FR"/>
        </w:rPr>
        <w:t>formations en ligne peut être assuré en partenariat avec certaines institutions, telles que l</w:t>
      </w:r>
      <w:r>
        <w:rPr>
          <w:lang w:val="fr-FR"/>
        </w:rPr>
        <w:t>’</w:t>
      </w:r>
      <w:r w:rsidRPr="00E919A1">
        <w:rPr>
          <w:lang w:val="fr-FR"/>
        </w:rPr>
        <w:t>organe de formation de l</w:t>
      </w:r>
      <w:r>
        <w:rPr>
          <w:lang w:val="fr-FR"/>
        </w:rPr>
        <w:t>’</w:t>
      </w:r>
      <w:r w:rsidRPr="00E919A1">
        <w:rPr>
          <w:lang w:val="fr-FR"/>
        </w:rPr>
        <w:t xml:space="preserve">Union internationale des transports routiers (IRU </w:t>
      </w:r>
      <w:proofErr w:type="spellStart"/>
      <w:r w:rsidRPr="00E919A1">
        <w:rPr>
          <w:lang w:val="fr-FR"/>
        </w:rPr>
        <w:t>Academy</w:t>
      </w:r>
      <w:proofErr w:type="spellEnd"/>
      <w:r w:rsidRPr="00E919A1">
        <w:rPr>
          <w:lang w:val="fr-FR"/>
        </w:rPr>
        <w:t>) et l</w:t>
      </w:r>
      <w:r>
        <w:rPr>
          <w:lang w:val="fr-FR"/>
        </w:rPr>
        <w:t>’</w:t>
      </w:r>
      <w:r w:rsidRPr="00E919A1">
        <w:rPr>
          <w:lang w:val="fr-FR"/>
        </w:rPr>
        <w:t>UNITAR. Ce type de cours ciblera la formation dans l</w:t>
      </w:r>
      <w:r>
        <w:rPr>
          <w:lang w:val="fr-FR"/>
        </w:rPr>
        <w:t>’</w:t>
      </w:r>
      <w:r w:rsidRPr="00E919A1">
        <w:rPr>
          <w:lang w:val="fr-FR"/>
        </w:rPr>
        <w:t>entreprise.</w:t>
      </w:r>
    </w:p>
    <w:p w:rsidR="008217C8" w:rsidRPr="00E919A1" w:rsidRDefault="008217C8" w:rsidP="008217C8">
      <w:pPr>
        <w:pStyle w:val="SingleTxtG"/>
        <w:rPr>
          <w:lang w:val="fr-FR"/>
        </w:rPr>
      </w:pPr>
      <w:r w:rsidRPr="00E919A1">
        <w:rPr>
          <w:lang w:val="fr-FR"/>
        </w:rPr>
        <w:t>23.</w:t>
      </w:r>
      <w:r w:rsidRPr="00E919A1">
        <w:rPr>
          <w:lang w:val="fr-FR"/>
        </w:rPr>
        <w:tab/>
        <w:t xml:space="preserve">Un autre élément parallèle pour </w:t>
      </w:r>
      <w:r>
        <w:rPr>
          <w:lang w:val="fr-FR"/>
        </w:rPr>
        <w:t>le CTI</w:t>
      </w:r>
      <w:r w:rsidRPr="00E919A1">
        <w:rPr>
          <w:lang w:val="fr-FR"/>
        </w:rPr>
        <w:t xml:space="preserve"> et ses organes subsidiaires est de rendre obligatoire la formation aux compétences minimales en matière de sûreté et de sécurité, à l</w:t>
      </w:r>
      <w:r>
        <w:rPr>
          <w:lang w:val="fr-FR"/>
        </w:rPr>
        <w:t>’</w:t>
      </w:r>
      <w:r w:rsidRPr="00E919A1">
        <w:rPr>
          <w:lang w:val="fr-FR"/>
        </w:rPr>
        <w:t>instar des exigences applicables aux équipages maritimes et aériens.</w:t>
      </w:r>
    </w:p>
    <w:p w:rsidR="008217C8" w:rsidRPr="00E919A1" w:rsidRDefault="008217C8" w:rsidP="008217C8">
      <w:pPr>
        <w:pStyle w:val="SingleTxtG"/>
        <w:rPr>
          <w:lang w:val="fr-FR"/>
        </w:rPr>
      </w:pPr>
      <w:r w:rsidRPr="00E919A1">
        <w:rPr>
          <w:lang w:val="fr-FR"/>
        </w:rPr>
        <w:t>24.</w:t>
      </w:r>
      <w:r w:rsidRPr="00E919A1">
        <w:rPr>
          <w:lang w:val="fr-FR"/>
        </w:rPr>
        <w:tab/>
        <w:t>La coopération au sein de la CEE serait utile pour aider à réduire le déficit des capacités internes au regard des besoins en matière de recherche, de mise au point d</w:t>
      </w:r>
      <w:r>
        <w:rPr>
          <w:lang w:val="fr-FR"/>
        </w:rPr>
        <w:t>’</w:t>
      </w:r>
      <w:r w:rsidRPr="00E919A1">
        <w:rPr>
          <w:lang w:val="fr-FR"/>
        </w:rPr>
        <w:t>outils et de numérisation. L</w:t>
      </w:r>
      <w:r>
        <w:rPr>
          <w:lang w:val="fr-FR"/>
        </w:rPr>
        <w:t>’</w:t>
      </w:r>
      <w:r w:rsidRPr="00E919A1">
        <w:rPr>
          <w:lang w:val="fr-FR"/>
        </w:rPr>
        <w:t>élaboration récente de l</w:t>
      </w:r>
      <w:r>
        <w:rPr>
          <w:lang w:val="fr-FR"/>
        </w:rPr>
        <w:t>’</w:t>
      </w:r>
      <w:r w:rsidRPr="00E919A1">
        <w:rPr>
          <w:lang w:val="fr-FR"/>
        </w:rPr>
        <w:t>e-CMR en collaboration avec le CEFACT</w:t>
      </w:r>
      <w:r>
        <w:rPr>
          <w:lang w:val="fr-FR"/>
        </w:rPr>
        <w:noBreakHyphen/>
      </w:r>
      <w:r w:rsidRPr="00E919A1">
        <w:rPr>
          <w:lang w:val="fr-FR"/>
        </w:rPr>
        <w:t xml:space="preserve">ONU </w:t>
      </w:r>
      <w:r>
        <w:rPr>
          <w:lang w:val="fr-FR"/>
        </w:rPr>
        <w:t>en est l’</w:t>
      </w:r>
      <w:r w:rsidRPr="00E919A1">
        <w:rPr>
          <w:lang w:val="fr-FR"/>
        </w:rPr>
        <w:t>illustr</w:t>
      </w:r>
      <w:r>
        <w:rPr>
          <w:lang w:val="fr-FR"/>
        </w:rPr>
        <w:t>ation</w:t>
      </w:r>
      <w:r w:rsidRPr="00E919A1">
        <w:rPr>
          <w:lang w:val="fr-FR"/>
        </w:rPr>
        <w:t>.</w:t>
      </w:r>
    </w:p>
    <w:p w:rsidR="008217C8" w:rsidRPr="00E919A1" w:rsidRDefault="008217C8" w:rsidP="008217C8">
      <w:pPr>
        <w:pStyle w:val="SingleTxtG"/>
        <w:rPr>
          <w:lang w:val="fr-FR"/>
        </w:rPr>
      </w:pPr>
      <w:r w:rsidRPr="00E919A1">
        <w:rPr>
          <w:lang w:val="fr-FR"/>
        </w:rPr>
        <w:t>25.</w:t>
      </w:r>
      <w:r w:rsidRPr="00E919A1">
        <w:rPr>
          <w:lang w:val="fr-FR"/>
        </w:rPr>
        <w:tab/>
        <w:t>Grâce à la décision du Secrétaire général de l</w:t>
      </w:r>
      <w:r>
        <w:rPr>
          <w:lang w:val="fr-FR"/>
        </w:rPr>
        <w:t>’</w:t>
      </w:r>
      <w:r w:rsidRPr="00E919A1">
        <w:rPr>
          <w:lang w:val="fr-FR"/>
        </w:rPr>
        <w:t>ONU de créer un Fonds d</w:t>
      </w:r>
      <w:r>
        <w:rPr>
          <w:lang w:val="fr-FR"/>
        </w:rPr>
        <w:t>’</w:t>
      </w:r>
      <w:r w:rsidRPr="00E919A1">
        <w:rPr>
          <w:lang w:val="fr-FR"/>
        </w:rPr>
        <w:t>affectation spéciale des Nations Unies pour la sécurité routière, dont le secrétariat serait assuré par la CEE, on dispose d</w:t>
      </w:r>
      <w:r>
        <w:rPr>
          <w:lang w:val="fr-FR"/>
        </w:rPr>
        <w:t>’</w:t>
      </w:r>
      <w:r w:rsidRPr="00E919A1">
        <w:rPr>
          <w:lang w:val="fr-FR"/>
        </w:rPr>
        <w:t>un outil très efficace pour mobiliser des ressources financières à l</w:t>
      </w:r>
      <w:r>
        <w:rPr>
          <w:lang w:val="fr-FR"/>
        </w:rPr>
        <w:t>’</w:t>
      </w:r>
      <w:r w:rsidRPr="00E919A1">
        <w:rPr>
          <w:lang w:val="fr-FR"/>
        </w:rPr>
        <w:t xml:space="preserve">appui, entre autres, des travaux menés par le CTI et ses organes subsidiaires dans le domaine de la sécurité routière, et pour moduler cet appui selon les différents besoins des États Membres des Nations Unies au niveau mondial. </w:t>
      </w:r>
    </w:p>
    <w:p w:rsidR="008217C8" w:rsidRPr="00E919A1" w:rsidRDefault="008217C8" w:rsidP="008217C8">
      <w:pPr>
        <w:pStyle w:val="SingleTxtG"/>
        <w:rPr>
          <w:lang w:val="fr-FR"/>
        </w:rPr>
      </w:pPr>
      <w:r w:rsidRPr="00E919A1">
        <w:rPr>
          <w:lang w:val="fr-FR"/>
        </w:rPr>
        <w:t>26.</w:t>
      </w:r>
      <w:r w:rsidRPr="00E919A1">
        <w:rPr>
          <w:lang w:val="fr-FR"/>
        </w:rPr>
        <w:tab/>
        <w:t>Le secrétariat pourrait renforcer sa coopération avec d</w:t>
      </w:r>
      <w:r>
        <w:rPr>
          <w:lang w:val="fr-FR"/>
        </w:rPr>
        <w:t>’</w:t>
      </w:r>
      <w:r w:rsidRPr="00E919A1">
        <w:rPr>
          <w:lang w:val="fr-FR"/>
        </w:rPr>
        <w:t>autres organisations, par exemple les autres commissions régionales, les banques de développement et les organisations d</w:t>
      </w:r>
      <w:r>
        <w:rPr>
          <w:lang w:val="fr-FR"/>
        </w:rPr>
        <w:t>’</w:t>
      </w:r>
      <w:r w:rsidRPr="00E919A1">
        <w:rPr>
          <w:lang w:val="fr-FR"/>
        </w:rPr>
        <w:t xml:space="preserve">intégration régionale, pour aider à renforcer les capacités nationales et les </w:t>
      </w:r>
      <w:r>
        <w:rPr>
          <w:lang w:val="fr-FR"/>
        </w:rPr>
        <w:t>plateformes</w:t>
      </w:r>
      <w:r w:rsidRPr="00E919A1">
        <w:rPr>
          <w:lang w:val="fr-FR"/>
        </w:rPr>
        <w:t xml:space="preserve"> de coopération et de coordination institutionnelles. À l</w:t>
      </w:r>
      <w:r>
        <w:rPr>
          <w:lang w:val="fr-FR"/>
        </w:rPr>
        <w:t>’</w:t>
      </w:r>
      <w:r w:rsidRPr="00E919A1">
        <w:rPr>
          <w:lang w:val="fr-FR"/>
        </w:rPr>
        <w:t>avenir, cette coopération pourrait être axée sur les capacités des établissements d</w:t>
      </w:r>
      <w:r>
        <w:rPr>
          <w:lang w:val="fr-FR"/>
        </w:rPr>
        <w:t>’</w:t>
      </w:r>
      <w:r w:rsidRPr="00E919A1">
        <w:rPr>
          <w:lang w:val="fr-FR"/>
        </w:rPr>
        <w:t>enseignement ou de formation nationaux, sous-régionaux et régionaux. Pour maximiser l</w:t>
      </w:r>
      <w:r>
        <w:rPr>
          <w:lang w:val="fr-FR"/>
        </w:rPr>
        <w:t>’</w:t>
      </w:r>
      <w:r w:rsidRPr="009667C8">
        <w:rPr>
          <w:lang w:val="fr-FR"/>
        </w:rPr>
        <w:t>audience</w:t>
      </w:r>
      <w:r w:rsidRPr="00E919A1">
        <w:rPr>
          <w:lang w:val="fr-FR"/>
        </w:rPr>
        <w:t xml:space="preserve"> et l</w:t>
      </w:r>
      <w:r>
        <w:rPr>
          <w:lang w:val="fr-FR"/>
        </w:rPr>
        <w:t xml:space="preserve">es effets </w:t>
      </w:r>
      <w:r w:rsidRPr="00E919A1">
        <w:rPr>
          <w:lang w:val="fr-FR"/>
        </w:rPr>
        <w:t>des outils de formation, leur utilisation sera encouragée aux niveaux mondial et régional par l</w:t>
      </w:r>
      <w:r>
        <w:rPr>
          <w:lang w:val="fr-FR"/>
        </w:rPr>
        <w:t>’</w:t>
      </w:r>
      <w:r w:rsidRPr="00E919A1">
        <w:rPr>
          <w:lang w:val="fr-FR"/>
        </w:rPr>
        <w:t xml:space="preserve">intermédiaire des principaux partenaires et parties prenantes, </w:t>
      </w:r>
      <w:r>
        <w:rPr>
          <w:lang w:val="fr-FR"/>
        </w:rPr>
        <w:t>en particulier</w:t>
      </w:r>
      <w:r w:rsidRPr="00E919A1">
        <w:rPr>
          <w:lang w:val="fr-FR"/>
        </w:rPr>
        <w:t xml:space="preserve"> les commissions régionales, en tenant compte des activités complémentaires d</w:t>
      </w:r>
      <w:r>
        <w:rPr>
          <w:lang w:val="fr-FR"/>
        </w:rPr>
        <w:t>’</w:t>
      </w:r>
      <w:r w:rsidRPr="00E919A1">
        <w:rPr>
          <w:lang w:val="fr-FR"/>
        </w:rPr>
        <w:t>autres organisations.</w:t>
      </w:r>
    </w:p>
    <w:p w:rsidR="008217C8" w:rsidRPr="00E919A1" w:rsidRDefault="008217C8" w:rsidP="008217C8">
      <w:pPr>
        <w:pStyle w:val="SingleTxtG"/>
        <w:rPr>
          <w:lang w:val="fr-FR"/>
        </w:rPr>
      </w:pPr>
      <w:r w:rsidRPr="00E919A1">
        <w:rPr>
          <w:lang w:val="fr-FR"/>
        </w:rPr>
        <w:t>27.</w:t>
      </w:r>
      <w:r w:rsidRPr="00E919A1">
        <w:rPr>
          <w:lang w:val="fr-FR"/>
        </w:rPr>
        <w:tab/>
        <w:t xml:space="preserve">Le Comité pourrait encore </w:t>
      </w:r>
      <w:r>
        <w:rPr>
          <w:lang w:val="fr-FR"/>
        </w:rPr>
        <w:t>intensifier</w:t>
      </w:r>
      <w:r w:rsidRPr="00E919A1">
        <w:rPr>
          <w:lang w:val="fr-FR"/>
        </w:rPr>
        <w:t xml:space="preserve"> son partenariat actuel avec les principales parties prenantes, à savoir</w:t>
      </w:r>
      <w:r w:rsidRPr="00FF032A">
        <w:rPr>
          <w:rStyle w:val="FootnoteReference"/>
        </w:rPr>
        <w:footnoteReference w:id="6"/>
      </w:r>
      <w:r>
        <w:rPr>
          <w:lang w:val="fr-FR"/>
        </w:rPr>
        <w:t> :</w:t>
      </w:r>
    </w:p>
    <w:p w:rsidR="008217C8" w:rsidRPr="00E919A1" w:rsidRDefault="008217C8" w:rsidP="008217C8">
      <w:pPr>
        <w:pStyle w:val="SingleTxtG"/>
        <w:ind w:firstLine="567"/>
        <w:rPr>
          <w:lang w:val="fr-FR"/>
        </w:rPr>
      </w:pPr>
      <w:bookmarkStart w:id="7" w:name="_Hlk512442446"/>
      <w:r w:rsidRPr="00E919A1">
        <w:rPr>
          <w:lang w:val="fr-FR"/>
        </w:rPr>
        <w:t>a)</w:t>
      </w:r>
      <w:r w:rsidRPr="00E919A1">
        <w:rPr>
          <w:lang w:val="fr-FR"/>
        </w:rPr>
        <w:tab/>
        <w:t>Les départements et organes de l</w:t>
      </w:r>
      <w:r>
        <w:rPr>
          <w:lang w:val="fr-FR"/>
        </w:rPr>
        <w:t>’</w:t>
      </w:r>
      <w:r w:rsidRPr="00E919A1">
        <w:rPr>
          <w:lang w:val="fr-FR"/>
        </w:rPr>
        <w:t>ONU s</w:t>
      </w:r>
      <w:r>
        <w:rPr>
          <w:lang w:val="fr-FR"/>
        </w:rPr>
        <w:t>’</w:t>
      </w:r>
      <w:r w:rsidRPr="00E919A1">
        <w:rPr>
          <w:lang w:val="fr-FR"/>
        </w:rPr>
        <w:t>occupant des transports</w:t>
      </w:r>
      <w:r>
        <w:rPr>
          <w:lang w:val="fr-FR"/>
        </w:rPr>
        <w:t> ;</w:t>
      </w:r>
    </w:p>
    <w:p w:rsidR="008217C8" w:rsidRPr="00E919A1" w:rsidRDefault="008217C8" w:rsidP="008217C8">
      <w:pPr>
        <w:pStyle w:val="SingleTxtG"/>
        <w:ind w:left="1701"/>
        <w:rPr>
          <w:lang w:val="fr-FR"/>
        </w:rPr>
      </w:pPr>
      <w:r w:rsidRPr="00E919A1">
        <w:rPr>
          <w:lang w:val="fr-FR"/>
        </w:rPr>
        <w:lastRenderedPageBreak/>
        <w:t>i)</w:t>
      </w:r>
      <w:r w:rsidRPr="00E919A1">
        <w:rPr>
          <w:lang w:val="fr-FR"/>
        </w:rPr>
        <w:tab/>
        <w:t>Sous l</w:t>
      </w:r>
      <w:r>
        <w:rPr>
          <w:lang w:val="fr-FR"/>
        </w:rPr>
        <w:t>’</w:t>
      </w:r>
      <w:r w:rsidRPr="00E919A1">
        <w:rPr>
          <w:lang w:val="fr-FR"/>
        </w:rPr>
        <w:t>égide du Conseil économique et social</w:t>
      </w:r>
      <w:r>
        <w:rPr>
          <w:lang w:val="fr-FR"/>
        </w:rPr>
        <w:t> :</w:t>
      </w:r>
      <w:r w:rsidRPr="00E919A1">
        <w:rPr>
          <w:lang w:val="fr-FR"/>
        </w:rPr>
        <w:t xml:space="preserve"> le DAES et les commissions régionales (CEA, CEPALC CESAO, CESAP)</w:t>
      </w:r>
      <w:r>
        <w:rPr>
          <w:lang w:val="fr-FR"/>
        </w:rPr>
        <w:t> ;</w:t>
      </w:r>
    </w:p>
    <w:p w:rsidR="008217C8" w:rsidRPr="00E919A1" w:rsidRDefault="008217C8" w:rsidP="008217C8">
      <w:pPr>
        <w:pStyle w:val="SingleTxtG"/>
        <w:ind w:left="1701"/>
        <w:rPr>
          <w:lang w:val="fr-FR"/>
        </w:rPr>
      </w:pPr>
      <w:r w:rsidRPr="00E919A1">
        <w:rPr>
          <w:lang w:val="fr-FR"/>
        </w:rPr>
        <w:t>ii)</w:t>
      </w:r>
      <w:r w:rsidRPr="00E919A1">
        <w:rPr>
          <w:lang w:val="fr-FR"/>
        </w:rPr>
        <w:tab/>
        <w:t>Les programmes des Nations Unies et les autres entités concernées par les questions de transport</w:t>
      </w:r>
      <w:r>
        <w:rPr>
          <w:lang w:val="fr-FR"/>
        </w:rPr>
        <w:t> :</w:t>
      </w:r>
      <w:r w:rsidRPr="00E919A1">
        <w:rPr>
          <w:lang w:val="fr-FR"/>
        </w:rPr>
        <w:t xml:space="preserve"> CNUCED, ONU-HABITAT, PNUD, PNUE, UNITAR</w:t>
      </w:r>
      <w:r>
        <w:rPr>
          <w:lang w:val="fr-FR"/>
        </w:rPr>
        <w:t> ;</w:t>
      </w:r>
    </w:p>
    <w:p w:rsidR="008217C8" w:rsidRPr="00E919A1" w:rsidRDefault="008217C8" w:rsidP="008217C8">
      <w:pPr>
        <w:pStyle w:val="SingleTxtG"/>
        <w:ind w:left="1701"/>
        <w:rPr>
          <w:lang w:val="fr-FR"/>
        </w:rPr>
      </w:pPr>
      <w:r w:rsidRPr="00E919A1">
        <w:rPr>
          <w:lang w:val="fr-FR"/>
        </w:rPr>
        <w:t>iii)</w:t>
      </w:r>
      <w:r w:rsidRPr="00E919A1">
        <w:rPr>
          <w:lang w:val="fr-FR"/>
        </w:rPr>
        <w:tab/>
        <w:t>Les institutions spécialisées des Nations Unies</w:t>
      </w:r>
      <w:r>
        <w:rPr>
          <w:lang w:val="fr-FR"/>
        </w:rPr>
        <w:t> :</w:t>
      </w:r>
      <w:r w:rsidRPr="00E919A1">
        <w:rPr>
          <w:lang w:val="fr-FR"/>
        </w:rPr>
        <w:t xml:space="preserve"> OACI, OIT, OMI, OMM, OMS, UIT</w:t>
      </w:r>
      <w:r>
        <w:rPr>
          <w:lang w:val="fr-FR"/>
        </w:rPr>
        <w:t> ;</w:t>
      </w:r>
    </w:p>
    <w:p w:rsidR="008217C8" w:rsidRPr="00E919A1" w:rsidRDefault="008217C8" w:rsidP="008217C8">
      <w:pPr>
        <w:pStyle w:val="SingleTxtG"/>
        <w:ind w:firstLine="567"/>
        <w:rPr>
          <w:lang w:val="fr-FR"/>
        </w:rPr>
      </w:pPr>
      <w:r w:rsidRPr="00E919A1">
        <w:rPr>
          <w:lang w:val="fr-FR"/>
        </w:rPr>
        <w:t>b)</w:t>
      </w:r>
      <w:r w:rsidRPr="00E919A1">
        <w:rPr>
          <w:lang w:val="fr-FR"/>
        </w:rPr>
        <w:tab/>
        <w:t>Les institutions financières internationales</w:t>
      </w:r>
      <w:r>
        <w:rPr>
          <w:lang w:val="fr-FR"/>
        </w:rPr>
        <w:t> :</w:t>
      </w:r>
      <w:r w:rsidRPr="00E919A1">
        <w:rPr>
          <w:lang w:val="fr-FR"/>
        </w:rPr>
        <w:t xml:space="preserve"> Groupe de la Banque mondiale, AIIB, BAD, </w:t>
      </w:r>
      <w:proofErr w:type="spellStart"/>
      <w:r w:rsidRPr="00E919A1">
        <w:rPr>
          <w:lang w:val="fr-FR"/>
        </w:rPr>
        <w:t>BAsD</w:t>
      </w:r>
      <w:proofErr w:type="spellEnd"/>
      <w:r w:rsidRPr="00E919A1">
        <w:rPr>
          <w:lang w:val="fr-FR"/>
        </w:rPr>
        <w:t>, BERD, BIAD, BID, NBD</w:t>
      </w:r>
      <w:r>
        <w:rPr>
          <w:lang w:val="fr-FR"/>
        </w:rPr>
        <w:t> ;</w:t>
      </w:r>
      <w:r w:rsidRPr="00E919A1">
        <w:rPr>
          <w:lang w:val="fr-FR"/>
        </w:rPr>
        <w:t xml:space="preserve"> </w:t>
      </w:r>
    </w:p>
    <w:p w:rsidR="008217C8" w:rsidRPr="00E919A1" w:rsidRDefault="008217C8" w:rsidP="008217C8">
      <w:pPr>
        <w:pStyle w:val="SingleTxtG"/>
        <w:ind w:firstLine="567"/>
        <w:rPr>
          <w:lang w:val="fr-FR"/>
        </w:rPr>
      </w:pPr>
      <w:r w:rsidRPr="00E919A1">
        <w:rPr>
          <w:lang w:val="fr-FR"/>
        </w:rPr>
        <w:t>c)</w:t>
      </w:r>
      <w:r w:rsidRPr="00E919A1">
        <w:rPr>
          <w:lang w:val="fr-FR"/>
        </w:rPr>
        <w:tab/>
        <w:t>Les organisations intergouvernementales ou le forum s</w:t>
      </w:r>
      <w:r>
        <w:rPr>
          <w:lang w:val="fr-FR"/>
        </w:rPr>
        <w:t>’</w:t>
      </w:r>
      <w:r w:rsidRPr="00E919A1">
        <w:rPr>
          <w:lang w:val="fr-FR"/>
        </w:rPr>
        <w:t>occupant des transports</w:t>
      </w:r>
      <w:r>
        <w:rPr>
          <w:lang w:val="fr-FR"/>
        </w:rPr>
        <w:t> :</w:t>
      </w:r>
      <w:r w:rsidRPr="00E919A1">
        <w:rPr>
          <w:lang w:val="fr-FR"/>
        </w:rPr>
        <w:t xml:space="preserve"> ASEM, FIT-OCDE, OSJD, OTIF et commissions fluviales (CCNR, CD, CM</w:t>
      </w:r>
      <w:r>
        <w:rPr>
          <w:lang w:val="fr-FR"/>
        </w:rPr>
        <w:t xml:space="preserve"> et </w:t>
      </w:r>
      <w:r w:rsidRPr="00E919A1">
        <w:rPr>
          <w:lang w:val="fr-FR"/>
        </w:rPr>
        <w:t>CS)</w:t>
      </w:r>
      <w:r>
        <w:rPr>
          <w:lang w:val="fr-FR"/>
        </w:rPr>
        <w:t> ;</w:t>
      </w:r>
    </w:p>
    <w:p w:rsidR="008217C8" w:rsidRPr="00E919A1" w:rsidRDefault="008217C8" w:rsidP="008217C8">
      <w:pPr>
        <w:pStyle w:val="SingleTxtG"/>
        <w:ind w:firstLine="567"/>
        <w:rPr>
          <w:lang w:val="fr-FR"/>
        </w:rPr>
      </w:pPr>
      <w:r w:rsidRPr="00E919A1">
        <w:rPr>
          <w:lang w:val="fr-FR"/>
        </w:rPr>
        <w:t>d)</w:t>
      </w:r>
      <w:r w:rsidRPr="00E919A1">
        <w:rPr>
          <w:lang w:val="fr-FR"/>
        </w:rPr>
        <w:tab/>
        <w:t>Les organisations d</w:t>
      </w:r>
      <w:r>
        <w:rPr>
          <w:lang w:val="fr-FR"/>
        </w:rPr>
        <w:t>’</w:t>
      </w:r>
      <w:r w:rsidRPr="00E919A1">
        <w:rPr>
          <w:lang w:val="fr-FR"/>
        </w:rPr>
        <w:t>intégration régionale</w:t>
      </w:r>
      <w:r>
        <w:rPr>
          <w:lang w:val="fr-FR"/>
        </w:rPr>
        <w:t> :</w:t>
      </w:r>
      <w:r w:rsidRPr="00E919A1">
        <w:rPr>
          <w:lang w:val="fr-FR"/>
        </w:rPr>
        <w:t xml:space="preserve"> Union européenne, Union économique eurasienne et autres organisations régionales et sous-régionales</w:t>
      </w:r>
      <w:r>
        <w:rPr>
          <w:lang w:val="fr-FR"/>
        </w:rPr>
        <w:t> ;</w:t>
      </w:r>
      <w:r w:rsidRPr="00E919A1">
        <w:rPr>
          <w:lang w:val="fr-FR"/>
        </w:rPr>
        <w:t xml:space="preserve"> </w:t>
      </w:r>
    </w:p>
    <w:p w:rsidR="008217C8" w:rsidRPr="00E919A1" w:rsidRDefault="008217C8" w:rsidP="008217C8">
      <w:pPr>
        <w:pStyle w:val="SingleTxtG"/>
        <w:ind w:firstLine="567"/>
        <w:rPr>
          <w:lang w:val="fr-FR"/>
        </w:rPr>
      </w:pPr>
      <w:r w:rsidRPr="00E919A1">
        <w:rPr>
          <w:lang w:val="fr-FR"/>
        </w:rPr>
        <w:t>e)</w:t>
      </w:r>
      <w:r w:rsidRPr="00E919A1">
        <w:rPr>
          <w:lang w:val="fr-FR"/>
        </w:rPr>
        <w:tab/>
        <w:t xml:space="preserve">Les organisations non gouvernementales </w:t>
      </w:r>
      <w:r>
        <w:rPr>
          <w:lang w:val="fr-FR"/>
        </w:rPr>
        <w:t xml:space="preserve">œuvrant </w:t>
      </w:r>
      <w:r w:rsidRPr="00E919A1">
        <w:rPr>
          <w:lang w:val="fr-FR"/>
        </w:rPr>
        <w:t>dans le domaine des transports intérieurs</w:t>
      </w:r>
      <w:r>
        <w:rPr>
          <w:lang w:val="fr-FR"/>
        </w:rPr>
        <w:t> :</w:t>
      </w:r>
    </w:p>
    <w:p w:rsidR="008217C8" w:rsidRPr="00E919A1" w:rsidRDefault="008217C8" w:rsidP="008217C8">
      <w:pPr>
        <w:pStyle w:val="SingleTxtG"/>
        <w:ind w:left="1701"/>
        <w:rPr>
          <w:lang w:val="fr-FR"/>
        </w:rPr>
      </w:pPr>
      <w:r w:rsidRPr="00E919A1">
        <w:rPr>
          <w:lang w:val="fr-FR"/>
        </w:rPr>
        <w:t>i)</w:t>
      </w:r>
      <w:r w:rsidRPr="00E919A1">
        <w:rPr>
          <w:lang w:val="fr-FR"/>
        </w:rPr>
        <w:tab/>
      </w:r>
      <w:r>
        <w:rPr>
          <w:lang w:val="fr-FR"/>
        </w:rPr>
        <w:t>Pour le t</w:t>
      </w:r>
      <w:r w:rsidRPr="00E919A1">
        <w:rPr>
          <w:lang w:val="fr-FR"/>
        </w:rPr>
        <w:t>ransport routier et infrastructures routières</w:t>
      </w:r>
      <w:r>
        <w:rPr>
          <w:lang w:val="fr-FR"/>
        </w:rPr>
        <w:t> :</w:t>
      </w:r>
      <w:r w:rsidRPr="00E919A1">
        <w:rPr>
          <w:lang w:val="fr-FR"/>
        </w:rPr>
        <w:t xml:space="preserve"> </w:t>
      </w:r>
      <w:r>
        <w:rPr>
          <w:lang w:val="fr-FR"/>
        </w:rPr>
        <w:t>l’</w:t>
      </w:r>
      <w:r w:rsidRPr="00E919A1">
        <w:rPr>
          <w:lang w:val="fr-FR"/>
        </w:rPr>
        <w:t xml:space="preserve">AIPCR, </w:t>
      </w:r>
      <w:r>
        <w:rPr>
          <w:lang w:val="fr-FR"/>
        </w:rPr>
        <w:t xml:space="preserve">la </w:t>
      </w:r>
      <w:r w:rsidRPr="00E919A1">
        <w:rPr>
          <w:lang w:val="fr-FR"/>
        </w:rPr>
        <w:t>FRI</w:t>
      </w:r>
      <w:r>
        <w:rPr>
          <w:lang w:val="fr-FR"/>
        </w:rPr>
        <w:t xml:space="preserve"> et l’</w:t>
      </w:r>
      <w:r w:rsidRPr="00E919A1">
        <w:rPr>
          <w:lang w:val="fr-FR"/>
        </w:rPr>
        <w:t>IRU</w:t>
      </w:r>
      <w:r>
        <w:rPr>
          <w:lang w:val="fr-FR"/>
        </w:rPr>
        <w:t> ;</w:t>
      </w:r>
    </w:p>
    <w:p w:rsidR="008217C8" w:rsidRPr="00E919A1" w:rsidRDefault="008217C8" w:rsidP="008217C8">
      <w:pPr>
        <w:pStyle w:val="SingleTxtG"/>
        <w:ind w:left="1701"/>
        <w:rPr>
          <w:lang w:val="fr-FR"/>
        </w:rPr>
      </w:pPr>
      <w:r w:rsidRPr="00E919A1">
        <w:rPr>
          <w:lang w:val="fr-FR"/>
        </w:rPr>
        <w:t>ii)</w:t>
      </w:r>
      <w:r w:rsidRPr="00E919A1">
        <w:rPr>
          <w:lang w:val="fr-FR"/>
        </w:rPr>
        <w:tab/>
      </w:r>
      <w:r>
        <w:rPr>
          <w:lang w:val="fr-FR"/>
        </w:rPr>
        <w:t>Pour le t</w:t>
      </w:r>
      <w:r w:rsidRPr="00E919A1">
        <w:rPr>
          <w:lang w:val="fr-FR"/>
        </w:rPr>
        <w:t>ransport ferroviaire</w:t>
      </w:r>
      <w:r>
        <w:rPr>
          <w:lang w:val="fr-FR"/>
        </w:rPr>
        <w:t> :</w:t>
      </w:r>
      <w:r w:rsidRPr="00E919A1">
        <w:rPr>
          <w:lang w:val="fr-FR"/>
        </w:rPr>
        <w:t xml:space="preserve"> </w:t>
      </w:r>
      <w:r>
        <w:rPr>
          <w:lang w:val="fr-FR"/>
        </w:rPr>
        <w:t xml:space="preserve">la </w:t>
      </w:r>
      <w:r w:rsidRPr="00E919A1">
        <w:rPr>
          <w:lang w:val="fr-FR"/>
        </w:rPr>
        <w:t xml:space="preserve">CER, </w:t>
      </w:r>
      <w:r>
        <w:rPr>
          <w:lang w:val="fr-FR"/>
        </w:rPr>
        <w:t xml:space="preserve">le </w:t>
      </w:r>
      <w:r w:rsidRPr="00E919A1">
        <w:rPr>
          <w:lang w:val="fr-FR"/>
        </w:rPr>
        <w:t xml:space="preserve">CIT, </w:t>
      </w:r>
      <w:r>
        <w:rPr>
          <w:lang w:val="fr-FR"/>
        </w:rPr>
        <w:t>l’</w:t>
      </w:r>
      <w:r w:rsidRPr="00E919A1">
        <w:rPr>
          <w:lang w:val="fr-FR"/>
        </w:rPr>
        <w:t>UIC</w:t>
      </w:r>
      <w:r>
        <w:rPr>
          <w:lang w:val="fr-FR"/>
        </w:rPr>
        <w:t xml:space="preserve"> et l’</w:t>
      </w:r>
      <w:r w:rsidRPr="00E919A1">
        <w:rPr>
          <w:lang w:val="fr-FR"/>
        </w:rPr>
        <w:t>UIRR</w:t>
      </w:r>
      <w:r>
        <w:rPr>
          <w:lang w:val="fr-FR"/>
        </w:rPr>
        <w:t> ;</w:t>
      </w:r>
    </w:p>
    <w:p w:rsidR="008217C8" w:rsidRPr="00E919A1" w:rsidRDefault="008217C8" w:rsidP="008217C8">
      <w:pPr>
        <w:pStyle w:val="SingleTxtG"/>
        <w:ind w:left="1701"/>
        <w:rPr>
          <w:lang w:val="fr-FR"/>
        </w:rPr>
      </w:pPr>
      <w:r w:rsidRPr="00E919A1">
        <w:rPr>
          <w:lang w:val="fr-FR"/>
        </w:rPr>
        <w:t>iii)</w:t>
      </w:r>
      <w:r w:rsidRPr="00E919A1">
        <w:rPr>
          <w:lang w:val="fr-FR"/>
        </w:rPr>
        <w:tab/>
      </w:r>
      <w:r>
        <w:rPr>
          <w:lang w:val="fr-FR"/>
        </w:rPr>
        <w:t>Pour les c</w:t>
      </w:r>
      <w:r w:rsidRPr="00E919A1">
        <w:rPr>
          <w:lang w:val="fr-FR"/>
        </w:rPr>
        <w:t>onstructeurs de véhicules, fabricants de matériel de transport et associations d</w:t>
      </w:r>
      <w:r>
        <w:rPr>
          <w:lang w:val="fr-FR"/>
        </w:rPr>
        <w:t>’</w:t>
      </w:r>
      <w:r w:rsidRPr="00E919A1">
        <w:rPr>
          <w:lang w:val="fr-FR"/>
        </w:rPr>
        <w:t>inspection</w:t>
      </w:r>
      <w:r>
        <w:rPr>
          <w:lang w:val="fr-FR"/>
        </w:rPr>
        <w:t> :</w:t>
      </w:r>
      <w:r w:rsidRPr="00E919A1">
        <w:rPr>
          <w:lang w:val="fr-FR"/>
        </w:rPr>
        <w:t xml:space="preserve"> </w:t>
      </w:r>
      <w:r>
        <w:rPr>
          <w:lang w:val="fr-FR"/>
        </w:rPr>
        <w:t>l’</w:t>
      </w:r>
      <w:r w:rsidRPr="00E919A1">
        <w:rPr>
          <w:lang w:val="fr-FR"/>
        </w:rPr>
        <w:t xml:space="preserve">AICM, </w:t>
      </w:r>
      <w:r>
        <w:rPr>
          <w:lang w:val="fr-FR"/>
        </w:rPr>
        <w:t xml:space="preserve">le </w:t>
      </w:r>
      <w:r w:rsidRPr="00E919A1">
        <w:rPr>
          <w:lang w:val="fr-FR"/>
        </w:rPr>
        <w:t xml:space="preserve">CITA, </w:t>
      </w:r>
      <w:r>
        <w:rPr>
          <w:lang w:val="fr-FR"/>
        </w:rPr>
        <w:t xml:space="preserve">la </w:t>
      </w:r>
      <w:r w:rsidRPr="00E919A1">
        <w:rPr>
          <w:lang w:val="fr-FR"/>
        </w:rPr>
        <w:t xml:space="preserve">CLEPA, </w:t>
      </w:r>
      <w:r>
        <w:rPr>
          <w:lang w:val="fr-FR"/>
        </w:rPr>
        <w:t xml:space="preserve">la </w:t>
      </w:r>
      <w:r w:rsidRPr="00E919A1">
        <w:rPr>
          <w:lang w:val="fr-FR"/>
        </w:rPr>
        <w:t xml:space="preserve">JAPIA, </w:t>
      </w:r>
      <w:r>
        <w:rPr>
          <w:lang w:val="fr-FR"/>
        </w:rPr>
        <w:t xml:space="preserve">la </w:t>
      </w:r>
      <w:r w:rsidRPr="00E919A1">
        <w:rPr>
          <w:lang w:val="fr-FR"/>
        </w:rPr>
        <w:t>MEMA</w:t>
      </w:r>
      <w:r>
        <w:rPr>
          <w:lang w:val="fr-FR"/>
        </w:rPr>
        <w:t xml:space="preserve"> et</w:t>
      </w:r>
      <w:r w:rsidRPr="00E919A1">
        <w:rPr>
          <w:lang w:val="fr-FR"/>
        </w:rPr>
        <w:t xml:space="preserve"> </w:t>
      </w:r>
      <w:r>
        <w:rPr>
          <w:lang w:val="fr-FR"/>
        </w:rPr>
        <w:t>l’</w:t>
      </w:r>
      <w:r w:rsidRPr="00E919A1">
        <w:rPr>
          <w:lang w:val="fr-FR"/>
        </w:rPr>
        <w:t>OICA</w:t>
      </w:r>
      <w:r>
        <w:rPr>
          <w:lang w:val="fr-FR"/>
        </w:rPr>
        <w:t> ;</w:t>
      </w:r>
    </w:p>
    <w:p w:rsidR="008217C8" w:rsidRDefault="008217C8" w:rsidP="008217C8">
      <w:pPr>
        <w:pStyle w:val="SingleTxtG"/>
        <w:ind w:left="1701"/>
        <w:rPr>
          <w:lang w:val="fr-FR"/>
        </w:rPr>
      </w:pPr>
      <w:r w:rsidRPr="00E919A1">
        <w:rPr>
          <w:lang w:val="fr-FR"/>
        </w:rPr>
        <w:t>iv)</w:t>
      </w:r>
      <w:r w:rsidRPr="00E919A1">
        <w:rPr>
          <w:lang w:val="fr-FR"/>
        </w:rPr>
        <w:tab/>
      </w:r>
      <w:r>
        <w:rPr>
          <w:lang w:val="fr-FR"/>
        </w:rPr>
        <w:t>Pour les v</w:t>
      </w:r>
      <w:r w:rsidRPr="00E919A1">
        <w:rPr>
          <w:lang w:val="fr-FR"/>
        </w:rPr>
        <w:t>oies navigables intérieures</w:t>
      </w:r>
      <w:r>
        <w:rPr>
          <w:lang w:val="fr-FR"/>
        </w:rPr>
        <w:t> :</w:t>
      </w:r>
      <w:r w:rsidRPr="00E919A1">
        <w:rPr>
          <w:lang w:val="fr-FR"/>
        </w:rPr>
        <w:t xml:space="preserve"> </w:t>
      </w:r>
      <w:r>
        <w:rPr>
          <w:lang w:val="fr-FR"/>
        </w:rPr>
        <w:t>l’</w:t>
      </w:r>
      <w:r w:rsidRPr="00E919A1">
        <w:rPr>
          <w:lang w:val="fr-FR"/>
        </w:rPr>
        <w:t xml:space="preserve">AIPCN, </w:t>
      </w:r>
      <w:r>
        <w:rPr>
          <w:lang w:val="fr-FR"/>
        </w:rPr>
        <w:t xml:space="preserve">la </w:t>
      </w:r>
      <w:r w:rsidRPr="00E919A1">
        <w:rPr>
          <w:lang w:val="fr-FR"/>
        </w:rPr>
        <w:t xml:space="preserve">CDDSC, </w:t>
      </w:r>
      <w:r>
        <w:rPr>
          <w:lang w:val="fr-FR"/>
        </w:rPr>
        <w:t>l’</w:t>
      </w:r>
      <w:r w:rsidRPr="00E919A1">
        <w:rPr>
          <w:lang w:val="fr-FR"/>
        </w:rPr>
        <w:t xml:space="preserve">ERSTU, </w:t>
      </w:r>
      <w:r>
        <w:rPr>
          <w:lang w:val="fr-FR"/>
        </w:rPr>
        <w:t xml:space="preserve">la </w:t>
      </w:r>
      <w:r w:rsidRPr="00E919A1">
        <w:rPr>
          <w:lang w:val="fr-FR"/>
        </w:rPr>
        <w:t xml:space="preserve">FEPI, </w:t>
      </w:r>
      <w:r>
        <w:rPr>
          <w:lang w:val="fr-FR"/>
        </w:rPr>
        <w:t>l’</w:t>
      </w:r>
      <w:r w:rsidRPr="00E919A1">
        <w:rPr>
          <w:lang w:val="fr-FR"/>
        </w:rPr>
        <w:t xml:space="preserve">IVR, </w:t>
      </w:r>
      <w:r>
        <w:rPr>
          <w:lang w:val="fr-FR"/>
        </w:rPr>
        <w:t>l’</w:t>
      </w:r>
      <w:r w:rsidRPr="00E919A1">
        <w:rPr>
          <w:lang w:val="fr-FR"/>
        </w:rPr>
        <w:t>UENF.</w:t>
      </w:r>
      <w:bookmarkEnd w:id="7"/>
    </w:p>
    <w:p w:rsidR="00194354" w:rsidRDefault="008217C8" w:rsidP="005868FA">
      <w:pPr>
        <w:pStyle w:val="SingleTxtG"/>
        <w:ind w:firstLine="567"/>
        <w:rPr>
          <w:lang w:val="fr-FR"/>
        </w:rPr>
      </w:pPr>
      <w:r w:rsidRPr="00E919A1">
        <w:rPr>
          <w:lang w:val="fr-FR"/>
        </w:rPr>
        <w:t>f)</w:t>
      </w:r>
      <w:r w:rsidRPr="00E919A1">
        <w:rPr>
          <w:lang w:val="fr-FR"/>
        </w:rPr>
        <w:tab/>
        <w:t>Les institutions nationales compétentes.</w:t>
      </w:r>
    </w:p>
    <w:p w:rsidR="003A38DC" w:rsidRDefault="003A38DC" w:rsidP="008217C8">
      <w:pPr>
        <w:rPr>
          <w:lang w:val="fr-FR"/>
        </w:rPr>
        <w:sectPr w:rsidR="003A38DC" w:rsidSect="00526573">
          <w:headerReference w:type="even" r:id="rId9"/>
          <w:headerReference w:type="default" r:id="rId10"/>
          <w:footerReference w:type="even" r:id="rId11"/>
          <w:footerReference w:type="default" r:id="rId12"/>
          <w:footnotePr>
            <w:numRestart w:val="eachSect"/>
          </w:footnotePr>
          <w:endnotePr>
            <w:numFmt w:val="decimal"/>
          </w:endnotePr>
          <w:pgSz w:w="11906" w:h="16838" w:code="9"/>
          <w:pgMar w:top="1417" w:right="1134" w:bottom="1134" w:left="1134" w:header="850" w:footer="567" w:gutter="0"/>
          <w:cols w:space="708"/>
          <w:titlePg/>
          <w:docGrid w:linePitch="360"/>
        </w:sectPr>
      </w:pPr>
    </w:p>
    <w:p w:rsidR="003A38DC" w:rsidRPr="00E919A1" w:rsidRDefault="003A38DC" w:rsidP="003A38DC">
      <w:pPr>
        <w:pStyle w:val="HChG"/>
        <w:rPr>
          <w:lang w:val="fr-FR"/>
        </w:rPr>
      </w:pPr>
      <w:bookmarkStart w:id="8" w:name="_Hlk524696611"/>
      <w:r w:rsidRPr="00E919A1">
        <w:rPr>
          <w:lang w:val="fr-FR"/>
        </w:rPr>
        <w:lastRenderedPageBreak/>
        <w:t xml:space="preserve">Annexe I </w:t>
      </w:r>
    </w:p>
    <w:p w:rsidR="003A38DC" w:rsidRPr="00E919A1" w:rsidRDefault="003A38DC" w:rsidP="003A38DC">
      <w:pPr>
        <w:pStyle w:val="HChG"/>
        <w:rPr>
          <w:lang w:val="fr-FR"/>
        </w:rPr>
      </w:pPr>
      <w:r>
        <w:rPr>
          <w:lang w:val="fr-FR"/>
        </w:rPr>
        <w:tab/>
      </w:r>
      <w:r>
        <w:rPr>
          <w:lang w:val="fr-FR"/>
        </w:rPr>
        <w:tab/>
      </w:r>
      <w:r w:rsidRPr="00E919A1">
        <w:rPr>
          <w:lang w:val="fr-FR"/>
        </w:rPr>
        <w:t>Mandat révisé du Comité des transports intérieurs</w:t>
      </w:r>
      <w:r w:rsidRPr="00A952F6">
        <w:rPr>
          <w:rStyle w:val="FootnoteReference"/>
          <w:b w:val="0"/>
        </w:rPr>
        <w:footnoteReference w:id="7"/>
      </w:r>
    </w:p>
    <w:bookmarkEnd w:id="8"/>
    <w:p w:rsidR="003A38DC" w:rsidRPr="00E919A1" w:rsidRDefault="003A38DC" w:rsidP="003A38DC">
      <w:pPr>
        <w:pStyle w:val="SingleTxtG"/>
        <w:ind w:left="1140" w:firstLine="561"/>
        <w:rPr>
          <w:b/>
          <w:bCs/>
          <w:lang w:val="fr-FR"/>
        </w:rPr>
      </w:pPr>
      <w:r w:rsidRPr="00A952F6">
        <w:rPr>
          <w:b/>
          <w:lang w:val="fr-FR"/>
        </w:rPr>
        <w:t>a)</w:t>
      </w:r>
      <w:r w:rsidRPr="00E919A1">
        <w:rPr>
          <w:lang w:val="fr-FR"/>
        </w:rPr>
        <w:tab/>
      </w:r>
      <w:r w:rsidRPr="00E919A1">
        <w:rPr>
          <w:b/>
          <w:bCs/>
          <w:lang w:val="fr-FR"/>
        </w:rPr>
        <w:t>Le Comité des transports intérieurs (CTI), qui occupe une place unique en son genre dans le système des Nations Unies, fournit un cadre général pour l</w:t>
      </w:r>
      <w:r>
        <w:rPr>
          <w:b/>
          <w:bCs/>
          <w:lang w:val="fr-FR"/>
        </w:rPr>
        <w:t>’</w:t>
      </w:r>
      <w:r w:rsidRPr="00E919A1">
        <w:rPr>
          <w:b/>
          <w:bCs/>
          <w:lang w:val="fr-FR"/>
        </w:rPr>
        <w:t>examen de tous les aspects du développement des transports intérieurs et la coopération dans ce domaine, en s</w:t>
      </w:r>
      <w:r>
        <w:rPr>
          <w:b/>
          <w:bCs/>
          <w:lang w:val="fr-FR"/>
        </w:rPr>
        <w:t>’</w:t>
      </w:r>
      <w:r w:rsidRPr="00E919A1">
        <w:rPr>
          <w:b/>
          <w:bCs/>
          <w:lang w:val="fr-FR"/>
        </w:rPr>
        <w:t>attachant à exercer une gouvernance réglementaire mondiale à travers les conventions de l</w:t>
      </w:r>
      <w:r>
        <w:rPr>
          <w:b/>
          <w:bCs/>
          <w:lang w:val="fr-FR"/>
        </w:rPr>
        <w:t>’</w:t>
      </w:r>
      <w:r w:rsidRPr="00E919A1">
        <w:rPr>
          <w:b/>
          <w:bCs/>
          <w:lang w:val="fr-FR"/>
        </w:rPr>
        <w:t>ONU relatives aux transports et par d</w:t>
      </w:r>
      <w:r>
        <w:rPr>
          <w:b/>
          <w:bCs/>
          <w:lang w:val="fr-FR"/>
        </w:rPr>
        <w:t>’</w:t>
      </w:r>
      <w:r w:rsidRPr="00E919A1">
        <w:rPr>
          <w:b/>
          <w:bCs/>
          <w:lang w:val="fr-FR"/>
        </w:rPr>
        <w:t>autres moyens</w:t>
      </w:r>
      <w:r>
        <w:rPr>
          <w:b/>
          <w:bCs/>
          <w:lang w:val="fr-FR"/>
        </w:rPr>
        <w:t> ;</w:t>
      </w:r>
    </w:p>
    <w:p w:rsidR="003A38DC" w:rsidRPr="00E919A1" w:rsidRDefault="003A38DC" w:rsidP="003A38DC">
      <w:pPr>
        <w:pStyle w:val="SingleTxtG"/>
        <w:ind w:firstLine="567"/>
        <w:rPr>
          <w:lang w:val="fr-FR"/>
        </w:rPr>
      </w:pPr>
      <w:r w:rsidRPr="00A952F6">
        <w:rPr>
          <w:b/>
          <w:lang w:val="fr-FR"/>
        </w:rPr>
        <w:t>b)</w:t>
      </w:r>
      <w:r w:rsidRPr="00A952F6">
        <w:rPr>
          <w:b/>
          <w:lang w:val="fr-FR"/>
        </w:rPr>
        <w:tab/>
      </w:r>
      <w:r w:rsidRPr="00A952F6">
        <w:rPr>
          <w:b/>
          <w:bCs/>
          <w:lang w:val="fr-FR"/>
        </w:rPr>
        <w:t>Les États membres de la CEE participent aux sessions du CTI en tant</w:t>
      </w:r>
      <w:r w:rsidRPr="00E919A1">
        <w:rPr>
          <w:b/>
          <w:bCs/>
          <w:lang w:val="fr-FR"/>
        </w:rPr>
        <w:t xml:space="preserve"> que membres à part entière disposant du droit de vote.</w:t>
      </w:r>
      <w:r w:rsidRPr="00E919A1">
        <w:rPr>
          <w:lang w:val="fr-FR"/>
        </w:rPr>
        <w:t xml:space="preserve"> </w:t>
      </w:r>
      <w:r w:rsidRPr="00E919A1">
        <w:rPr>
          <w:b/>
          <w:bCs/>
          <w:lang w:val="fr-FR"/>
        </w:rPr>
        <w:t>Les États non membres de la CEE ont le droit de participer en tant que membres à part entière aux débats des sessions du CTI où il est question des instruments juridiques auxquels ils sont Parties contractantes, mais ils ne peuvent participer aux autres débats qu</w:t>
      </w:r>
      <w:r>
        <w:rPr>
          <w:b/>
          <w:bCs/>
          <w:lang w:val="fr-FR"/>
        </w:rPr>
        <w:t>’</w:t>
      </w:r>
      <w:r w:rsidRPr="00E919A1">
        <w:rPr>
          <w:b/>
          <w:bCs/>
          <w:lang w:val="fr-FR"/>
        </w:rPr>
        <w:t>à titre consultatif</w:t>
      </w:r>
      <w:r>
        <w:rPr>
          <w:b/>
          <w:bCs/>
          <w:lang w:val="fr-FR"/>
        </w:rPr>
        <w:t> ;</w:t>
      </w:r>
      <w:r w:rsidRPr="00E919A1">
        <w:rPr>
          <w:lang w:val="fr-FR"/>
        </w:rPr>
        <w:t xml:space="preserve"> </w:t>
      </w:r>
    </w:p>
    <w:p w:rsidR="003A38DC" w:rsidRPr="00E919A1" w:rsidRDefault="003A38DC" w:rsidP="003A38DC">
      <w:pPr>
        <w:pStyle w:val="SingleTxtG"/>
        <w:ind w:firstLine="567"/>
        <w:rPr>
          <w:lang w:val="fr-FR"/>
        </w:rPr>
      </w:pPr>
      <w:proofErr w:type="spellStart"/>
      <w:r w:rsidRPr="00E919A1">
        <w:rPr>
          <w:strike/>
          <w:lang w:val="fr-FR"/>
        </w:rPr>
        <w:t>a</w:t>
      </w:r>
      <w:r w:rsidRPr="00E919A1">
        <w:rPr>
          <w:b/>
          <w:bCs/>
          <w:lang w:val="fr-FR"/>
        </w:rPr>
        <w:t>c</w:t>
      </w:r>
      <w:proofErr w:type="spellEnd"/>
      <w:r w:rsidRPr="00E919A1">
        <w:rPr>
          <w:lang w:val="fr-FR"/>
        </w:rPr>
        <w:t>)</w:t>
      </w:r>
      <w:r w:rsidRPr="00E919A1">
        <w:rPr>
          <w:lang w:val="fr-FR"/>
        </w:rPr>
        <w:tab/>
        <w:t xml:space="preserve">Le Comité </w:t>
      </w:r>
      <w:r w:rsidRPr="00E919A1">
        <w:rPr>
          <w:strike/>
          <w:lang w:val="fr-FR"/>
        </w:rPr>
        <w:t>des transports intérieurs</w:t>
      </w:r>
      <w:r w:rsidRPr="00E919A1">
        <w:rPr>
          <w:lang w:val="fr-FR"/>
        </w:rPr>
        <w:t xml:space="preserve"> constitue pour ses membres </w:t>
      </w:r>
      <w:r w:rsidRPr="00E919A1">
        <w:rPr>
          <w:b/>
          <w:bCs/>
          <w:lang w:val="fr-FR"/>
        </w:rPr>
        <w:t xml:space="preserve">et pour les Parties contractantes </w:t>
      </w:r>
      <w:r w:rsidRPr="00E919A1">
        <w:rPr>
          <w:lang w:val="fr-FR"/>
        </w:rPr>
        <w:t>une tribune qui leur permet i) de collaborer et de se consulter sur la base d</w:t>
      </w:r>
      <w:r>
        <w:rPr>
          <w:lang w:val="fr-FR"/>
        </w:rPr>
        <w:t>’</w:t>
      </w:r>
      <w:r w:rsidRPr="00E919A1">
        <w:rPr>
          <w:lang w:val="fr-FR"/>
        </w:rPr>
        <w:t>un échange de données d</w:t>
      </w:r>
      <w:r>
        <w:rPr>
          <w:lang w:val="fr-FR"/>
        </w:rPr>
        <w:t>’</w:t>
      </w:r>
      <w:r w:rsidRPr="00E919A1">
        <w:rPr>
          <w:lang w:val="fr-FR"/>
        </w:rPr>
        <w:t>information et d</w:t>
      </w:r>
      <w:r>
        <w:rPr>
          <w:lang w:val="fr-FR"/>
        </w:rPr>
        <w:t>’</w:t>
      </w:r>
      <w:r w:rsidRPr="00E919A1">
        <w:rPr>
          <w:lang w:val="fr-FR"/>
        </w:rPr>
        <w:t>expérience</w:t>
      </w:r>
      <w:r>
        <w:rPr>
          <w:lang w:val="fr-FR"/>
        </w:rPr>
        <w:t> ;</w:t>
      </w:r>
      <w:r w:rsidRPr="00E919A1">
        <w:rPr>
          <w:lang w:val="fr-FR"/>
        </w:rPr>
        <w:t xml:space="preserve"> ii) d</w:t>
      </w:r>
      <w:r>
        <w:rPr>
          <w:lang w:val="fr-FR"/>
        </w:rPr>
        <w:t>’</w:t>
      </w:r>
      <w:r w:rsidRPr="00E919A1">
        <w:rPr>
          <w:lang w:val="fr-FR"/>
        </w:rPr>
        <w:t>analyser les tendances et l</w:t>
      </w:r>
      <w:r>
        <w:rPr>
          <w:lang w:val="fr-FR"/>
        </w:rPr>
        <w:t>’</w:t>
      </w:r>
      <w:r w:rsidRPr="00E919A1">
        <w:rPr>
          <w:lang w:val="fr-FR"/>
        </w:rPr>
        <w:t>économie des transports ainsi que les politiques des transports</w:t>
      </w:r>
      <w:r>
        <w:rPr>
          <w:lang w:val="fr-FR"/>
        </w:rPr>
        <w:t> ;</w:t>
      </w:r>
      <w:r w:rsidRPr="00E919A1">
        <w:rPr>
          <w:lang w:val="fr-FR"/>
        </w:rPr>
        <w:t xml:space="preserve"> et iii) de mener une action concertée dans le but d</w:t>
      </w:r>
      <w:r>
        <w:rPr>
          <w:lang w:val="fr-FR"/>
        </w:rPr>
        <w:t>’</w:t>
      </w:r>
      <w:r w:rsidRPr="00E919A1">
        <w:rPr>
          <w:lang w:val="fr-FR"/>
        </w:rPr>
        <w:t xml:space="preserve">instaurer, dans la région de la CEE </w:t>
      </w:r>
      <w:r w:rsidRPr="00E919A1">
        <w:rPr>
          <w:b/>
          <w:bCs/>
          <w:lang w:val="fr-FR"/>
        </w:rPr>
        <w:t>et au-delà</w:t>
      </w:r>
      <w:r w:rsidRPr="00E919A1">
        <w:rPr>
          <w:lang w:val="fr-FR"/>
        </w:rPr>
        <w:t>, un système de transport efficace, cohérent, équilibré et souple qui soit fondé sur les principes d</w:t>
      </w:r>
      <w:r>
        <w:rPr>
          <w:lang w:val="fr-FR"/>
        </w:rPr>
        <w:t>’</w:t>
      </w:r>
      <w:r w:rsidRPr="00E919A1">
        <w:rPr>
          <w:lang w:val="fr-FR"/>
        </w:rPr>
        <w:t>une économie de marché, vise à assurer la sécurité, la protection de l</w:t>
      </w:r>
      <w:r>
        <w:rPr>
          <w:lang w:val="fr-FR"/>
        </w:rPr>
        <w:t>’</w:t>
      </w:r>
      <w:r w:rsidRPr="00E919A1">
        <w:rPr>
          <w:lang w:val="fr-FR"/>
        </w:rPr>
        <w:t>environnement et le rendement énergétique dans les transports et tienne compte de l</w:t>
      </w:r>
      <w:r>
        <w:rPr>
          <w:lang w:val="fr-FR"/>
        </w:rPr>
        <w:t>’</w:t>
      </w:r>
      <w:r w:rsidRPr="00E919A1">
        <w:rPr>
          <w:lang w:val="fr-FR"/>
        </w:rPr>
        <w:t xml:space="preserve">évolution et de la politique </w:t>
      </w:r>
      <w:r w:rsidRPr="00E919A1">
        <w:rPr>
          <w:strike/>
          <w:lang w:val="fr-FR"/>
        </w:rPr>
        <w:t>des gouvernements</w:t>
      </w:r>
      <w:r w:rsidRPr="00E919A1">
        <w:rPr>
          <w:lang w:val="fr-FR"/>
        </w:rPr>
        <w:t xml:space="preserve"> des pays membres </w:t>
      </w:r>
      <w:r w:rsidRPr="00E919A1">
        <w:rPr>
          <w:b/>
          <w:bCs/>
          <w:lang w:val="fr-FR"/>
        </w:rPr>
        <w:t xml:space="preserve">du CTI </w:t>
      </w:r>
      <w:r w:rsidRPr="00E919A1">
        <w:rPr>
          <w:lang w:val="fr-FR"/>
        </w:rPr>
        <w:t>dans le domaine des transports</w:t>
      </w:r>
      <w:r>
        <w:rPr>
          <w:lang w:val="fr-FR"/>
        </w:rPr>
        <w:t> ;</w:t>
      </w:r>
    </w:p>
    <w:p w:rsidR="003A38DC" w:rsidRPr="00E919A1" w:rsidRDefault="003A38DC" w:rsidP="003A38DC">
      <w:pPr>
        <w:pStyle w:val="SingleTxtG"/>
        <w:ind w:firstLine="567"/>
        <w:rPr>
          <w:lang w:val="fr-FR"/>
        </w:rPr>
      </w:pPr>
      <w:proofErr w:type="gramStart"/>
      <w:r w:rsidRPr="00E919A1">
        <w:rPr>
          <w:strike/>
          <w:lang w:val="fr-FR"/>
        </w:rPr>
        <w:t>b</w:t>
      </w:r>
      <w:r w:rsidRPr="00E919A1">
        <w:rPr>
          <w:b/>
          <w:bCs/>
          <w:lang w:val="fr-FR"/>
        </w:rPr>
        <w:t>d</w:t>
      </w:r>
      <w:proofErr w:type="gramEnd"/>
      <w:r w:rsidRPr="00E919A1">
        <w:rPr>
          <w:lang w:val="fr-FR"/>
        </w:rPr>
        <w:t>)</w:t>
      </w:r>
      <w:r w:rsidRPr="00E919A1">
        <w:rPr>
          <w:lang w:val="fr-FR"/>
        </w:rPr>
        <w:tab/>
        <w:t>Le Comité favorise l</w:t>
      </w:r>
      <w:r>
        <w:rPr>
          <w:lang w:val="fr-FR"/>
        </w:rPr>
        <w:t>’</w:t>
      </w:r>
      <w:r w:rsidRPr="00E919A1">
        <w:rPr>
          <w:lang w:val="fr-FR"/>
        </w:rPr>
        <w:t>harmonisation et l</w:t>
      </w:r>
      <w:r>
        <w:rPr>
          <w:lang w:val="fr-FR"/>
        </w:rPr>
        <w:t>’</w:t>
      </w:r>
      <w:r w:rsidRPr="00E919A1">
        <w:rPr>
          <w:lang w:val="fr-FR"/>
        </w:rPr>
        <w:t>amélioration des règlements techniques et opérationnels, des normes et des recommandations dans les différents domaines du transport intérieur</w:t>
      </w:r>
      <w:r w:rsidRPr="00E919A1">
        <w:rPr>
          <w:strike/>
          <w:lang w:val="fr-FR"/>
        </w:rPr>
        <w:t>, dans la région de la CEE</w:t>
      </w:r>
      <w:r w:rsidRPr="00E919A1">
        <w:rPr>
          <w:lang w:val="fr-FR"/>
        </w:rPr>
        <w:t xml:space="preserve">, en particulier ceux de la sécurité routière, des véhicules routiers, du transport de marchandises dangereuses, </w:t>
      </w:r>
      <w:r w:rsidRPr="00E919A1">
        <w:rPr>
          <w:b/>
          <w:bCs/>
          <w:lang w:val="fr-FR"/>
        </w:rPr>
        <w:t>de la facilitation du passage des frontières,</w:t>
      </w:r>
      <w:r w:rsidRPr="00E919A1">
        <w:rPr>
          <w:lang w:val="fr-FR"/>
        </w:rPr>
        <w:t xml:space="preserve"> des infrastructures et du transport combiné</w:t>
      </w:r>
      <w:r>
        <w:rPr>
          <w:lang w:val="fr-FR"/>
        </w:rPr>
        <w:t> ;</w:t>
      </w:r>
    </w:p>
    <w:p w:rsidR="003A38DC" w:rsidRPr="00E919A1" w:rsidRDefault="003A38DC" w:rsidP="003A38DC">
      <w:pPr>
        <w:pStyle w:val="SingleTxtG"/>
        <w:ind w:firstLine="567"/>
        <w:rPr>
          <w:lang w:val="fr-FR"/>
        </w:rPr>
      </w:pPr>
      <w:proofErr w:type="gramStart"/>
      <w:r w:rsidRPr="00E919A1">
        <w:rPr>
          <w:strike/>
          <w:lang w:val="fr-FR"/>
        </w:rPr>
        <w:t>c</w:t>
      </w:r>
      <w:r w:rsidRPr="00E919A1">
        <w:rPr>
          <w:b/>
          <w:bCs/>
          <w:lang w:val="fr-FR"/>
        </w:rPr>
        <w:t>e</w:t>
      </w:r>
      <w:proofErr w:type="gramEnd"/>
      <w:r w:rsidRPr="00E919A1">
        <w:rPr>
          <w:lang w:val="fr-FR"/>
        </w:rPr>
        <w:t>)</w:t>
      </w:r>
      <w:r w:rsidRPr="00E919A1">
        <w:rPr>
          <w:lang w:val="fr-FR"/>
        </w:rPr>
        <w:tab/>
        <w:t>Il contribue à faciliter les transports internationaux par route, par voie ferrée et par voie de navigation intérieure, grâce en particulier à la simplification et à l</w:t>
      </w:r>
      <w:r>
        <w:rPr>
          <w:lang w:val="fr-FR"/>
        </w:rPr>
        <w:t>’</w:t>
      </w:r>
      <w:r w:rsidRPr="00E919A1">
        <w:rPr>
          <w:lang w:val="fr-FR"/>
        </w:rPr>
        <w:t xml:space="preserve">harmonisation des formalités administratives et des documents </w:t>
      </w:r>
      <w:r w:rsidRPr="00E919A1">
        <w:rPr>
          <w:b/>
          <w:bCs/>
          <w:lang w:val="fr-FR"/>
        </w:rPr>
        <w:t>sur papier ou sous forme électronique</w:t>
      </w:r>
      <w:r w:rsidRPr="00E919A1">
        <w:rPr>
          <w:lang w:val="fr-FR"/>
        </w:rPr>
        <w:t xml:space="preserve"> </w:t>
      </w:r>
      <w:r w:rsidRPr="00E919A1">
        <w:rPr>
          <w:b/>
          <w:lang w:val="fr-FR"/>
        </w:rPr>
        <w:t>nécessaires</w:t>
      </w:r>
      <w:r w:rsidRPr="00E919A1">
        <w:rPr>
          <w:lang w:val="fr-FR"/>
        </w:rPr>
        <w:t xml:space="preserve"> au passage des frontières</w:t>
      </w:r>
      <w:r w:rsidRPr="00E919A1">
        <w:rPr>
          <w:strike/>
          <w:lang w:val="fr-FR"/>
        </w:rPr>
        <w:t>, notamment par l</w:t>
      </w:r>
      <w:r>
        <w:rPr>
          <w:strike/>
          <w:lang w:val="fr-FR"/>
        </w:rPr>
        <w:t>’</w:t>
      </w:r>
      <w:r w:rsidRPr="00E919A1">
        <w:rPr>
          <w:strike/>
          <w:lang w:val="fr-FR"/>
        </w:rPr>
        <w:t>échange de données informatisé (EDIFACT)</w:t>
      </w:r>
      <w:r>
        <w:rPr>
          <w:lang w:val="fr-FR"/>
        </w:rPr>
        <w:t> ;</w:t>
      </w:r>
    </w:p>
    <w:p w:rsidR="003A38DC" w:rsidRPr="00E919A1" w:rsidRDefault="003A38DC" w:rsidP="003A38DC">
      <w:pPr>
        <w:pStyle w:val="SingleTxtG"/>
        <w:ind w:firstLine="567"/>
        <w:rPr>
          <w:lang w:val="fr-FR"/>
        </w:rPr>
      </w:pPr>
      <w:proofErr w:type="spellStart"/>
      <w:proofErr w:type="gramStart"/>
      <w:r w:rsidRPr="00E919A1">
        <w:rPr>
          <w:strike/>
          <w:lang w:val="fr-FR"/>
        </w:rPr>
        <w:t>d</w:t>
      </w:r>
      <w:r w:rsidRPr="00E919A1">
        <w:rPr>
          <w:b/>
          <w:bCs/>
          <w:lang w:val="fr-FR"/>
        </w:rPr>
        <w:t>f</w:t>
      </w:r>
      <w:proofErr w:type="spellEnd"/>
      <w:proofErr w:type="gramEnd"/>
      <w:r w:rsidRPr="00E919A1">
        <w:rPr>
          <w:lang w:val="fr-FR"/>
        </w:rPr>
        <w:t>)</w:t>
      </w:r>
      <w:r w:rsidRPr="00E919A1">
        <w:rPr>
          <w:lang w:val="fr-FR"/>
        </w:rPr>
        <w:tab/>
        <w:t xml:space="preserve">Il favorise le développement coordonné des infrastructures des transports par route, par voie ferrée et par voie de navigation intérieure, ainsi que pour le transport combiné, en vue </w:t>
      </w:r>
      <w:r w:rsidRPr="00E919A1">
        <w:rPr>
          <w:b/>
          <w:bCs/>
          <w:lang w:val="fr-FR"/>
        </w:rPr>
        <w:t>de réaliser la connectivité des transports à l</w:t>
      </w:r>
      <w:r>
        <w:rPr>
          <w:b/>
          <w:bCs/>
          <w:lang w:val="fr-FR"/>
        </w:rPr>
        <w:t>’</w:t>
      </w:r>
      <w:r w:rsidRPr="00E919A1">
        <w:rPr>
          <w:b/>
          <w:bCs/>
          <w:lang w:val="fr-FR"/>
        </w:rPr>
        <w:t>échelle internationale</w:t>
      </w:r>
      <w:r w:rsidRPr="00E919A1">
        <w:rPr>
          <w:b/>
          <w:bCs/>
          <w:strike/>
          <w:lang w:val="fr-FR"/>
        </w:rPr>
        <w:t xml:space="preserve"> </w:t>
      </w:r>
      <w:r w:rsidRPr="00E919A1">
        <w:rPr>
          <w:strike/>
          <w:lang w:val="fr-FR"/>
        </w:rPr>
        <w:t>de constituer, pour chaque mode, des réseaux cohérents de transports internationaux dans la région de la CEE</w:t>
      </w:r>
      <w:r>
        <w:rPr>
          <w:lang w:val="fr-FR"/>
        </w:rPr>
        <w:t> ;</w:t>
      </w:r>
    </w:p>
    <w:p w:rsidR="003A38DC" w:rsidRPr="00E919A1" w:rsidRDefault="003A38DC" w:rsidP="003A38DC">
      <w:pPr>
        <w:pStyle w:val="SingleTxtG"/>
        <w:ind w:firstLine="567"/>
        <w:rPr>
          <w:lang w:val="fr-FR"/>
        </w:rPr>
      </w:pPr>
      <w:proofErr w:type="spellStart"/>
      <w:proofErr w:type="gramStart"/>
      <w:r w:rsidRPr="00E919A1">
        <w:rPr>
          <w:strike/>
          <w:lang w:val="fr-FR"/>
        </w:rPr>
        <w:t>e</w:t>
      </w:r>
      <w:r w:rsidRPr="00E919A1">
        <w:rPr>
          <w:b/>
          <w:bCs/>
          <w:lang w:val="fr-FR"/>
        </w:rPr>
        <w:t>g</w:t>
      </w:r>
      <w:proofErr w:type="spellEnd"/>
      <w:proofErr w:type="gramEnd"/>
      <w:r w:rsidRPr="00E919A1">
        <w:rPr>
          <w:lang w:val="fr-FR"/>
        </w:rPr>
        <w:t>)</w:t>
      </w:r>
      <w:r w:rsidRPr="00E919A1">
        <w:rPr>
          <w:lang w:val="fr-FR"/>
        </w:rPr>
        <w:tab/>
        <w:t>Le Comité poursuit l</w:t>
      </w:r>
      <w:r>
        <w:rPr>
          <w:lang w:val="fr-FR"/>
        </w:rPr>
        <w:t>’</w:t>
      </w:r>
      <w:r w:rsidRPr="00E919A1">
        <w:rPr>
          <w:lang w:val="fr-FR"/>
        </w:rPr>
        <w:t>objectif d</w:t>
      </w:r>
      <w:r>
        <w:rPr>
          <w:lang w:val="fr-FR"/>
        </w:rPr>
        <w:t>’</w:t>
      </w:r>
      <w:r w:rsidRPr="00E919A1">
        <w:rPr>
          <w:lang w:val="fr-FR"/>
        </w:rPr>
        <w:t>un développement durable des transports en contribuant à la réduction de l</w:t>
      </w:r>
      <w:r>
        <w:rPr>
          <w:lang w:val="fr-FR"/>
        </w:rPr>
        <w:t>’</w:t>
      </w:r>
      <w:r w:rsidRPr="00E919A1">
        <w:rPr>
          <w:lang w:val="fr-FR"/>
        </w:rPr>
        <w:t>impact négatif des transports sur l</w:t>
      </w:r>
      <w:r>
        <w:rPr>
          <w:lang w:val="fr-FR"/>
        </w:rPr>
        <w:t>’</w:t>
      </w:r>
      <w:r w:rsidRPr="00E919A1">
        <w:rPr>
          <w:lang w:val="fr-FR"/>
        </w:rPr>
        <w:t>environnement et à l</w:t>
      </w:r>
      <w:r>
        <w:rPr>
          <w:lang w:val="fr-FR"/>
        </w:rPr>
        <w:t>’</w:t>
      </w:r>
      <w:r w:rsidRPr="00E919A1">
        <w:rPr>
          <w:lang w:val="fr-FR"/>
        </w:rPr>
        <w:t>utilisation de modes de transport écologiquement rationnels en développant notamment le transport combiné</w:t>
      </w:r>
      <w:r>
        <w:rPr>
          <w:lang w:val="fr-FR"/>
        </w:rPr>
        <w:t> ;</w:t>
      </w:r>
    </w:p>
    <w:p w:rsidR="003A38DC" w:rsidRPr="00E919A1" w:rsidRDefault="003A38DC" w:rsidP="003A38DC">
      <w:pPr>
        <w:pStyle w:val="SingleTxtG"/>
        <w:ind w:firstLine="567"/>
        <w:rPr>
          <w:lang w:val="fr-FR"/>
        </w:rPr>
      </w:pPr>
      <w:proofErr w:type="spellStart"/>
      <w:proofErr w:type="gramStart"/>
      <w:r w:rsidRPr="00E919A1">
        <w:rPr>
          <w:strike/>
          <w:lang w:val="fr-FR"/>
        </w:rPr>
        <w:t>f</w:t>
      </w:r>
      <w:r w:rsidRPr="00E919A1">
        <w:rPr>
          <w:b/>
          <w:bCs/>
          <w:lang w:val="fr-FR"/>
        </w:rPr>
        <w:t>h</w:t>
      </w:r>
      <w:proofErr w:type="spellEnd"/>
      <w:proofErr w:type="gramEnd"/>
      <w:r w:rsidRPr="00E919A1">
        <w:rPr>
          <w:lang w:val="fr-FR"/>
        </w:rPr>
        <w:t>)</w:t>
      </w:r>
      <w:r w:rsidRPr="00E919A1">
        <w:rPr>
          <w:lang w:val="fr-FR"/>
        </w:rPr>
        <w:tab/>
        <w:t>En vue d</w:t>
      </w:r>
      <w:r>
        <w:rPr>
          <w:lang w:val="fr-FR"/>
        </w:rPr>
        <w:t>’</w:t>
      </w:r>
      <w:r w:rsidRPr="00E919A1">
        <w:rPr>
          <w:lang w:val="fr-FR"/>
        </w:rPr>
        <w:t>atteindre ces objectifs et de s</w:t>
      </w:r>
      <w:r>
        <w:rPr>
          <w:lang w:val="fr-FR"/>
        </w:rPr>
        <w:t>’</w:t>
      </w:r>
      <w:r w:rsidRPr="00E919A1">
        <w:rPr>
          <w:lang w:val="fr-FR"/>
        </w:rPr>
        <w:t>acquitter des fonctions énumérées ci</w:t>
      </w:r>
      <w:r>
        <w:rPr>
          <w:lang w:val="fr-FR"/>
        </w:rPr>
        <w:noBreakHyphen/>
      </w:r>
      <w:r w:rsidRPr="00E919A1">
        <w:rPr>
          <w:lang w:val="fr-FR"/>
        </w:rPr>
        <w:t>dessus, le Comité des transports intérieurs élabore, administre et, le cas échéant, révise les accords, conventions et autres instruments internationaux ayant force obligatoire qui ont trait aux différents secteurs des transports intérieurs</w:t>
      </w:r>
      <w:r>
        <w:rPr>
          <w:lang w:val="fr-FR"/>
        </w:rPr>
        <w:t> ;</w:t>
      </w:r>
    </w:p>
    <w:p w:rsidR="003A38DC" w:rsidRPr="00E919A1" w:rsidRDefault="003A38DC" w:rsidP="003A38DC">
      <w:pPr>
        <w:pStyle w:val="SingleTxtG"/>
        <w:ind w:firstLine="567"/>
        <w:rPr>
          <w:b/>
          <w:bCs/>
          <w:lang w:val="fr-FR"/>
        </w:rPr>
      </w:pPr>
      <w:r w:rsidRPr="00E919A1">
        <w:rPr>
          <w:lang w:val="fr-FR"/>
        </w:rPr>
        <w:lastRenderedPageBreak/>
        <w:t>i)</w:t>
      </w:r>
      <w:r w:rsidRPr="00E919A1">
        <w:rPr>
          <w:lang w:val="fr-FR"/>
        </w:rPr>
        <w:tab/>
      </w:r>
      <w:r w:rsidRPr="00E919A1">
        <w:rPr>
          <w:b/>
          <w:bCs/>
          <w:lang w:val="fr-FR"/>
        </w:rPr>
        <w:t>Il fait office de centre d</w:t>
      </w:r>
      <w:r>
        <w:rPr>
          <w:b/>
          <w:bCs/>
          <w:lang w:val="fr-FR"/>
        </w:rPr>
        <w:t>’</w:t>
      </w:r>
      <w:r w:rsidRPr="00E919A1">
        <w:rPr>
          <w:b/>
          <w:bCs/>
          <w:lang w:val="fr-FR"/>
        </w:rPr>
        <w:t>appui aux nouvelles technologies et aux innovations dans le domaine des transports intérieurs, en offrant un cadre pour la numérisation, la conduite automatisée et les systèmes de transport intelligents</w:t>
      </w:r>
      <w:r>
        <w:rPr>
          <w:b/>
          <w:bCs/>
          <w:lang w:val="fr-FR"/>
        </w:rPr>
        <w:t> ;</w:t>
      </w:r>
    </w:p>
    <w:p w:rsidR="003A38DC" w:rsidRPr="00E919A1" w:rsidRDefault="003A38DC" w:rsidP="003A38DC">
      <w:pPr>
        <w:pStyle w:val="SingleTxtG"/>
        <w:ind w:firstLine="567"/>
        <w:rPr>
          <w:lang w:val="fr-FR"/>
        </w:rPr>
      </w:pPr>
      <w:proofErr w:type="spellStart"/>
      <w:proofErr w:type="gramStart"/>
      <w:r w:rsidRPr="00E919A1">
        <w:rPr>
          <w:strike/>
          <w:lang w:val="fr-FR"/>
        </w:rPr>
        <w:t>g</w:t>
      </w:r>
      <w:r w:rsidRPr="00E919A1">
        <w:rPr>
          <w:b/>
          <w:bCs/>
          <w:lang w:val="fr-FR"/>
        </w:rPr>
        <w:t>j</w:t>
      </w:r>
      <w:proofErr w:type="spellEnd"/>
      <w:proofErr w:type="gramEnd"/>
      <w:r w:rsidRPr="00E919A1">
        <w:rPr>
          <w:lang w:val="fr-FR"/>
        </w:rPr>
        <w:t>)</w:t>
      </w:r>
      <w:r w:rsidRPr="00E919A1">
        <w:rPr>
          <w:lang w:val="fr-FR"/>
        </w:rPr>
        <w:tab/>
        <w:t>Il met au point des méthodes et des définitions appropriées pour rassembler, établir et harmoniser les statistiques des transports à des fins de comparabilité et de compatibilité. Il évalue également la nécessité de rassembler et de coordonner des statistiques au niveau international et passe en revue les moyens propres à en améliorer la collecte, la présentation et la qualité</w:t>
      </w:r>
      <w:r>
        <w:rPr>
          <w:lang w:val="fr-FR"/>
        </w:rPr>
        <w:t> ;</w:t>
      </w:r>
    </w:p>
    <w:p w:rsidR="003A38DC" w:rsidRPr="00E919A1" w:rsidRDefault="003A38DC" w:rsidP="003A38DC">
      <w:pPr>
        <w:pStyle w:val="SingleTxtG"/>
        <w:ind w:firstLine="567"/>
        <w:rPr>
          <w:lang w:val="fr-FR"/>
        </w:rPr>
      </w:pPr>
      <w:proofErr w:type="spellStart"/>
      <w:proofErr w:type="gramStart"/>
      <w:r w:rsidRPr="00E919A1">
        <w:rPr>
          <w:strike/>
          <w:lang w:val="fr-FR"/>
        </w:rPr>
        <w:t>h</w:t>
      </w:r>
      <w:r w:rsidRPr="00E919A1">
        <w:rPr>
          <w:b/>
          <w:bCs/>
          <w:lang w:val="fr-FR"/>
        </w:rPr>
        <w:t>k</w:t>
      </w:r>
      <w:proofErr w:type="spellEnd"/>
      <w:proofErr w:type="gramEnd"/>
      <w:r w:rsidRPr="00E919A1">
        <w:rPr>
          <w:lang w:val="fr-FR"/>
        </w:rPr>
        <w:t>)</w:t>
      </w:r>
      <w:r w:rsidRPr="00E919A1">
        <w:rPr>
          <w:lang w:val="fr-FR"/>
        </w:rPr>
        <w:tab/>
        <w:t>S</w:t>
      </w:r>
      <w:r>
        <w:rPr>
          <w:lang w:val="fr-FR"/>
        </w:rPr>
        <w:t>’</w:t>
      </w:r>
      <w:r w:rsidRPr="00E919A1">
        <w:rPr>
          <w:lang w:val="fr-FR"/>
        </w:rPr>
        <w:t xml:space="preserve">il lui en fait la demande, le Comité conseille et aide </w:t>
      </w:r>
      <w:r w:rsidRPr="00E919A1">
        <w:rPr>
          <w:strike/>
          <w:lang w:val="fr-FR"/>
        </w:rPr>
        <w:t xml:space="preserve">les </w:t>
      </w:r>
      <w:r w:rsidRPr="00E919A1">
        <w:rPr>
          <w:b/>
          <w:bCs/>
          <w:lang w:val="fr-FR"/>
        </w:rPr>
        <w:t>ses</w:t>
      </w:r>
      <w:r w:rsidRPr="00E919A1">
        <w:rPr>
          <w:lang w:val="fr-FR"/>
        </w:rPr>
        <w:t xml:space="preserve"> membres</w:t>
      </w:r>
      <w:r w:rsidRPr="00E919A1">
        <w:rPr>
          <w:strike/>
          <w:lang w:val="fr-FR"/>
        </w:rPr>
        <w:t xml:space="preserve"> de la CEE</w:t>
      </w:r>
      <w:r w:rsidRPr="00E919A1">
        <w:rPr>
          <w:lang w:val="fr-FR"/>
        </w:rPr>
        <w:t>, en particulier ceux qui doivent faire face à des transformations économiques majeures, grâce à des ateliers, une formation et d</w:t>
      </w:r>
      <w:r>
        <w:rPr>
          <w:lang w:val="fr-FR"/>
        </w:rPr>
        <w:t>’</w:t>
      </w:r>
      <w:r w:rsidRPr="00E919A1">
        <w:rPr>
          <w:lang w:val="fr-FR"/>
        </w:rPr>
        <w:t xml:space="preserve">autres moyens appropriés concernant les problèmes de transport présentant un intérêt particulier, pour mettre au point des systèmes et des infrastructures </w:t>
      </w:r>
      <w:r w:rsidRPr="00E919A1">
        <w:rPr>
          <w:b/>
          <w:bCs/>
          <w:lang w:val="fr-FR"/>
        </w:rPr>
        <w:t>viables</w:t>
      </w:r>
      <w:r w:rsidRPr="00E919A1">
        <w:rPr>
          <w:lang w:val="fr-FR"/>
        </w:rPr>
        <w:t xml:space="preserve"> qui soient compatibles avec ceux des </w:t>
      </w:r>
      <w:r w:rsidRPr="00E919A1">
        <w:rPr>
          <w:b/>
          <w:bCs/>
          <w:lang w:val="fr-FR"/>
        </w:rPr>
        <w:t xml:space="preserve">pays </w:t>
      </w:r>
      <w:r w:rsidRPr="00E919A1">
        <w:rPr>
          <w:strike/>
          <w:lang w:val="fr-FR"/>
        </w:rPr>
        <w:t>territoires</w:t>
      </w:r>
      <w:r w:rsidRPr="00E919A1">
        <w:rPr>
          <w:lang w:val="fr-FR"/>
        </w:rPr>
        <w:t xml:space="preserve"> voisins</w:t>
      </w:r>
      <w:r w:rsidRPr="00E919A1">
        <w:rPr>
          <w:strike/>
          <w:lang w:val="fr-FR"/>
        </w:rPr>
        <w:t xml:space="preserve"> de la région de la CEE</w:t>
      </w:r>
      <w:r>
        <w:rPr>
          <w:lang w:val="fr-FR"/>
        </w:rPr>
        <w:t> ;</w:t>
      </w:r>
    </w:p>
    <w:p w:rsidR="003A38DC" w:rsidRPr="00E919A1" w:rsidRDefault="003A38DC" w:rsidP="003A38DC">
      <w:pPr>
        <w:pStyle w:val="SingleTxtG"/>
        <w:ind w:firstLine="567"/>
        <w:rPr>
          <w:lang w:val="fr-FR"/>
        </w:rPr>
      </w:pPr>
      <w:proofErr w:type="gramStart"/>
      <w:r w:rsidRPr="00E919A1">
        <w:rPr>
          <w:strike/>
          <w:lang w:val="fr-FR"/>
        </w:rPr>
        <w:t>i</w:t>
      </w:r>
      <w:r w:rsidRPr="00E919A1">
        <w:rPr>
          <w:b/>
          <w:bCs/>
          <w:lang w:val="fr-FR"/>
        </w:rPr>
        <w:t>l</w:t>
      </w:r>
      <w:proofErr w:type="gramEnd"/>
      <w:r w:rsidRPr="00E919A1">
        <w:rPr>
          <w:lang w:val="fr-FR"/>
        </w:rPr>
        <w:t>)</w:t>
      </w:r>
      <w:r w:rsidRPr="00E919A1">
        <w:rPr>
          <w:lang w:val="fr-FR"/>
        </w:rPr>
        <w:tab/>
        <w:t>Le Comité procède à l</w:t>
      </w:r>
      <w:r>
        <w:rPr>
          <w:lang w:val="fr-FR"/>
        </w:rPr>
        <w:t>’</w:t>
      </w:r>
      <w:r w:rsidRPr="00E919A1">
        <w:rPr>
          <w:lang w:val="fr-FR"/>
        </w:rPr>
        <w:t>étude des problèmes qui se posent à la jonction entre les transports intérieurs et les transports maritimes et aériens</w:t>
      </w:r>
      <w:r w:rsidRPr="00E919A1">
        <w:rPr>
          <w:strike/>
          <w:lang w:val="fr-FR"/>
        </w:rPr>
        <w:t xml:space="preserve"> dans la région de la CEE</w:t>
      </w:r>
      <w:r>
        <w:rPr>
          <w:lang w:val="fr-FR"/>
        </w:rPr>
        <w:t> ;</w:t>
      </w:r>
    </w:p>
    <w:p w:rsidR="003A38DC" w:rsidRPr="00E919A1" w:rsidRDefault="003A38DC" w:rsidP="003A38DC">
      <w:pPr>
        <w:pStyle w:val="SingleTxtG"/>
        <w:ind w:firstLine="567"/>
        <w:rPr>
          <w:lang w:val="fr-FR"/>
        </w:rPr>
      </w:pPr>
      <w:proofErr w:type="spellStart"/>
      <w:r w:rsidRPr="00E919A1">
        <w:rPr>
          <w:strike/>
          <w:lang w:val="fr-FR"/>
        </w:rPr>
        <w:t>j</w:t>
      </w:r>
      <w:r w:rsidRPr="00E919A1">
        <w:rPr>
          <w:b/>
          <w:bCs/>
          <w:lang w:val="fr-FR"/>
        </w:rPr>
        <w:t>m</w:t>
      </w:r>
      <w:proofErr w:type="spellEnd"/>
      <w:r w:rsidRPr="00E919A1">
        <w:rPr>
          <w:lang w:val="fr-FR"/>
        </w:rPr>
        <w:t>)</w:t>
      </w:r>
      <w:r w:rsidRPr="00E919A1">
        <w:rPr>
          <w:lang w:val="fr-FR"/>
        </w:rPr>
        <w:tab/>
      </w:r>
      <w:r w:rsidRPr="00E919A1">
        <w:rPr>
          <w:b/>
          <w:bCs/>
          <w:lang w:val="fr-FR"/>
        </w:rPr>
        <w:t xml:space="preserve">Conformément à sa </w:t>
      </w:r>
      <w:r>
        <w:rPr>
          <w:b/>
          <w:bCs/>
          <w:lang w:val="fr-FR"/>
        </w:rPr>
        <w:t>s</w:t>
      </w:r>
      <w:r w:rsidRPr="00E919A1">
        <w:rPr>
          <w:b/>
          <w:bCs/>
          <w:lang w:val="fr-FR"/>
        </w:rPr>
        <w:t>tratégie, le Comité, p</w:t>
      </w:r>
      <w:r w:rsidRPr="00E919A1">
        <w:rPr>
          <w:lang w:val="fr-FR"/>
        </w:rPr>
        <w:t>our s</w:t>
      </w:r>
      <w:r>
        <w:rPr>
          <w:lang w:val="fr-FR"/>
        </w:rPr>
        <w:t>’</w:t>
      </w:r>
      <w:r w:rsidRPr="00E919A1">
        <w:rPr>
          <w:lang w:val="fr-FR"/>
        </w:rPr>
        <w:t>acquitter de son mandat, collabore étroitement</w:t>
      </w:r>
      <w:r w:rsidRPr="00E919A1">
        <w:rPr>
          <w:b/>
          <w:bCs/>
          <w:lang w:val="fr-FR"/>
        </w:rPr>
        <w:t>, par les voies établies,</w:t>
      </w:r>
      <w:r w:rsidRPr="00E919A1">
        <w:rPr>
          <w:lang w:val="fr-FR"/>
        </w:rPr>
        <w:t xml:space="preserve"> avec d</w:t>
      </w:r>
      <w:r>
        <w:rPr>
          <w:lang w:val="fr-FR"/>
        </w:rPr>
        <w:t>’</w:t>
      </w:r>
      <w:r w:rsidRPr="00E919A1">
        <w:rPr>
          <w:lang w:val="fr-FR"/>
        </w:rPr>
        <w:t xml:space="preserve">autres </w:t>
      </w:r>
      <w:r w:rsidRPr="00E919A1">
        <w:rPr>
          <w:b/>
          <w:bCs/>
          <w:lang w:val="fr-FR"/>
        </w:rPr>
        <w:t>organismes et d</w:t>
      </w:r>
      <w:r>
        <w:rPr>
          <w:b/>
          <w:bCs/>
          <w:lang w:val="fr-FR"/>
        </w:rPr>
        <w:t>’</w:t>
      </w:r>
      <w:r w:rsidRPr="00E919A1">
        <w:rPr>
          <w:b/>
          <w:bCs/>
          <w:lang w:val="fr-FR"/>
        </w:rPr>
        <w:t>autres commissions régionales de l</w:t>
      </w:r>
      <w:r>
        <w:rPr>
          <w:b/>
          <w:bCs/>
          <w:lang w:val="fr-FR"/>
        </w:rPr>
        <w:t>’</w:t>
      </w:r>
      <w:r w:rsidRPr="00E919A1">
        <w:rPr>
          <w:b/>
          <w:bCs/>
          <w:lang w:val="fr-FR"/>
        </w:rPr>
        <w:t xml:space="preserve">ONU, </w:t>
      </w:r>
      <w:r w:rsidRPr="00E919A1">
        <w:rPr>
          <w:lang w:val="fr-FR"/>
        </w:rPr>
        <w:t xml:space="preserve">les organes subsidiaires </w:t>
      </w:r>
      <w:r w:rsidRPr="00E919A1">
        <w:rPr>
          <w:strike/>
          <w:lang w:val="fr-FR"/>
        </w:rPr>
        <w:t>principaux</w:t>
      </w:r>
      <w:r w:rsidRPr="00E919A1">
        <w:rPr>
          <w:lang w:val="fr-FR"/>
        </w:rPr>
        <w:t xml:space="preserve"> de la CEE,</w:t>
      </w:r>
      <w:r w:rsidRPr="00E919A1">
        <w:rPr>
          <w:strike/>
          <w:lang w:val="fr-FR"/>
        </w:rPr>
        <w:t xml:space="preserve"> la Communauté européenne</w:t>
      </w:r>
      <w:r w:rsidRPr="00E919A1">
        <w:rPr>
          <w:b/>
          <w:bCs/>
          <w:lang w:val="fr-FR"/>
        </w:rPr>
        <w:t xml:space="preserve"> l</w:t>
      </w:r>
      <w:r>
        <w:rPr>
          <w:b/>
          <w:bCs/>
          <w:lang w:val="fr-FR"/>
        </w:rPr>
        <w:t>’</w:t>
      </w:r>
      <w:r w:rsidRPr="00E919A1">
        <w:rPr>
          <w:b/>
          <w:bCs/>
          <w:lang w:val="fr-FR"/>
        </w:rPr>
        <w:t>Union européenne, l</w:t>
      </w:r>
      <w:r>
        <w:rPr>
          <w:b/>
          <w:bCs/>
          <w:lang w:val="fr-FR"/>
        </w:rPr>
        <w:t>’</w:t>
      </w:r>
      <w:r w:rsidRPr="00E919A1">
        <w:rPr>
          <w:b/>
          <w:bCs/>
          <w:lang w:val="fr-FR"/>
        </w:rPr>
        <w:t>Union économique eurasiatique et d</w:t>
      </w:r>
      <w:r>
        <w:rPr>
          <w:b/>
          <w:bCs/>
          <w:lang w:val="fr-FR"/>
        </w:rPr>
        <w:t>’</w:t>
      </w:r>
      <w:r w:rsidRPr="00E919A1">
        <w:rPr>
          <w:b/>
          <w:bCs/>
          <w:lang w:val="fr-FR"/>
        </w:rPr>
        <w:t>autres organisations régionales d</w:t>
      </w:r>
      <w:r>
        <w:rPr>
          <w:b/>
          <w:bCs/>
          <w:lang w:val="fr-FR"/>
        </w:rPr>
        <w:t>’</w:t>
      </w:r>
      <w:r w:rsidRPr="00E919A1">
        <w:rPr>
          <w:b/>
          <w:bCs/>
          <w:lang w:val="fr-FR"/>
        </w:rPr>
        <w:t xml:space="preserve">intégration économique, </w:t>
      </w:r>
      <w:r w:rsidRPr="00E919A1">
        <w:rPr>
          <w:lang w:val="fr-FR"/>
        </w:rPr>
        <w:t>des organisations intergouvernementales</w:t>
      </w:r>
      <w:r w:rsidRPr="00E919A1">
        <w:rPr>
          <w:strike/>
          <w:lang w:val="fr-FR"/>
        </w:rPr>
        <w:t>, en particulier la CEMT</w:t>
      </w:r>
      <w:r w:rsidRPr="00E919A1">
        <w:rPr>
          <w:lang w:val="fr-FR"/>
        </w:rPr>
        <w:t>, des organisations régionales</w:t>
      </w:r>
      <w:r w:rsidRPr="00E919A1">
        <w:rPr>
          <w:b/>
          <w:bCs/>
          <w:lang w:val="fr-FR"/>
        </w:rPr>
        <w:t xml:space="preserve"> et sous</w:t>
      </w:r>
      <w:r>
        <w:rPr>
          <w:b/>
          <w:bCs/>
          <w:lang w:val="fr-FR"/>
        </w:rPr>
        <w:noBreakHyphen/>
      </w:r>
      <w:r w:rsidRPr="00E919A1">
        <w:rPr>
          <w:b/>
          <w:bCs/>
          <w:lang w:val="fr-FR"/>
        </w:rPr>
        <w:t>régionales</w:t>
      </w:r>
      <w:r w:rsidRPr="00E919A1">
        <w:rPr>
          <w:lang w:val="fr-FR"/>
        </w:rPr>
        <w:t xml:space="preserve"> de coopération économique</w:t>
      </w:r>
      <w:r w:rsidRPr="00E919A1">
        <w:rPr>
          <w:strike/>
          <w:lang w:val="fr-FR"/>
        </w:rPr>
        <w:t>,</w:t>
      </w:r>
      <w:r w:rsidRPr="00E919A1">
        <w:rPr>
          <w:lang w:val="fr-FR"/>
        </w:rPr>
        <w:t> </w:t>
      </w:r>
      <w:r w:rsidRPr="00E919A1">
        <w:rPr>
          <w:b/>
          <w:bCs/>
          <w:lang w:val="fr-FR"/>
        </w:rPr>
        <w:t>et</w:t>
      </w:r>
      <w:r w:rsidRPr="00E919A1">
        <w:rPr>
          <w:lang w:val="fr-FR"/>
        </w:rPr>
        <w:t xml:space="preserve"> des institutions financières</w:t>
      </w:r>
      <w:r w:rsidRPr="00E919A1">
        <w:rPr>
          <w:strike/>
          <w:lang w:val="fr-FR"/>
        </w:rPr>
        <w:t xml:space="preserve"> comme la BIRD, la BEI et la BERD</w:t>
      </w:r>
      <w:r w:rsidRPr="00E919A1">
        <w:rPr>
          <w:lang w:val="fr-FR"/>
        </w:rPr>
        <w:t>, ainsi qu</w:t>
      </w:r>
      <w:r>
        <w:rPr>
          <w:lang w:val="fr-FR"/>
        </w:rPr>
        <w:t>’</w:t>
      </w:r>
      <w:r w:rsidRPr="00E919A1">
        <w:rPr>
          <w:lang w:val="fr-FR"/>
        </w:rPr>
        <w:t xml:space="preserve">avec des organisations non gouvernementales exerçant leurs activités dans le domaine des transports </w:t>
      </w:r>
      <w:r w:rsidRPr="00E919A1">
        <w:rPr>
          <w:strike/>
          <w:lang w:val="fr-FR"/>
        </w:rPr>
        <w:t xml:space="preserve">européens </w:t>
      </w:r>
      <w:r w:rsidRPr="00E919A1">
        <w:rPr>
          <w:b/>
          <w:bCs/>
          <w:lang w:val="fr-FR"/>
        </w:rPr>
        <w:t>intérieurs</w:t>
      </w:r>
      <w:r w:rsidRPr="00E919A1">
        <w:rPr>
          <w:strike/>
          <w:lang w:val="fr-FR"/>
        </w:rPr>
        <w:t>, en vue d</w:t>
      </w:r>
      <w:r>
        <w:rPr>
          <w:strike/>
          <w:lang w:val="fr-FR"/>
        </w:rPr>
        <w:t>’</w:t>
      </w:r>
      <w:r w:rsidRPr="00E919A1">
        <w:rPr>
          <w:strike/>
          <w:lang w:val="fr-FR"/>
        </w:rPr>
        <w:t>éviter les doubles emplois et de maximiser la contribution de chaque organisation à un développement cohérent des transports régionaux multilatéraux, à la sécurité, à l</w:t>
      </w:r>
      <w:r>
        <w:rPr>
          <w:strike/>
          <w:lang w:val="fr-FR"/>
        </w:rPr>
        <w:t>’</w:t>
      </w:r>
      <w:r w:rsidRPr="00E919A1">
        <w:rPr>
          <w:strike/>
          <w:lang w:val="fr-FR"/>
        </w:rPr>
        <w:t>environnement et, d</w:t>
      </w:r>
      <w:r>
        <w:rPr>
          <w:strike/>
          <w:lang w:val="fr-FR"/>
        </w:rPr>
        <w:t>’</w:t>
      </w:r>
      <w:r w:rsidRPr="00E919A1">
        <w:rPr>
          <w:strike/>
          <w:lang w:val="fr-FR"/>
        </w:rPr>
        <w:t>une façon générale, au développement économique et au profit des États membres</w:t>
      </w:r>
      <w:r>
        <w:rPr>
          <w:lang w:val="fr-FR"/>
        </w:rPr>
        <w:t> ;</w:t>
      </w:r>
    </w:p>
    <w:p w:rsidR="003A38DC" w:rsidRPr="00E919A1" w:rsidRDefault="003A38DC" w:rsidP="003A38DC">
      <w:pPr>
        <w:pStyle w:val="SingleTxtG"/>
        <w:ind w:firstLine="567"/>
        <w:rPr>
          <w:b/>
          <w:bCs/>
          <w:lang w:val="fr-FR"/>
        </w:rPr>
      </w:pPr>
      <w:r w:rsidRPr="00E919A1">
        <w:rPr>
          <w:b/>
          <w:bCs/>
          <w:lang w:val="fr-FR"/>
        </w:rPr>
        <w:t>n)</w:t>
      </w:r>
      <w:r w:rsidRPr="00E919A1">
        <w:rPr>
          <w:lang w:val="fr-FR"/>
        </w:rPr>
        <w:tab/>
      </w:r>
      <w:r w:rsidRPr="00E919A1">
        <w:rPr>
          <w:b/>
          <w:bCs/>
          <w:lang w:val="fr-FR"/>
        </w:rPr>
        <w:t>Le Bureau du Comité est composé d</w:t>
      </w:r>
      <w:r>
        <w:rPr>
          <w:b/>
          <w:bCs/>
          <w:lang w:val="fr-FR"/>
        </w:rPr>
        <w:t>’</w:t>
      </w:r>
      <w:r w:rsidRPr="00E919A1">
        <w:rPr>
          <w:b/>
          <w:bCs/>
          <w:lang w:val="fr-FR"/>
        </w:rPr>
        <w:t>États membres de la CEE.</w:t>
      </w:r>
      <w:r w:rsidRPr="00E919A1">
        <w:rPr>
          <w:lang w:val="fr-FR"/>
        </w:rPr>
        <w:t xml:space="preserve"> </w:t>
      </w:r>
      <w:r w:rsidRPr="00E919A1">
        <w:rPr>
          <w:b/>
          <w:bCs/>
          <w:lang w:val="fr-FR"/>
        </w:rPr>
        <w:t>Le</w:t>
      </w:r>
      <w:r>
        <w:rPr>
          <w:b/>
          <w:bCs/>
          <w:lang w:val="fr-FR"/>
        </w:rPr>
        <w:t> </w:t>
      </w:r>
      <w:r w:rsidRPr="00E919A1">
        <w:rPr>
          <w:b/>
          <w:bCs/>
          <w:lang w:val="fr-FR"/>
        </w:rPr>
        <w:t xml:space="preserve">Comité adopte le mandat et le règlement intérieur de son </w:t>
      </w:r>
      <w:r>
        <w:rPr>
          <w:b/>
          <w:bCs/>
          <w:lang w:val="fr-FR"/>
        </w:rPr>
        <w:t>b</w:t>
      </w:r>
      <w:r w:rsidRPr="00E919A1">
        <w:rPr>
          <w:b/>
          <w:bCs/>
          <w:lang w:val="fr-FR"/>
        </w:rPr>
        <w:t>ureau et peut les modifier si nécessaire.</w:t>
      </w:r>
      <w:r w:rsidRPr="00E919A1">
        <w:rPr>
          <w:lang w:val="fr-FR"/>
        </w:rPr>
        <w:t xml:space="preserve"> </w:t>
      </w:r>
      <w:r w:rsidRPr="00E919A1">
        <w:rPr>
          <w:b/>
          <w:bCs/>
          <w:lang w:val="fr-FR"/>
        </w:rPr>
        <w:t>Le Comité adopte le mandat et le règlement intérieur de ses organes subsidiaires</w:t>
      </w:r>
      <w:r>
        <w:rPr>
          <w:b/>
          <w:bCs/>
          <w:lang w:val="fr-FR"/>
        </w:rPr>
        <w:t> ;</w:t>
      </w:r>
    </w:p>
    <w:p w:rsidR="003A38DC" w:rsidRPr="00E919A1" w:rsidRDefault="003A38DC" w:rsidP="003A38DC">
      <w:pPr>
        <w:pStyle w:val="SingleTxtG"/>
        <w:ind w:firstLine="567"/>
        <w:rPr>
          <w:lang w:val="fr-FR"/>
        </w:rPr>
      </w:pPr>
      <w:proofErr w:type="gramStart"/>
      <w:r w:rsidRPr="00E919A1">
        <w:rPr>
          <w:strike/>
          <w:lang w:val="fr-FR"/>
        </w:rPr>
        <w:t>k</w:t>
      </w:r>
      <w:r w:rsidRPr="00E919A1">
        <w:rPr>
          <w:b/>
          <w:bCs/>
          <w:lang w:val="fr-FR"/>
        </w:rPr>
        <w:t>o</w:t>
      </w:r>
      <w:proofErr w:type="gramEnd"/>
      <w:r w:rsidRPr="00E919A1">
        <w:rPr>
          <w:lang w:val="fr-FR"/>
        </w:rPr>
        <w:t>)</w:t>
      </w:r>
      <w:r w:rsidRPr="00E919A1">
        <w:rPr>
          <w:lang w:val="fr-FR"/>
        </w:rPr>
        <w:tab/>
        <w:t>Le Comité peut créer des organes subsidiaires ou organiser des réunions s</w:t>
      </w:r>
      <w:r>
        <w:rPr>
          <w:lang w:val="fr-FR"/>
        </w:rPr>
        <w:t>’</w:t>
      </w:r>
      <w:r w:rsidRPr="00E919A1">
        <w:rPr>
          <w:lang w:val="fr-FR"/>
        </w:rPr>
        <w:t>il le juge utile pour l</w:t>
      </w:r>
      <w:r>
        <w:rPr>
          <w:lang w:val="fr-FR"/>
        </w:rPr>
        <w:t>’</w:t>
      </w:r>
      <w:r w:rsidRPr="00E919A1">
        <w:rPr>
          <w:lang w:val="fr-FR"/>
        </w:rPr>
        <w:t>exécution de ce mandat</w:t>
      </w:r>
      <w:r w:rsidRPr="00E919A1">
        <w:rPr>
          <w:b/>
          <w:bCs/>
          <w:lang w:val="fr-FR"/>
        </w:rPr>
        <w:t>, conformément aux règles de la CEE en vigueur</w:t>
      </w:r>
      <w:r w:rsidRPr="00E919A1">
        <w:rPr>
          <w:lang w:val="fr-FR"/>
        </w:rPr>
        <w:t>.</w:t>
      </w:r>
    </w:p>
    <w:p w:rsidR="003A38DC" w:rsidRPr="00E326AB" w:rsidRDefault="003A38DC" w:rsidP="003A38DC">
      <w:pPr>
        <w:pStyle w:val="HChG"/>
        <w:rPr>
          <w:lang w:val="fr-FR"/>
        </w:rPr>
      </w:pPr>
      <w:r w:rsidRPr="00E919A1">
        <w:rPr>
          <w:lang w:val="fr-FR"/>
        </w:rPr>
        <w:br w:type="page"/>
      </w:r>
      <w:r w:rsidRPr="00E919A1">
        <w:rPr>
          <w:lang w:val="fr-FR"/>
        </w:rPr>
        <w:lastRenderedPageBreak/>
        <w:t>Annexe II</w:t>
      </w:r>
    </w:p>
    <w:p w:rsidR="003A38DC" w:rsidRPr="00E919A1" w:rsidRDefault="003A38DC" w:rsidP="003A38DC">
      <w:pPr>
        <w:pStyle w:val="HChG"/>
        <w:rPr>
          <w:lang w:val="fr-FR"/>
        </w:rPr>
      </w:pPr>
      <w:r>
        <w:rPr>
          <w:lang w:val="fr-FR"/>
        </w:rPr>
        <w:tab/>
      </w:r>
      <w:r>
        <w:rPr>
          <w:lang w:val="fr-FR"/>
        </w:rPr>
        <w:tab/>
      </w:r>
      <w:r w:rsidRPr="00E919A1">
        <w:rPr>
          <w:lang w:val="fr-FR"/>
        </w:rPr>
        <w:t xml:space="preserve">Décisions de la résolution ministérielle de 2017 </w:t>
      </w:r>
    </w:p>
    <w:p w:rsidR="003A38DC" w:rsidRPr="00E919A1" w:rsidRDefault="003A38DC" w:rsidP="003A38DC">
      <w:pPr>
        <w:pStyle w:val="H4G"/>
        <w:rPr>
          <w:lang w:val="fr-FR"/>
        </w:rPr>
      </w:pPr>
      <w:r>
        <w:rPr>
          <w:lang w:val="fr-FR"/>
        </w:rPr>
        <w:tab/>
      </w:r>
      <w:r>
        <w:rPr>
          <w:lang w:val="fr-FR"/>
        </w:rPr>
        <w:tab/>
      </w:r>
      <w:r w:rsidRPr="00E919A1">
        <w:rPr>
          <w:lang w:val="fr-FR"/>
        </w:rPr>
        <w:t>(ECE/TRANS/270, annexe I, pour la version anglaise</w:t>
      </w:r>
      <w:r>
        <w:rPr>
          <w:lang w:val="fr-FR"/>
        </w:rPr>
        <w:br/>
      </w:r>
      <w:r w:rsidRPr="00E919A1">
        <w:rPr>
          <w:lang w:val="fr-FR"/>
        </w:rPr>
        <w:t>ECE/TRANS/2017/2</w:t>
      </w:r>
      <w:r>
        <w:rPr>
          <w:lang w:val="fr-FR"/>
        </w:rPr>
        <w:t>,</w:t>
      </w:r>
      <w:r w:rsidRPr="00E919A1">
        <w:rPr>
          <w:lang w:val="fr-FR"/>
        </w:rPr>
        <w:t xml:space="preserve"> annexe</w:t>
      </w:r>
      <w:r>
        <w:rPr>
          <w:lang w:val="fr-FR"/>
        </w:rPr>
        <w:t>, pour la version</w:t>
      </w:r>
      <w:r w:rsidRPr="00E919A1">
        <w:rPr>
          <w:lang w:val="fr-FR"/>
        </w:rPr>
        <w:t xml:space="preserve"> en français)</w:t>
      </w:r>
    </w:p>
    <w:p w:rsidR="003A38DC" w:rsidRPr="00E919A1" w:rsidRDefault="003A38DC" w:rsidP="003A38DC">
      <w:pPr>
        <w:pStyle w:val="SingleTxtG"/>
        <w:ind w:firstLine="567"/>
        <w:rPr>
          <w:b/>
          <w:lang w:val="fr-FR"/>
        </w:rPr>
      </w:pPr>
      <w:r w:rsidRPr="00E919A1">
        <w:rPr>
          <w:b/>
          <w:lang w:val="fr-FR"/>
        </w:rPr>
        <w:t xml:space="preserve">Nous, </w:t>
      </w:r>
      <w:r>
        <w:rPr>
          <w:b/>
          <w:lang w:val="fr-FR"/>
        </w:rPr>
        <w:t>M</w:t>
      </w:r>
      <w:r w:rsidRPr="00E919A1">
        <w:rPr>
          <w:b/>
          <w:lang w:val="fr-FR"/>
        </w:rPr>
        <w:t>inistres, réunis pour célébrer le soixante-dixième anniversaire du Comité des transports intérieurs de la CEE, le 21 février 2017,</w:t>
      </w:r>
    </w:p>
    <w:p w:rsidR="003A38DC" w:rsidRPr="00E919A1" w:rsidRDefault="003A38DC" w:rsidP="003A38DC">
      <w:pPr>
        <w:pStyle w:val="SingleTxtG"/>
        <w:ind w:firstLine="567"/>
        <w:rPr>
          <w:lang w:val="fr-FR"/>
        </w:rPr>
      </w:pPr>
      <w:r w:rsidRPr="00E919A1">
        <w:rPr>
          <w:i/>
          <w:lang w:val="fr-FR"/>
        </w:rPr>
        <w:t>Pleinement conscients</w:t>
      </w:r>
      <w:r w:rsidRPr="00E919A1">
        <w:rPr>
          <w:lang w:val="fr-FR"/>
        </w:rPr>
        <w:t xml:space="preserve"> de l</w:t>
      </w:r>
      <w:r>
        <w:rPr>
          <w:lang w:val="fr-FR"/>
        </w:rPr>
        <w:t>’</w:t>
      </w:r>
      <w:r w:rsidRPr="00E919A1">
        <w:rPr>
          <w:lang w:val="fr-FR"/>
        </w:rPr>
        <w:t>ère nouvelle qui s</w:t>
      </w:r>
      <w:r>
        <w:rPr>
          <w:lang w:val="fr-FR"/>
        </w:rPr>
        <w:t>’</w:t>
      </w:r>
      <w:r w:rsidRPr="00E919A1">
        <w:rPr>
          <w:lang w:val="fr-FR"/>
        </w:rPr>
        <w:t>ouvre pour les transports intérieurs et la mobilité − marquée par la quatrième révolution industrielle − ainsi que de l</w:t>
      </w:r>
      <w:r>
        <w:rPr>
          <w:lang w:val="fr-FR"/>
        </w:rPr>
        <w:t>’</w:t>
      </w:r>
      <w:r w:rsidRPr="00E919A1">
        <w:rPr>
          <w:lang w:val="fr-FR"/>
        </w:rPr>
        <w:t>adoption du Programme de développement durable à l</w:t>
      </w:r>
      <w:r>
        <w:rPr>
          <w:lang w:val="fr-FR"/>
        </w:rPr>
        <w:t>’</w:t>
      </w:r>
      <w:r w:rsidRPr="00E919A1">
        <w:rPr>
          <w:lang w:val="fr-FR"/>
        </w:rPr>
        <w:t>horizon 2030, des objectifs de développement durable, du Programme d</w:t>
      </w:r>
      <w:r>
        <w:rPr>
          <w:lang w:val="fr-FR"/>
        </w:rPr>
        <w:t>’</w:t>
      </w:r>
      <w:r w:rsidRPr="00E919A1">
        <w:rPr>
          <w:lang w:val="fr-FR"/>
        </w:rPr>
        <w:t>action d</w:t>
      </w:r>
      <w:r>
        <w:rPr>
          <w:lang w:val="fr-FR"/>
        </w:rPr>
        <w:t>’</w:t>
      </w:r>
      <w:r w:rsidRPr="00E919A1">
        <w:rPr>
          <w:lang w:val="fr-FR"/>
        </w:rPr>
        <w:t>Addis-Abeba issu de la troisième Conférence internationale sur le financement du développement et de l</w:t>
      </w:r>
      <w:r>
        <w:rPr>
          <w:lang w:val="fr-FR"/>
        </w:rPr>
        <w:t>’</w:t>
      </w:r>
      <w:r w:rsidRPr="00E919A1">
        <w:rPr>
          <w:lang w:val="fr-FR"/>
        </w:rPr>
        <w:t>Accord de Paris conclu au titre de la Convention-cadre des Nations Unies sur les changements climatiques,</w:t>
      </w:r>
    </w:p>
    <w:p w:rsidR="003A38DC" w:rsidRPr="00E919A1" w:rsidRDefault="003A38DC" w:rsidP="003A38DC">
      <w:pPr>
        <w:pStyle w:val="SingleTxtG"/>
        <w:ind w:firstLine="567"/>
        <w:rPr>
          <w:lang w:val="fr-FR"/>
        </w:rPr>
      </w:pPr>
      <w:r w:rsidRPr="00E919A1">
        <w:rPr>
          <w:i/>
          <w:lang w:val="fr-FR"/>
        </w:rPr>
        <w:t>Rappelant</w:t>
      </w:r>
      <w:r w:rsidRPr="00E919A1">
        <w:rPr>
          <w:lang w:val="fr-FR"/>
        </w:rPr>
        <w:t xml:space="preserve"> le Programme d</w:t>
      </w:r>
      <w:r>
        <w:rPr>
          <w:lang w:val="fr-FR"/>
        </w:rPr>
        <w:t>’</w:t>
      </w:r>
      <w:r w:rsidRPr="00E919A1">
        <w:rPr>
          <w:lang w:val="fr-FR"/>
        </w:rPr>
        <w:t>action de Vienne en faveur des pays en développement sans littoral pour la décennie 2014-2024, la résolution 69/213 adoptée par l</w:t>
      </w:r>
      <w:r>
        <w:rPr>
          <w:lang w:val="fr-FR"/>
        </w:rPr>
        <w:t>’</w:t>
      </w:r>
      <w:r w:rsidRPr="00E919A1">
        <w:rPr>
          <w:lang w:val="fr-FR"/>
        </w:rPr>
        <w:t xml:space="preserve">Assemblée générale le 19 décembre 2014 sur le rôle des </w:t>
      </w:r>
      <w:r>
        <w:rPr>
          <w:lang w:val="fr-FR"/>
        </w:rPr>
        <w:t>corridor</w:t>
      </w:r>
      <w:r w:rsidRPr="00E919A1">
        <w:rPr>
          <w:lang w:val="fr-FR"/>
        </w:rPr>
        <w:t>s de transport et de transit en matière de coopération internationale et de développement durable, la résolution 70/197 adoptée par l</w:t>
      </w:r>
      <w:r>
        <w:rPr>
          <w:lang w:val="fr-FR"/>
        </w:rPr>
        <w:t>’</w:t>
      </w:r>
      <w:r w:rsidRPr="00E919A1">
        <w:rPr>
          <w:lang w:val="fr-FR"/>
        </w:rPr>
        <w:t xml:space="preserve">Assemblée générale le 22 décembre 2015, intitulée « Vers une coopération de tous les acteurs du secteur des transports pour la promotion de </w:t>
      </w:r>
      <w:r>
        <w:rPr>
          <w:lang w:val="fr-FR"/>
        </w:rPr>
        <w:t>corridor</w:t>
      </w:r>
      <w:r w:rsidRPr="00E919A1">
        <w:rPr>
          <w:lang w:val="fr-FR"/>
        </w:rPr>
        <w:t>s de transit multimodal durables », la résolution 70/260 adoptée par l</w:t>
      </w:r>
      <w:r>
        <w:rPr>
          <w:lang w:val="fr-FR"/>
        </w:rPr>
        <w:t>’</w:t>
      </w:r>
      <w:r w:rsidRPr="00E919A1">
        <w:rPr>
          <w:lang w:val="fr-FR"/>
        </w:rPr>
        <w:t>Assemblée générale le 15 avril 2016 sur l</w:t>
      </w:r>
      <w:r>
        <w:rPr>
          <w:lang w:val="fr-FR"/>
        </w:rPr>
        <w:t>’</w:t>
      </w:r>
      <w:r w:rsidRPr="00E919A1">
        <w:rPr>
          <w:lang w:val="fr-FR"/>
        </w:rPr>
        <w:t>amélioration de la sécurité routière mondiale, et la Conférence mondiale sur le transport durable convoquée par le Secrétaire général de l</w:t>
      </w:r>
      <w:r>
        <w:rPr>
          <w:lang w:val="fr-FR"/>
        </w:rPr>
        <w:t>’</w:t>
      </w:r>
      <w:r w:rsidRPr="00E919A1">
        <w:rPr>
          <w:lang w:val="fr-FR"/>
        </w:rPr>
        <w:t>Organisation des Nations Unies et accueillie par le Gouvernement turkmène les 26 et 27 novembre 2016,</w:t>
      </w:r>
    </w:p>
    <w:p w:rsidR="003A38DC" w:rsidRPr="00E919A1" w:rsidRDefault="003A38DC" w:rsidP="003A38DC">
      <w:pPr>
        <w:pStyle w:val="SingleTxtG"/>
        <w:ind w:firstLine="567"/>
        <w:rPr>
          <w:lang w:val="fr-FR"/>
        </w:rPr>
      </w:pPr>
      <w:r w:rsidRPr="00E919A1">
        <w:rPr>
          <w:i/>
          <w:lang w:val="fr-FR"/>
        </w:rPr>
        <w:t>Déclarant</w:t>
      </w:r>
      <w:r w:rsidRPr="00E919A1">
        <w:rPr>
          <w:lang w:val="fr-FR"/>
        </w:rPr>
        <w:t xml:space="preserve"> être fermement convaincus que la réalisation de systèmes de transport sûrs, propres, solides, interconnectés et efficaces pour les personnes et les marchandises ne peut s</w:t>
      </w:r>
      <w:r>
        <w:rPr>
          <w:lang w:val="fr-FR"/>
        </w:rPr>
        <w:t>’</w:t>
      </w:r>
      <w:r w:rsidRPr="00E919A1">
        <w:rPr>
          <w:lang w:val="fr-FR"/>
        </w:rPr>
        <w:t>accomplir que grâce à la mise en place d</w:t>
      </w:r>
      <w:r>
        <w:rPr>
          <w:lang w:val="fr-FR"/>
        </w:rPr>
        <w:t>’</w:t>
      </w:r>
      <w:r w:rsidRPr="00E919A1">
        <w:rPr>
          <w:lang w:val="fr-FR"/>
        </w:rPr>
        <w:t>un cadre juridique international inclusif, à la mise en œuvre de bonnes pratiques de communication, à l</w:t>
      </w:r>
      <w:r>
        <w:rPr>
          <w:lang w:val="fr-FR"/>
        </w:rPr>
        <w:t>’</w:t>
      </w:r>
      <w:r w:rsidRPr="00E919A1">
        <w:rPr>
          <w:lang w:val="fr-FR"/>
        </w:rPr>
        <w:t>appui des administrations publiques, à la coopération internationale, aux nouvelles technologies, à la responsabilité sociale et aux financements novateurs,</w:t>
      </w:r>
    </w:p>
    <w:p w:rsidR="003A38DC" w:rsidRPr="00E919A1" w:rsidRDefault="003A38DC" w:rsidP="003A38DC">
      <w:pPr>
        <w:pStyle w:val="SingleTxtG"/>
        <w:ind w:firstLine="567"/>
        <w:rPr>
          <w:lang w:val="fr-FR"/>
        </w:rPr>
      </w:pPr>
      <w:r w:rsidRPr="00E919A1">
        <w:rPr>
          <w:i/>
          <w:lang w:val="fr-FR"/>
        </w:rPr>
        <w:t>Saluant</w:t>
      </w:r>
      <w:r w:rsidRPr="00E919A1">
        <w:rPr>
          <w:lang w:val="fr-FR"/>
        </w:rPr>
        <w:t xml:space="preserve"> l</w:t>
      </w:r>
      <w:r>
        <w:rPr>
          <w:lang w:val="fr-FR"/>
        </w:rPr>
        <w:t>’</w:t>
      </w:r>
      <w:r w:rsidRPr="00E919A1">
        <w:rPr>
          <w:lang w:val="fr-FR"/>
        </w:rPr>
        <w:t>importance historique du Comité des transports intérieurs, qui a servi de pierre angulaire pour la reconstruction de l</w:t>
      </w:r>
      <w:r>
        <w:rPr>
          <w:lang w:val="fr-FR"/>
        </w:rPr>
        <w:t>’</w:t>
      </w:r>
      <w:r w:rsidRPr="00E919A1">
        <w:rPr>
          <w:lang w:val="fr-FR"/>
        </w:rPr>
        <w:t>Europe après la Seconde Guerre mondiale, grâce à la coopération internationale dans le domaine des transports,</w:t>
      </w:r>
    </w:p>
    <w:p w:rsidR="003A38DC" w:rsidRPr="00E919A1" w:rsidRDefault="003A38DC" w:rsidP="003A38DC">
      <w:pPr>
        <w:pStyle w:val="SingleTxtG"/>
        <w:ind w:firstLine="567"/>
        <w:rPr>
          <w:lang w:val="fr-FR"/>
        </w:rPr>
      </w:pPr>
      <w:r w:rsidRPr="00E919A1">
        <w:rPr>
          <w:i/>
          <w:lang w:val="fr-FR"/>
        </w:rPr>
        <w:t>Reconnaissant</w:t>
      </w:r>
      <w:r w:rsidRPr="00E919A1">
        <w:rPr>
          <w:lang w:val="fr-FR"/>
        </w:rPr>
        <w:t xml:space="preserve"> la pertinence globale des travaux du Comité et de ses organes subsidiaires, au vu des résultats de l</w:t>
      </w:r>
      <w:r>
        <w:rPr>
          <w:lang w:val="fr-FR"/>
        </w:rPr>
        <w:t>’</w:t>
      </w:r>
      <w:r w:rsidRPr="00E919A1">
        <w:rPr>
          <w:lang w:val="fr-FR"/>
        </w:rPr>
        <w:t xml:space="preserve">examen de la réforme de la CEE, et notamment de la décision </w:t>
      </w:r>
      <w:proofErr w:type="gramStart"/>
      <w:r w:rsidRPr="00E919A1">
        <w:rPr>
          <w:lang w:val="fr-FR"/>
        </w:rPr>
        <w:t>A(</w:t>
      </w:r>
      <w:proofErr w:type="gramEnd"/>
      <w:r w:rsidRPr="00E919A1">
        <w:rPr>
          <w:lang w:val="fr-FR"/>
        </w:rPr>
        <w:t>65) adoptée par la Commission en 2013, qui confirme que le Comité occupe une place unique en son genre dans le système des Nations Unies et fournit une plateforme d</w:t>
      </w:r>
      <w:r>
        <w:rPr>
          <w:lang w:val="fr-FR"/>
        </w:rPr>
        <w:t>’</w:t>
      </w:r>
      <w:r w:rsidRPr="00E919A1">
        <w:rPr>
          <w:lang w:val="fr-FR"/>
        </w:rPr>
        <w:t>ensemble, aux niveaux régional et mondial, pour l</w:t>
      </w:r>
      <w:r>
        <w:rPr>
          <w:lang w:val="fr-FR"/>
        </w:rPr>
        <w:t>’</w:t>
      </w:r>
      <w:r w:rsidRPr="00E919A1">
        <w:rPr>
          <w:lang w:val="fr-FR"/>
        </w:rPr>
        <w:t>examen de tous les aspects du développement des transports intérieurs et la coopération dans ce domaine,</w:t>
      </w:r>
    </w:p>
    <w:p w:rsidR="003A38DC" w:rsidRPr="00E919A1" w:rsidRDefault="003A38DC" w:rsidP="003A38DC">
      <w:pPr>
        <w:pStyle w:val="SingleTxtG"/>
        <w:ind w:firstLine="567"/>
        <w:rPr>
          <w:spacing w:val="-1"/>
          <w:lang w:val="fr-FR"/>
        </w:rPr>
      </w:pPr>
      <w:r w:rsidRPr="00E919A1">
        <w:rPr>
          <w:i/>
          <w:spacing w:val="-1"/>
          <w:lang w:val="fr-FR"/>
        </w:rPr>
        <w:t xml:space="preserve">Conscients </w:t>
      </w:r>
      <w:r w:rsidRPr="00E919A1">
        <w:rPr>
          <w:spacing w:val="-1"/>
          <w:lang w:val="fr-FR"/>
        </w:rPr>
        <w:t>que le</w:t>
      </w:r>
      <w:r w:rsidRPr="00E919A1">
        <w:rPr>
          <w:i/>
          <w:spacing w:val="-1"/>
          <w:lang w:val="fr-FR"/>
        </w:rPr>
        <w:t xml:space="preserve"> </w:t>
      </w:r>
      <w:r w:rsidRPr="00E919A1">
        <w:rPr>
          <w:spacing w:val="-1"/>
          <w:lang w:val="fr-FR"/>
        </w:rPr>
        <w:t>Comité des transports intérieurs joue un rôle unique, non seulement en tant qu</w:t>
      </w:r>
      <w:r>
        <w:rPr>
          <w:spacing w:val="-1"/>
          <w:lang w:val="fr-FR"/>
        </w:rPr>
        <w:t>’</w:t>
      </w:r>
      <w:r w:rsidRPr="00E919A1">
        <w:rPr>
          <w:spacing w:val="-1"/>
          <w:lang w:val="fr-FR"/>
        </w:rPr>
        <w:t xml:space="preserve">organe intergouvernemental spécialisé dans les transports intérieurs, mais aussi en tant que centre pour les </w:t>
      </w:r>
      <w:r>
        <w:rPr>
          <w:spacing w:val="-1"/>
          <w:lang w:val="fr-FR"/>
        </w:rPr>
        <w:t>Conventions des Nations Unies</w:t>
      </w:r>
      <w:r w:rsidRPr="00E919A1">
        <w:rPr>
          <w:spacing w:val="-1"/>
          <w:lang w:val="fr-FR"/>
        </w:rPr>
        <w:t xml:space="preserve"> qui ont constitué le principal cadre réglementaire international relatif aux transports intérieurs et qui le renforcent,</w:t>
      </w:r>
    </w:p>
    <w:p w:rsidR="003A38DC" w:rsidRPr="00E919A1" w:rsidRDefault="003A38DC" w:rsidP="003A38DC">
      <w:pPr>
        <w:pStyle w:val="SingleTxtG"/>
        <w:ind w:firstLine="567"/>
        <w:rPr>
          <w:lang w:val="fr-FR"/>
        </w:rPr>
      </w:pPr>
      <w:r w:rsidRPr="00E919A1">
        <w:rPr>
          <w:i/>
          <w:lang w:val="fr-FR"/>
        </w:rPr>
        <w:t>Soulignant</w:t>
      </w:r>
      <w:r w:rsidRPr="00E919A1">
        <w:rPr>
          <w:lang w:val="fr-FR"/>
        </w:rPr>
        <w:t xml:space="preserve"> l</w:t>
      </w:r>
      <w:r>
        <w:rPr>
          <w:lang w:val="fr-FR"/>
        </w:rPr>
        <w:t>’</w:t>
      </w:r>
      <w:r w:rsidRPr="00E919A1">
        <w:rPr>
          <w:lang w:val="fr-FR"/>
        </w:rPr>
        <w:t>importance du transport et de la mobilité des passagers et des marchandises, qui sont des éléments essentiels de l</w:t>
      </w:r>
      <w:r>
        <w:rPr>
          <w:lang w:val="fr-FR"/>
        </w:rPr>
        <w:t>’</w:t>
      </w:r>
      <w:r w:rsidRPr="00E919A1">
        <w:rPr>
          <w:lang w:val="fr-FR"/>
        </w:rPr>
        <w:t>accès au travail, à l</w:t>
      </w:r>
      <w:r>
        <w:rPr>
          <w:lang w:val="fr-FR"/>
        </w:rPr>
        <w:t>’</w:t>
      </w:r>
      <w:r w:rsidRPr="00E919A1">
        <w:rPr>
          <w:lang w:val="fr-FR"/>
        </w:rPr>
        <w:t>éducation et aux services sociaux et qui favorisent donc l</w:t>
      </w:r>
      <w:r>
        <w:rPr>
          <w:lang w:val="fr-FR"/>
        </w:rPr>
        <w:t>’</w:t>
      </w:r>
      <w:r w:rsidRPr="00E919A1">
        <w:rPr>
          <w:lang w:val="fr-FR"/>
        </w:rPr>
        <w:t>inclusion sociale de tous, y compris des personnes ayant des besoins particuliers en matière de mobilité, et sont fondamentaux pour l</w:t>
      </w:r>
      <w:r>
        <w:rPr>
          <w:lang w:val="fr-FR"/>
        </w:rPr>
        <w:t>’</w:t>
      </w:r>
      <w:r w:rsidRPr="00E919A1">
        <w:rPr>
          <w:lang w:val="fr-FR"/>
        </w:rPr>
        <w:t xml:space="preserve">intégration régionale et mondiale ainsi que la croissance économique, </w:t>
      </w:r>
    </w:p>
    <w:p w:rsidR="003A38DC" w:rsidRPr="00E919A1" w:rsidRDefault="003A38DC" w:rsidP="003A38DC">
      <w:pPr>
        <w:pStyle w:val="SingleTxtG"/>
        <w:spacing w:line="236" w:lineRule="exact"/>
        <w:ind w:firstLine="567"/>
        <w:rPr>
          <w:lang w:val="fr-FR"/>
        </w:rPr>
      </w:pPr>
      <w:r w:rsidRPr="00E919A1">
        <w:rPr>
          <w:i/>
          <w:lang w:val="fr-FR"/>
        </w:rPr>
        <w:t>Attestant</w:t>
      </w:r>
      <w:r w:rsidRPr="00E919A1">
        <w:rPr>
          <w:lang w:val="fr-FR"/>
        </w:rPr>
        <w:t xml:space="preserve"> les résultats tangibles obtenus par le Comité et ses organes subsidiaires et la contribution précieuse qu</w:t>
      </w:r>
      <w:r>
        <w:rPr>
          <w:lang w:val="fr-FR"/>
        </w:rPr>
        <w:t>’</w:t>
      </w:r>
      <w:r w:rsidRPr="00E919A1">
        <w:rPr>
          <w:lang w:val="fr-FR"/>
        </w:rPr>
        <w:t>ils ont fournie, en menant notamment des activités visant à actualiser régulièrement les conventions au profit de toutes les Parties contractantes et à en élaborer de nouvelles afin de répondre aux exigences modernes en matière de transport,</w:t>
      </w:r>
    </w:p>
    <w:p w:rsidR="003A38DC" w:rsidRPr="00E919A1" w:rsidRDefault="003A38DC" w:rsidP="003A38DC">
      <w:pPr>
        <w:pStyle w:val="SingleTxtG"/>
        <w:spacing w:line="236" w:lineRule="exact"/>
        <w:ind w:firstLine="567"/>
        <w:rPr>
          <w:lang w:val="fr-FR"/>
        </w:rPr>
      </w:pPr>
      <w:r w:rsidRPr="00E919A1">
        <w:rPr>
          <w:i/>
          <w:lang w:val="fr-FR"/>
        </w:rPr>
        <w:lastRenderedPageBreak/>
        <w:t>Affirmant</w:t>
      </w:r>
      <w:r w:rsidRPr="00E919A1">
        <w:rPr>
          <w:lang w:val="fr-FR"/>
        </w:rPr>
        <w:t xml:space="preserve"> que les conventions de l</w:t>
      </w:r>
      <w:r>
        <w:rPr>
          <w:lang w:val="fr-FR"/>
        </w:rPr>
        <w:t>’</w:t>
      </w:r>
      <w:r w:rsidRPr="00E919A1">
        <w:rPr>
          <w:lang w:val="fr-FR"/>
        </w:rPr>
        <w:t>ONU relatives aux transports relevant du Comité fournissent un cadre réglementaire international solide et fonctionnel pour le développement durable des transports intérieurs,</w:t>
      </w:r>
    </w:p>
    <w:p w:rsidR="003A38DC" w:rsidRPr="00E919A1" w:rsidRDefault="003A38DC" w:rsidP="003A38DC">
      <w:pPr>
        <w:pStyle w:val="SingleTxtG"/>
        <w:spacing w:line="236" w:lineRule="exact"/>
        <w:ind w:firstLine="567"/>
        <w:rPr>
          <w:lang w:val="fr-FR"/>
        </w:rPr>
      </w:pPr>
      <w:r w:rsidRPr="00E919A1">
        <w:rPr>
          <w:i/>
          <w:lang w:val="fr-FR"/>
        </w:rPr>
        <w:t>Notant</w:t>
      </w:r>
      <w:r w:rsidRPr="00E919A1">
        <w:rPr>
          <w:lang w:val="fr-FR"/>
        </w:rPr>
        <w:t xml:space="preserve"> que la majorité (75 %) des États Membres de l</w:t>
      </w:r>
      <w:r>
        <w:rPr>
          <w:lang w:val="fr-FR"/>
        </w:rPr>
        <w:t>’</w:t>
      </w:r>
      <w:r w:rsidRPr="00E919A1">
        <w:rPr>
          <w:lang w:val="fr-FR"/>
        </w:rPr>
        <w:t>ONU sont Parties contractantes à l</w:t>
      </w:r>
      <w:r>
        <w:rPr>
          <w:lang w:val="fr-FR"/>
        </w:rPr>
        <w:t>’</w:t>
      </w:r>
      <w:r w:rsidRPr="00E919A1">
        <w:rPr>
          <w:lang w:val="fr-FR"/>
        </w:rPr>
        <w:t>une au moins de ces conventions relatives aux transports,</w:t>
      </w:r>
    </w:p>
    <w:p w:rsidR="003A38DC" w:rsidRPr="00E919A1" w:rsidRDefault="003A38DC" w:rsidP="003A38DC">
      <w:pPr>
        <w:pStyle w:val="SingleTxtG"/>
        <w:spacing w:line="236" w:lineRule="exact"/>
        <w:ind w:firstLine="567"/>
        <w:rPr>
          <w:lang w:val="fr-FR"/>
        </w:rPr>
      </w:pPr>
      <w:r w:rsidRPr="00E919A1">
        <w:rPr>
          <w:i/>
          <w:lang w:val="fr-FR"/>
        </w:rPr>
        <w:t>Soutenant</w:t>
      </w:r>
      <w:r w:rsidRPr="00E919A1">
        <w:rPr>
          <w:lang w:val="fr-FR"/>
        </w:rPr>
        <w:t xml:space="preserve"> que les adhésions aux conventions de l</w:t>
      </w:r>
      <w:r>
        <w:rPr>
          <w:lang w:val="fr-FR"/>
        </w:rPr>
        <w:t>’</w:t>
      </w:r>
      <w:r w:rsidRPr="00E919A1">
        <w:rPr>
          <w:lang w:val="fr-FR"/>
        </w:rPr>
        <w:t>ONU sur les transports s</w:t>
      </w:r>
      <w:r>
        <w:rPr>
          <w:lang w:val="fr-FR"/>
        </w:rPr>
        <w:t>’</w:t>
      </w:r>
      <w:r w:rsidRPr="00E919A1">
        <w:rPr>
          <w:lang w:val="fr-FR"/>
        </w:rPr>
        <w:t>accompagnent d</w:t>
      </w:r>
      <w:r>
        <w:rPr>
          <w:lang w:val="fr-FR"/>
        </w:rPr>
        <w:t>’</w:t>
      </w:r>
      <w:r w:rsidRPr="00E919A1">
        <w:rPr>
          <w:lang w:val="fr-FR"/>
        </w:rPr>
        <w:t>une mise en œuvre plus satisfaisante des objectifs et cibles de développement durable relatifs aux transports,</w:t>
      </w:r>
    </w:p>
    <w:p w:rsidR="003A38DC" w:rsidRPr="00E919A1" w:rsidRDefault="003A38DC" w:rsidP="003A38DC">
      <w:pPr>
        <w:pStyle w:val="SingleTxtG"/>
        <w:spacing w:line="236" w:lineRule="exact"/>
        <w:ind w:firstLine="567"/>
        <w:rPr>
          <w:lang w:val="fr-FR"/>
        </w:rPr>
      </w:pPr>
      <w:r w:rsidRPr="00E919A1">
        <w:rPr>
          <w:i/>
          <w:lang w:val="fr-FR"/>
        </w:rPr>
        <w:t xml:space="preserve">Soulignant </w:t>
      </w:r>
      <w:r w:rsidRPr="00E919A1">
        <w:rPr>
          <w:lang w:val="fr-FR"/>
        </w:rPr>
        <w:t>l</w:t>
      </w:r>
      <w:r>
        <w:rPr>
          <w:lang w:val="fr-FR"/>
        </w:rPr>
        <w:t>’</w:t>
      </w:r>
      <w:r w:rsidRPr="00E919A1">
        <w:rPr>
          <w:lang w:val="fr-FR"/>
        </w:rPr>
        <w:t>action menée par le Comité des transports intérieurs pour promouvoir le transport durable de marchandises et de passagers aux niveaux international, régional, national, urbain et rural, une attention particulière étant accordée à la fluidité des réseaux de transport intermodal et de transport public, et pour améliorer la sécurité de la circulation, la protection de l</w:t>
      </w:r>
      <w:r>
        <w:rPr>
          <w:lang w:val="fr-FR"/>
        </w:rPr>
        <w:t>’</w:t>
      </w:r>
      <w:r w:rsidRPr="00E919A1">
        <w:rPr>
          <w:lang w:val="fr-FR"/>
        </w:rPr>
        <w:t>environnement, l</w:t>
      </w:r>
      <w:r>
        <w:rPr>
          <w:lang w:val="fr-FR"/>
        </w:rPr>
        <w:t>’</w:t>
      </w:r>
      <w:r w:rsidRPr="00E919A1">
        <w:rPr>
          <w:lang w:val="fr-FR"/>
        </w:rPr>
        <w:t>efficacité énergétique, la sécurité des transports intérieurs, les infrastructures de transport non motorisé et l</w:t>
      </w:r>
      <w:r>
        <w:rPr>
          <w:lang w:val="fr-FR"/>
        </w:rPr>
        <w:t>’</w:t>
      </w:r>
      <w:r w:rsidRPr="00E919A1">
        <w:rPr>
          <w:lang w:val="fr-FR"/>
        </w:rPr>
        <w:t xml:space="preserve">efficacité des services dans le secteur des transports, </w:t>
      </w:r>
    </w:p>
    <w:p w:rsidR="003A38DC" w:rsidRPr="00E919A1" w:rsidRDefault="003A38DC" w:rsidP="003A38DC">
      <w:pPr>
        <w:pStyle w:val="SingleTxtG"/>
        <w:spacing w:line="236" w:lineRule="exact"/>
        <w:ind w:firstLine="567"/>
        <w:rPr>
          <w:lang w:val="fr-FR"/>
        </w:rPr>
      </w:pPr>
      <w:r w:rsidRPr="00E919A1">
        <w:rPr>
          <w:i/>
          <w:lang w:val="fr-FR"/>
        </w:rPr>
        <w:t>Conscients</w:t>
      </w:r>
      <w:r w:rsidRPr="00E919A1">
        <w:rPr>
          <w:lang w:val="fr-FR"/>
        </w:rPr>
        <w:t xml:space="preserve"> qu</w:t>
      </w:r>
      <w:r>
        <w:rPr>
          <w:lang w:val="fr-FR"/>
        </w:rPr>
        <w:t>’</w:t>
      </w:r>
      <w:r w:rsidRPr="00E919A1">
        <w:rPr>
          <w:lang w:val="fr-FR"/>
        </w:rPr>
        <w:t>il importe de mettre en place des systèmes de transport qui favorisent le développement des transports publics urbains et qui intègrent l</w:t>
      </w:r>
      <w:r>
        <w:rPr>
          <w:lang w:val="fr-FR"/>
        </w:rPr>
        <w:t>’</w:t>
      </w:r>
      <w:r w:rsidRPr="00E919A1">
        <w:rPr>
          <w:lang w:val="fr-FR"/>
        </w:rPr>
        <w:t>aménagement du territoire et la planification des transports, incorporent les infrastructures de transport non motorisé, renforcent les liaisons entre les zones urbaines et rurales, lient l</w:t>
      </w:r>
      <w:r>
        <w:rPr>
          <w:lang w:val="fr-FR"/>
        </w:rPr>
        <w:t>’</w:t>
      </w:r>
      <w:r w:rsidRPr="00E919A1">
        <w:rPr>
          <w:lang w:val="fr-FR"/>
        </w:rPr>
        <w:t>activité économique et les communautés rurales aux chaînes d</w:t>
      </w:r>
      <w:r>
        <w:rPr>
          <w:lang w:val="fr-FR"/>
        </w:rPr>
        <w:t>’</w:t>
      </w:r>
      <w:r w:rsidRPr="00E919A1">
        <w:rPr>
          <w:lang w:val="fr-FR"/>
        </w:rPr>
        <w:t>approvisionnement régionales et mondiales, intègrent les questions de genre dans le secteur des transports et donc favorisent l</w:t>
      </w:r>
      <w:r>
        <w:rPr>
          <w:lang w:val="fr-FR"/>
        </w:rPr>
        <w:t>’</w:t>
      </w:r>
      <w:r w:rsidRPr="00E919A1">
        <w:rPr>
          <w:lang w:val="fr-FR"/>
        </w:rPr>
        <w:t>équité et l</w:t>
      </w:r>
      <w:r>
        <w:rPr>
          <w:lang w:val="fr-FR"/>
        </w:rPr>
        <w:t>’</w:t>
      </w:r>
      <w:r w:rsidRPr="00E919A1">
        <w:rPr>
          <w:lang w:val="fr-FR"/>
        </w:rPr>
        <w:t>inclusion sociales et économiques,</w:t>
      </w:r>
    </w:p>
    <w:p w:rsidR="003A38DC" w:rsidRPr="00E919A1" w:rsidRDefault="003A38DC" w:rsidP="003A38DC">
      <w:pPr>
        <w:pStyle w:val="SingleTxtG"/>
        <w:spacing w:line="236" w:lineRule="exact"/>
        <w:ind w:firstLine="567"/>
        <w:rPr>
          <w:lang w:val="fr-FR"/>
        </w:rPr>
      </w:pPr>
      <w:r w:rsidRPr="00E919A1">
        <w:rPr>
          <w:i/>
          <w:lang w:val="fr-FR"/>
        </w:rPr>
        <w:t>Priant</w:t>
      </w:r>
      <w:r w:rsidRPr="00E919A1">
        <w:rPr>
          <w:lang w:val="fr-FR"/>
        </w:rPr>
        <w:t xml:space="preserve"> instamment les États Membres de l</w:t>
      </w:r>
      <w:r>
        <w:rPr>
          <w:lang w:val="fr-FR"/>
        </w:rPr>
        <w:t>’</w:t>
      </w:r>
      <w:r w:rsidRPr="00E919A1">
        <w:rPr>
          <w:lang w:val="fr-FR"/>
        </w:rPr>
        <w:t>Organisation des Nations Unies d</w:t>
      </w:r>
      <w:r>
        <w:rPr>
          <w:lang w:val="fr-FR"/>
        </w:rPr>
        <w:t>’</w:t>
      </w:r>
      <w:r w:rsidRPr="00E919A1">
        <w:rPr>
          <w:lang w:val="fr-FR"/>
        </w:rPr>
        <w:t>améliorer encore les services de transport intermodal et d</w:t>
      </w:r>
      <w:r>
        <w:rPr>
          <w:lang w:val="fr-FR"/>
        </w:rPr>
        <w:t>’</w:t>
      </w:r>
      <w:r w:rsidRPr="00E919A1">
        <w:rPr>
          <w:lang w:val="fr-FR"/>
        </w:rPr>
        <w:t xml:space="preserve">intégrer efficacement les modes de transport pour atteindre les objectifs de développement durable, </w:t>
      </w:r>
    </w:p>
    <w:p w:rsidR="003A38DC" w:rsidRPr="00E919A1" w:rsidRDefault="003A38DC" w:rsidP="003A38DC">
      <w:pPr>
        <w:pStyle w:val="SingleTxtG"/>
        <w:spacing w:line="236" w:lineRule="exact"/>
        <w:ind w:firstLine="567"/>
        <w:rPr>
          <w:lang w:val="fr-FR"/>
        </w:rPr>
      </w:pPr>
      <w:r w:rsidRPr="00E919A1">
        <w:rPr>
          <w:i/>
          <w:lang w:val="fr-FR"/>
        </w:rPr>
        <w:t>Réaffirmant</w:t>
      </w:r>
      <w:r w:rsidRPr="00E919A1">
        <w:rPr>
          <w:lang w:val="fr-FR"/>
        </w:rPr>
        <w:t xml:space="preserve"> le rôle que jouent l</w:t>
      </w:r>
      <w:r>
        <w:rPr>
          <w:lang w:val="fr-FR"/>
        </w:rPr>
        <w:t>’</w:t>
      </w:r>
      <w:r w:rsidRPr="00E919A1">
        <w:rPr>
          <w:lang w:val="fr-FR"/>
        </w:rPr>
        <w:t>autoroute transeuropéenne (TEM), le Chemin de fer transeuropéen (TER), les liaisons de transport Europe-Asie (LTEA) et les quatre principaux accords sur les infrastructures de transport pour appuyer la planification des investissements multinationaux, harmonisée au niveau international, au profit des échanges commerciaux et des flux de marchandises existants et futurs en Europe et au-delà, en particulier entre l</w:t>
      </w:r>
      <w:r>
        <w:rPr>
          <w:lang w:val="fr-FR"/>
        </w:rPr>
        <w:t>’</w:t>
      </w:r>
      <w:r w:rsidRPr="00E919A1">
        <w:rPr>
          <w:lang w:val="fr-FR"/>
        </w:rPr>
        <w:t>Europe et l</w:t>
      </w:r>
      <w:r>
        <w:rPr>
          <w:lang w:val="fr-FR"/>
        </w:rPr>
        <w:t>’</w:t>
      </w:r>
      <w:r w:rsidRPr="00E919A1">
        <w:rPr>
          <w:lang w:val="fr-FR"/>
        </w:rPr>
        <w:t>Asie,</w:t>
      </w:r>
    </w:p>
    <w:p w:rsidR="003A38DC" w:rsidRPr="00E919A1" w:rsidRDefault="003A38DC" w:rsidP="003A38DC">
      <w:pPr>
        <w:pStyle w:val="SingleTxtG"/>
        <w:spacing w:line="236" w:lineRule="exact"/>
        <w:ind w:firstLine="567"/>
        <w:rPr>
          <w:lang w:val="fr-FR"/>
        </w:rPr>
      </w:pPr>
      <w:r w:rsidRPr="00E919A1">
        <w:rPr>
          <w:i/>
          <w:lang w:val="fr-FR"/>
        </w:rPr>
        <w:t>Notant avec satisfaction</w:t>
      </w:r>
      <w:r w:rsidRPr="00E919A1">
        <w:rPr>
          <w:lang w:val="fr-FR"/>
        </w:rPr>
        <w:t xml:space="preserve"> le rôle des initiatives de développement intercontinental telles que l</w:t>
      </w:r>
      <w:r>
        <w:rPr>
          <w:lang w:val="fr-FR"/>
        </w:rPr>
        <w:t>’</w:t>
      </w:r>
      <w:r w:rsidRPr="00E919A1">
        <w:rPr>
          <w:lang w:val="fr-FR"/>
        </w:rPr>
        <w:t>initiative « Ceinture économique de la Route de la soie » et l</w:t>
      </w:r>
      <w:r>
        <w:rPr>
          <w:lang w:val="fr-FR"/>
        </w:rPr>
        <w:t>’</w:t>
      </w:r>
      <w:r w:rsidRPr="00E919A1">
        <w:rPr>
          <w:lang w:val="fr-FR"/>
        </w:rPr>
        <w:t>initiative « Route de la soie maritime du XXI</w:t>
      </w:r>
      <w:r w:rsidRPr="00E919A1">
        <w:rPr>
          <w:vertAlign w:val="superscript"/>
          <w:lang w:val="fr-FR"/>
        </w:rPr>
        <w:t>e</w:t>
      </w:r>
      <w:r w:rsidRPr="00E919A1">
        <w:rPr>
          <w:lang w:val="fr-FR"/>
        </w:rPr>
        <w:t> siècle » (l</w:t>
      </w:r>
      <w:r>
        <w:rPr>
          <w:lang w:val="fr-FR"/>
        </w:rPr>
        <w:t>’</w:t>
      </w:r>
      <w:r w:rsidRPr="00E919A1">
        <w:rPr>
          <w:lang w:val="fr-FR"/>
        </w:rPr>
        <w:t>initiative « une Ceinture et une Route ») dans le renforcement de la facilitation des transports,</w:t>
      </w:r>
    </w:p>
    <w:p w:rsidR="003A38DC" w:rsidRPr="00E919A1" w:rsidRDefault="003A38DC" w:rsidP="003A38DC">
      <w:pPr>
        <w:pStyle w:val="SingleTxtG"/>
        <w:spacing w:line="236" w:lineRule="exact"/>
        <w:ind w:firstLine="567"/>
        <w:rPr>
          <w:lang w:val="fr-FR"/>
        </w:rPr>
      </w:pPr>
      <w:r w:rsidRPr="00E919A1">
        <w:rPr>
          <w:i/>
          <w:lang w:val="fr-FR"/>
        </w:rPr>
        <w:t>Préconisant</w:t>
      </w:r>
      <w:r w:rsidRPr="00E919A1">
        <w:rPr>
          <w:lang w:val="fr-FR"/>
        </w:rPr>
        <w:t xml:space="preserve"> des mécanismes de financement novateurs et durables et une coopération avec les parties prenantes concernées, qui sont des éléments déterminants pour le développement d</w:t>
      </w:r>
      <w:r>
        <w:rPr>
          <w:lang w:val="fr-FR"/>
        </w:rPr>
        <w:t>’</w:t>
      </w:r>
      <w:r w:rsidRPr="00E919A1">
        <w:rPr>
          <w:lang w:val="fr-FR"/>
        </w:rPr>
        <w:t>infrastructures et de services de transport viables,</w:t>
      </w:r>
    </w:p>
    <w:p w:rsidR="003A38DC" w:rsidRPr="00E919A1" w:rsidRDefault="003A38DC" w:rsidP="003A38DC">
      <w:pPr>
        <w:pStyle w:val="SingleTxtG"/>
        <w:spacing w:line="236" w:lineRule="exact"/>
        <w:ind w:firstLine="567"/>
        <w:rPr>
          <w:lang w:val="fr-FR"/>
        </w:rPr>
      </w:pPr>
      <w:r w:rsidRPr="00E919A1">
        <w:rPr>
          <w:i/>
          <w:lang w:val="fr-FR"/>
        </w:rPr>
        <w:t>Soulignant</w:t>
      </w:r>
      <w:r w:rsidRPr="00E919A1">
        <w:rPr>
          <w:lang w:val="fr-FR"/>
        </w:rPr>
        <w:t xml:space="preserve"> l</w:t>
      </w:r>
      <w:r>
        <w:rPr>
          <w:lang w:val="fr-FR"/>
        </w:rPr>
        <w:t>’</w:t>
      </w:r>
      <w:r w:rsidRPr="00E919A1">
        <w:rPr>
          <w:lang w:val="fr-FR"/>
        </w:rPr>
        <w:t>importance d</w:t>
      </w:r>
      <w:r>
        <w:rPr>
          <w:lang w:val="fr-FR"/>
        </w:rPr>
        <w:t>’</w:t>
      </w:r>
      <w:r w:rsidRPr="00E919A1">
        <w:rPr>
          <w:lang w:val="fr-FR"/>
        </w:rPr>
        <w:t>établir une culture du transport motorisé qui favorise la mise en place d</w:t>
      </w:r>
      <w:r>
        <w:rPr>
          <w:lang w:val="fr-FR"/>
        </w:rPr>
        <w:t>’</w:t>
      </w:r>
      <w:r w:rsidRPr="00E919A1">
        <w:rPr>
          <w:lang w:val="fr-FR"/>
        </w:rPr>
        <w:t>un système de transport sûr et respectueux de l</w:t>
      </w:r>
      <w:r>
        <w:rPr>
          <w:lang w:val="fr-FR"/>
        </w:rPr>
        <w:t>’</w:t>
      </w:r>
      <w:r w:rsidRPr="00E919A1">
        <w:rPr>
          <w:lang w:val="fr-FR"/>
        </w:rPr>
        <w:t>environnement, en vue d</w:t>
      </w:r>
      <w:r>
        <w:rPr>
          <w:lang w:val="fr-FR"/>
        </w:rPr>
        <w:t>’</w:t>
      </w:r>
      <w:r w:rsidRPr="00E919A1">
        <w:rPr>
          <w:lang w:val="fr-FR"/>
        </w:rPr>
        <w:t>améliorer la sécurité de la circulation routière, des infrastructures et des véhicules, ainsi que pour aborder efficacement les questions relatives aux formations spécialisées pour les conducteurs, à la fatigue au volant et à la conduite sous l</w:t>
      </w:r>
      <w:r>
        <w:rPr>
          <w:lang w:val="fr-FR"/>
        </w:rPr>
        <w:t>’</w:t>
      </w:r>
      <w:r w:rsidRPr="00E919A1">
        <w:rPr>
          <w:lang w:val="fr-FR"/>
        </w:rPr>
        <w:t>emprise de substances susceptibles d</w:t>
      </w:r>
      <w:r>
        <w:rPr>
          <w:lang w:val="fr-FR"/>
        </w:rPr>
        <w:t>’</w:t>
      </w:r>
      <w:r w:rsidRPr="00E919A1">
        <w:rPr>
          <w:lang w:val="fr-FR"/>
        </w:rPr>
        <w:t>altérer la capacité à conduire un véhicule, et d</w:t>
      </w:r>
      <w:r>
        <w:rPr>
          <w:lang w:val="fr-FR"/>
        </w:rPr>
        <w:t>’</w:t>
      </w:r>
      <w:r w:rsidRPr="00E919A1">
        <w:rPr>
          <w:lang w:val="fr-FR"/>
        </w:rPr>
        <w:t>instaurer un cadre réglementaire complet en matière de sécurité et d</w:t>
      </w:r>
      <w:r>
        <w:rPr>
          <w:lang w:val="fr-FR"/>
        </w:rPr>
        <w:t>’</w:t>
      </w:r>
      <w:r w:rsidRPr="00E919A1">
        <w:rPr>
          <w:lang w:val="fr-FR"/>
        </w:rPr>
        <w:t>environnement que le Comité et ses organes subsidiaires administreraient,</w:t>
      </w:r>
    </w:p>
    <w:p w:rsidR="003A38DC" w:rsidRPr="00E919A1" w:rsidRDefault="003A38DC" w:rsidP="003A38DC">
      <w:pPr>
        <w:pStyle w:val="SingleTxtG"/>
        <w:ind w:firstLine="567"/>
        <w:rPr>
          <w:lang w:val="fr-FR"/>
        </w:rPr>
      </w:pPr>
      <w:r w:rsidRPr="00E919A1">
        <w:rPr>
          <w:i/>
          <w:lang w:val="fr-FR"/>
        </w:rPr>
        <w:t>Saluant</w:t>
      </w:r>
      <w:r w:rsidRPr="00E919A1">
        <w:rPr>
          <w:lang w:val="fr-FR"/>
        </w:rPr>
        <w:t xml:space="preserve"> </w:t>
      </w:r>
      <w:r w:rsidRPr="00E919A1">
        <w:rPr>
          <w:i/>
          <w:lang w:val="fr-FR"/>
        </w:rPr>
        <w:t>comme il se doit</w:t>
      </w:r>
      <w:r w:rsidRPr="00E919A1">
        <w:rPr>
          <w:lang w:val="fr-FR"/>
        </w:rPr>
        <w:t xml:space="preserve"> les activités visant à appuyer les objectifs de sécurité routière menées par le Comité et ses organes subsidiaires, les comités de gestion des conventions et l</w:t>
      </w:r>
      <w:r>
        <w:rPr>
          <w:lang w:val="fr-FR"/>
        </w:rPr>
        <w:t>’</w:t>
      </w:r>
      <w:r w:rsidRPr="00E919A1">
        <w:rPr>
          <w:lang w:val="fr-FR"/>
        </w:rPr>
        <w:t>Envoyé spécial du Secrétaire général pour la sécurité routière,</w:t>
      </w:r>
    </w:p>
    <w:p w:rsidR="003A38DC" w:rsidRPr="00E919A1" w:rsidRDefault="003A38DC" w:rsidP="003A38DC">
      <w:pPr>
        <w:pStyle w:val="SingleTxtG"/>
        <w:ind w:firstLine="567"/>
        <w:rPr>
          <w:lang w:val="fr-FR"/>
        </w:rPr>
      </w:pPr>
      <w:r w:rsidRPr="00E919A1">
        <w:rPr>
          <w:i/>
          <w:lang w:val="fr-FR"/>
        </w:rPr>
        <w:t xml:space="preserve">Conscients </w:t>
      </w:r>
      <w:r w:rsidRPr="00E919A1">
        <w:rPr>
          <w:lang w:val="fr-FR"/>
        </w:rPr>
        <w:t>de l</w:t>
      </w:r>
      <w:r>
        <w:rPr>
          <w:lang w:val="fr-FR"/>
        </w:rPr>
        <w:t>’</w:t>
      </w:r>
      <w:r w:rsidRPr="00E919A1">
        <w:rPr>
          <w:lang w:val="fr-FR"/>
        </w:rPr>
        <w:t>action menée</w:t>
      </w:r>
      <w:r w:rsidRPr="00E919A1">
        <w:rPr>
          <w:i/>
          <w:lang w:val="fr-FR"/>
        </w:rPr>
        <w:t xml:space="preserve"> </w:t>
      </w:r>
      <w:r w:rsidRPr="00E919A1">
        <w:rPr>
          <w:lang w:val="fr-FR"/>
        </w:rPr>
        <w:t>par le Comité et son Forum sur la sûreté des transports intérieurs pour s</w:t>
      </w:r>
      <w:r>
        <w:rPr>
          <w:lang w:val="fr-FR"/>
        </w:rPr>
        <w:t>’</w:t>
      </w:r>
      <w:r w:rsidRPr="00E919A1">
        <w:rPr>
          <w:lang w:val="fr-FR"/>
        </w:rPr>
        <w:t>attaquer au problème de la vulnérabilité accrue des infrastructures des transports intérieurs et de la mobilité et aux risques de sécurité principaux dans le secteur des transports intérieurs, dont le terrorisme, le vol, le franchissement illégal des frontières et le trafic de matières et objets dangereux,</w:t>
      </w:r>
    </w:p>
    <w:p w:rsidR="003A38DC" w:rsidRPr="00E919A1" w:rsidRDefault="003A38DC" w:rsidP="003A38DC">
      <w:pPr>
        <w:pStyle w:val="SingleTxtG"/>
        <w:spacing w:after="100" w:line="236" w:lineRule="atLeast"/>
        <w:ind w:firstLine="567"/>
        <w:rPr>
          <w:lang w:val="fr-FR"/>
        </w:rPr>
      </w:pPr>
      <w:r w:rsidRPr="00E919A1">
        <w:rPr>
          <w:i/>
          <w:lang w:val="fr-FR"/>
        </w:rPr>
        <w:lastRenderedPageBreak/>
        <w:t>Engagés</w:t>
      </w:r>
      <w:r w:rsidRPr="00E919A1">
        <w:rPr>
          <w:lang w:val="fr-FR"/>
        </w:rPr>
        <w:t xml:space="preserve"> en faveur de la promotion et de la réalisation des objectifs de développement durable, qui sont inextricablement liés aux transports</w:t>
      </w:r>
      <w:r>
        <w:rPr>
          <w:lang w:val="fr-FR"/>
        </w:rPr>
        <w:t> ;</w:t>
      </w:r>
      <w:r w:rsidRPr="00E919A1">
        <w:rPr>
          <w:lang w:val="fr-FR"/>
        </w:rPr>
        <w:t xml:space="preserve"> et eu égard aussi aux défis auxquels nous sommes confrontés du fait des changements climatiques,</w:t>
      </w:r>
    </w:p>
    <w:p w:rsidR="003A38DC" w:rsidRPr="00E919A1" w:rsidRDefault="003A38DC" w:rsidP="003A38DC">
      <w:pPr>
        <w:pStyle w:val="SingleTxtG"/>
        <w:spacing w:after="100" w:line="236" w:lineRule="atLeast"/>
        <w:ind w:firstLine="567"/>
        <w:rPr>
          <w:lang w:val="fr-FR"/>
        </w:rPr>
      </w:pPr>
      <w:r w:rsidRPr="00E919A1">
        <w:rPr>
          <w:i/>
          <w:lang w:val="fr-FR"/>
        </w:rPr>
        <w:t>Saluant</w:t>
      </w:r>
      <w:r w:rsidRPr="00E919A1">
        <w:rPr>
          <w:lang w:val="fr-FR"/>
        </w:rPr>
        <w:t xml:space="preserve"> le rôle déterminant joué par le Comité et ses organes subsidiaires compétents en tant que </w:t>
      </w:r>
      <w:r>
        <w:rPr>
          <w:lang w:val="fr-FR"/>
        </w:rPr>
        <w:t>plateformes</w:t>
      </w:r>
      <w:r w:rsidRPr="00E919A1">
        <w:rPr>
          <w:lang w:val="fr-FR"/>
        </w:rPr>
        <w:t xml:space="preserve"> auxquelles les gouvernements auront de plus en plus recours pour élaborer et mettre en œuvre des solutions efficaces en matière d</w:t>
      </w:r>
      <w:r>
        <w:rPr>
          <w:lang w:val="fr-FR"/>
        </w:rPr>
        <w:t>’</w:t>
      </w:r>
      <w:r w:rsidRPr="00E919A1">
        <w:rPr>
          <w:lang w:val="fr-FR"/>
        </w:rPr>
        <w:t>adaptation aux changements climatiques et d</w:t>
      </w:r>
      <w:r>
        <w:rPr>
          <w:lang w:val="fr-FR"/>
        </w:rPr>
        <w:t>’</w:t>
      </w:r>
      <w:r w:rsidRPr="00E919A1">
        <w:rPr>
          <w:lang w:val="fr-FR"/>
        </w:rPr>
        <w:t>atténuation de leurs effets, de lutte contre la pollution atmosphérique et d</w:t>
      </w:r>
      <w:r>
        <w:rPr>
          <w:lang w:val="fr-FR"/>
        </w:rPr>
        <w:t>’</w:t>
      </w:r>
      <w:r w:rsidRPr="00E919A1">
        <w:rPr>
          <w:lang w:val="fr-FR"/>
        </w:rPr>
        <w:t>amélioration des performances environnementales des transports en général, notamment dans les domaines de la construction de véhicules et du transport de marchandises dangereuses,</w:t>
      </w:r>
    </w:p>
    <w:p w:rsidR="003A38DC" w:rsidRPr="00E919A1" w:rsidRDefault="003A38DC" w:rsidP="003A38DC">
      <w:pPr>
        <w:pStyle w:val="SingleTxtG"/>
        <w:spacing w:after="100" w:line="236" w:lineRule="atLeast"/>
        <w:ind w:firstLine="567"/>
        <w:rPr>
          <w:lang w:val="fr-FR"/>
        </w:rPr>
      </w:pPr>
      <w:r w:rsidRPr="00E919A1">
        <w:rPr>
          <w:i/>
          <w:lang w:val="fr-FR"/>
        </w:rPr>
        <w:t>Reconnaissant</w:t>
      </w:r>
      <w:r w:rsidRPr="00E919A1">
        <w:rPr>
          <w:lang w:val="fr-FR"/>
        </w:rPr>
        <w:t xml:space="preserve"> que la stratégie de la Commission économique pour l</w:t>
      </w:r>
      <w:r>
        <w:rPr>
          <w:lang w:val="fr-FR"/>
        </w:rPr>
        <w:t>’</w:t>
      </w:r>
      <w:r w:rsidRPr="00E919A1">
        <w:rPr>
          <w:lang w:val="fr-FR"/>
        </w:rPr>
        <w:t>Europe visant à favoriser les systèmes de transport intelligents (STI) a marqué une étape importante de l</w:t>
      </w:r>
      <w:r>
        <w:rPr>
          <w:lang w:val="fr-FR"/>
        </w:rPr>
        <w:t>’</w:t>
      </w:r>
      <w:r w:rsidRPr="00E919A1">
        <w:rPr>
          <w:lang w:val="fr-FR"/>
        </w:rPr>
        <w:t>intégration des réponses à l</w:t>
      </w:r>
      <w:r>
        <w:rPr>
          <w:lang w:val="fr-FR"/>
        </w:rPr>
        <w:t>’</w:t>
      </w:r>
      <w:r w:rsidRPr="00E919A1">
        <w:rPr>
          <w:lang w:val="fr-FR"/>
        </w:rPr>
        <w:t>évolution technologique dans les activités de réglementation menées par le Comité,</w:t>
      </w:r>
    </w:p>
    <w:p w:rsidR="003A38DC" w:rsidRPr="00E919A1" w:rsidRDefault="003A38DC" w:rsidP="003A38DC">
      <w:pPr>
        <w:pStyle w:val="SingleTxtG"/>
        <w:spacing w:after="100" w:line="236" w:lineRule="atLeast"/>
        <w:ind w:firstLine="567"/>
        <w:rPr>
          <w:lang w:val="fr-FR"/>
        </w:rPr>
      </w:pPr>
      <w:r w:rsidRPr="00E919A1">
        <w:rPr>
          <w:i/>
          <w:lang w:val="fr-FR"/>
        </w:rPr>
        <w:t>Encourageant</w:t>
      </w:r>
      <w:r w:rsidRPr="00E919A1">
        <w:rPr>
          <w:lang w:val="fr-FR"/>
        </w:rPr>
        <w:t xml:space="preserve"> la pleine utilisation des technologies de l</w:t>
      </w:r>
      <w:r>
        <w:rPr>
          <w:lang w:val="fr-FR"/>
        </w:rPr>
        <w:t>’</w:t>
      </w:r>
      <w:r w:rsidRPr="00E919A1">
        <w:rPr>
          <w:lang w:val="fr-FR"/>
        </w:rPr>
        <w:t>information et de la communication dans le secteur des transports intérieurs, en accordant une importance particulière à l</w:t>
      </w:r>
      <w:r>
        <w:rPr>
          <w:lang w:val="fr-FR"/>
        </w:rPr>
        <w:t>’</w:t>
      </w:r>
      <w:r w:rsidRPr="00E919A1">
        <w:rPr>
          <w:lang w:val="fr-FR"/>
        </w:rPr>
        <w:t>informatisation des procédures établies en vertu des conventions de l</w:t>
      </w:r>
      <w:r>
        <w:rPr>
          <w:lang w:val="fr-FR"/>
        </w:rPr>
        <w:t>’</w:t>
      </w:r>
      <w:r w:rsidRPr="00E919A1">
        <w:rPr>
          <w:lang w:val="fr-FR"/>
        </w:rPr>
        <w:t>ONU relatives aux transports administrées par le Comité et ses organes subsidiaires,</w:t>
      </w:r>
    </w:p>
    <w:p w:rsidR="003A38DC" w:rsidRPr="00E919A1" w:rsidRDefault="003A38DC" w:rsidP="003A38DC">
      <w:pPr>
        <w:pStyle w:val="SingleTxtG"/>
        <w:spacing w:after="100" w:line="236" w:lineRule="atLeast"/>
        <w:ind w:firstLine="567"/>
        <w:rPr>
          <w:lang w:val="fr-FR"/>
        </w:rPr>
      </w:pPr>
      <w:r w:rsidRPr="00E919A1">
        <w:rPr>
          <w:i/>
          <w:lang w:val="fr-FR"/>
        </w:rPr>
        <w:t>Se félicitant</w:t>
      </w:r>
      <w:r w:rsidRPr="00E919A1">
        <w:rPr>
          <w:lang w:val="fr-FR"/>
        </w:rPr>
        <w:t xml:space="preserve"> de l</w:t>
      </w:r>
      <w:r>
        <w:rPr>
          <w:lang w:val="fr-FR"/>
        </w:rPr>
        <w:t>’</w:t>
      </w:r>
      <w:r w:rsidRPr="00E919A1">
        <w:rPr>
          <w:lang w:val="fr-FR"/>
        </w:rPr>
        <w:t>action du Comité pour favoriser l</w:t>
      </w:r>
      <w:r>
        <w:rPr>
          <w:lang w:val="fr-FR"/>
        </w:rPr>
        <w:t>’</w:t>
      </w:r>
      <w:r w:rsidRPr="00E919A1">
        <w:rPr>
          <w:lang w:val="fr-FR"/>
        </w:rPr>
        <w:t>harmonisation et promouvoir un cadre réglementaire en tant qu</w:t>
      </w:r>
      <w:r>
        <w:rPr>
          <w:lang w:val="fr-FR"/>
        </w:rPr>
        <w:t>’</w:t>
      </w:r>
      <w:r w:rsidRPr="00E919A1">
        <w:rPr>
          <w:lang w:val="fr-FR"/>
        </w:rPr>
        <w:t xml:space="preserve">élément </w:t>
      </w:r>
      <w:r>
        <w:rPr>
          <w:lang w:val="fr-FR"/>
        </w:rPr>
        <w:t>clef</w:t>
      </w:r>
      <w:r w:rsidRPr="00E919A1">
        <w:rPr>
          <w:lang w:val="fr-FR"/>
        </w:rPr>
        <w:t xml:space="preserve"> permettant de tirer pleinement parti des avantages de l</w:t>
      </w:r>
      <w:r>
        <w:rPr>
          <w:lang w:val="fr-FR"/>
        </w:rPr>
        <w:t>’</w:t>
      </w:r>
      <w:r w:rsidRPr="00E919A1">
        <w:rPr>
          <w:lang w:val="fr-FR"/>
        </w:rPr>
        <w:t>innovation technologique dans tous les domaines des transports intérieurs, notamment en ce qui concerne les règlements applicables aux véhicules et les systèmes automatisés dans les véhicules, et priant instamment le Comité et ses organes subsidiaires de travailler sur des solutions à court terme, y compris l</w:t>
      </w:r>
      <w:r>
        <w:rPr>
          <w:lang w:val="fr-FR"/>
        </w:rPr>
        <w:t>’</w:t>
      </w:r>
      <w:r w:rsidRPr="00E919A1">
        <w:rPr>
          <w:lang w:val="fr-FR"/>
        </w:rPr>
        <w:t>interprétation commune, afin de rendre ces évolutions possibles,</w:t>
      </w:r>
    </w:p>
    <w:p w:rsidR="003A38DC" w:rsidRPr="00E919A1" w:rsidRDefault="003A38DC" w:rsidP="003A38DC">
      <w:pPr>
        <w:pStyle w:val="SingleTxtG"/>
        <w:spacing w:after="100" w:line="236" w:lineRule="atLeast"/>
        <w:ind w:firstLine="567"/>
        <w:rPr>
          <w:lang w:val="fr-FR"/>
        </w:rPr>
      </w:pPr>
      <w:r w:rsidRPr="00E919A1">
        <w:rPr>
          <w:i/>
          <w:lang w:val="fr-FR"/>
        </w:rPr>
        <w:t>Reconnaissant</w:t>
      </w:r>
      <w:r w:rsidRPr="00E919A1">
        <w:rPr>
          <w:lang w:val="fr-FR"/>
        </w:rPr>
        <w:t xml:space="preserve"> le rôle que joue l</w:t>
      </w:r>
      <w:r>
        <w:rPr>
          <w:lang w:val="fr-FR"/>
        </w:rPr>
        <w:t>’</w:t>
      </w:r>
      <w:r w:rsidRPr="00E919A1">
        <w:rPr>
          <w:lang w:val="fr-FR"/>
        </w:rPr>
        <w:t xml:space="preserve">ONU dans la promotion de la coopération internationale pour mieux soutenir les groupes vulnérables qui utilisent les transports publics, notamment par la mise en place de transports adaptés, </w:t>
      </w:r>
    </w:p>
    <w:p w:rsidR="003A38DC" w:rsidRPr="00E919A1" w:rsidRDefault="003A38DC" w:rsidP="003A38DC">
      <w:pPr>
        <w:pStyle w:val="SingleTxtG"/>
        <w:spacing w:after="100" w:line="236" w:lineRule="atLeast"/>
        <w:ind w:firstLine="567"/>
        <w:rPr>
          <w:lang w:val="fr-FR"/>
        </w:rPr>
      </w:pPr>
      <w:r w:rsidRPr="00E919A1">
        <w:rPr>
          <w:i/>
          <w:lang w:val="fr-FR"/>
        </w:rPr>
        <w:t>Saluant</w:t>
      </w:r>
      <w:r w:rsidRPr="00E919A1">
        <w:rPr>
          <w:lang w:val="fr-FR"/>
        </w:rPr>
        <w:t xml:space="preserve"> le dialogue sur les mesures novatrices, l</w:t>
      </w:r>
      <w:r>
        <w:rPr>
          <w:lang w:val="fr-FR"/>
        </w:rPr>
        <w:t>’</w:t>
      </w:r>
      <w:r w:rsidRPr="00E919A1">
        <w:rPr>
          <w:lang w:val="fr-FR"/>
        </w:rPr>
        <w:t>assistance technique spécialisée et les activités de fond sur le renforcement des capacités auxquels il peut être donné suite par le partage des meilleures pratiques et la mise en œuvre de projets,</w:t>
      </w:r>
    </w:p>
    <w:p w:rsidR="003A38DC" w:rsidRPr="00E919A1" w:rsidRDefault="003A38DC" w:rsidP="003A38DC">
      <w:pPr>
        <w:pStyle w:val="SingleTxtG"/>
        <w:spacing w:after="100" w:line="236" w:lineRule="atLeast"/>
        <w:ind w:firstLine="567"/>
        <w:rPr>
          <w:lang w:val="fr-FR"/>
        </w:rPr>
      </w:pPr>
      <w:r w:rsidRPr="00E919A1">
        <w:rPr>
          <w:i/>
          <w:lang w:val="fr-FR"/>
        </w:rPr>
        <w:t>Accueillant</w:t>
      </w:r>
      <w:r w:rsidRPr="00E919A1">
        <w:rPr>
          <w:lang w:val="fr-FR"/>
        </w:rPr>
        <w:t xml:space="preserve"> </w:t>
      </w:r>
      <w:r w:rsidRPr="005334FE">
        <w:rPr>
          <w:i/>
          <w:lang w:val="fr-FR"/>
        </w:rPr>
        <w:t>avec intérêt</w:t>
      </w:r>
      <w:r w:rsidRPr="00E919A1">
        <w:rPr>
          <w:lang w:val="fr-FR"/>
        </w:rPr>
        <w:t xml:space="preserve"> les activités d</w:t>
      </w:r>
      <w:r>
        <w:rPr>
          <w:lang w:val="fr-FR"/>
        </w:rPr>
        <w:t>’</w:t>
      </w:r>
      <w:r w:rsidRPr="00E919A1">
        <w:rPr>
          <w:lang w:val="fr-FR"/>
        </w:rPr>
        <w:t>analyse présentées dans des publications de haute qualité, qui ouvrent la voie à la création de savoirs,</w:t>
      </w:r>
    </w:p>
    <w:p w:rsidR="003A38DC" w:rsidRPr="00E919A1" w:rsidRDefault="003A38DC" w:rsidP="003A38DC">
      <w:pPr>
        <w:pStyle w:val="SingleTxtG"/>
        <w:spacing w:after="100" w:line="236" w:lineRule="atLeast"/>
        <w:ind w:firstLine="567"/>
        <w:rPr>
          <w:lang w:val="fr-FR"/>
        </w:rPr>
      </w:pPr>
      <w:r w:rsidRPr="00E919A1">
        <w:rPr>
          <w:i/>
          <w:lang w:val="fr-FR"/>
        </w:rPr>
        <w:t>Soulignant</w:t>
      </w:r>
      <w:r w:rsidRPr="00E919A1">
        <w:rPr>
          <w:lang w:val="fr-FR"/>
        </w:rPr>
        <w:t xml:space="preserve"> l</w:t>
      </w:r>
      <w:r>
        <w:rPr>
          <w:lang w:val="fr-FR"/>
        </w:rPr>
        <w:t>’</w:t>
      </w:r>
      <w:r w:rsidRPr="00E919A1">
        <w:rPr>
          <w:lang w:val="fr-FR"/>
        </w:rPr>
        <w:t>importance des travaux entrepris par le Comité dans le domaine des statistiques relatives aux transports, qui complètent de manière essentielle ses travaux de réglementation et d</w:t>
      </w:r>
      <w:r>
        <w:rPr>
          <w:lang w:val="fr-FR"/>
        </w:rPr>
        <w:t>’</w:t>
      </w:r>
      <w:r w:rsidRPr="00E919A1">
        <w:rPr>
          <w:lang w:val="fr-FR"/>
        </w:rPr>
        <w:t>analyse,</w:t>
      </w:r>
    </w:p>
    <w:p w:rsidR="003A38DC" w:rsidRPr="00E919A1" w:rsidRDefault="003A38DC" w:rsidP="003A38DC">
      <w:pPr>
        <w:pStyle w:val="SingleTxtG"/>
        <w:spacing w:after="100" w:line="236" w:lineRule="atLeast"/>
        <w:ind w:firstLine="567"/>
        <w:rPr>
          <w:lang w:val="fr-FR"/>
        </w:rPr>
      </w:pPr>
      <w:r w:rsidRPr="00E919A1">
        <w:rPr>
          <w:i/>
          <w:lang w:val="fr-FR"/>
        </w:rPr>
        <w:t>Soulignant</w:t>
      </w:r>
      <w:r w:rsidRPr="00E919A1">
        <w:rPr>
          <w:lang w:val="fr-FR"/>
        </w:rPr>
        <w:t xml:space="preserve"> que les outils d</w:t>
      </w:r>
      <w:r>
        <w:rPr>
          <w:lang w:val="fr-FR"/>
        </w:rPr>
        <w:t>’</w:t>
      </w:r>
      <w:r w:rsidRPr="00E919A1">
        <w:rPr>
          <w:lang w:val="fr-FR"/>
        </w:rPr>
        <w:t>élaboration des politiques, tels que l</w:t>
      </w:r>
      <w:r>
        <w:rPr>
          <w:lang w:val="fr-FR"/>
        </w:rPr>
        <w:t>’</w:t>
      </w:r>
      <w:r w:rsidRPr="00E919A1">
        <w:rPr>
          <w:lang w:val="fr-FR"/>
        </w:rPr>
        <w:t>outil de modélisation des futurs systèmes de transport intérieur (outil ForFITS), renforcent considérablement la capacité des décideurs dans le domaine des transports de prendre des décisions éclairées et de favoriser la réduction des émissions de carbone dans ce secteur,</w:t>
      </w:r>
    </w:p>
    <w:p w:rsidR="003A38DC" w:rsidRPr="00E919A1" w:rsidRDefault="003A38DC" w:rsidP="003A38DC">
      <w:pPr>
        <w:pStyle w:val="SingleTxtG"/>
        <w:spacing w:after="100" w:line="236" w:lineRule="atLeast"/>
        <w:ind w:firstLine="567"/>
        <w:rPr>
          <w:lang w:val="fr-FR"/>
        </w:rPr>
      </w:pPr>
      <w:r w:rsidRPr="00E919A1">
        <w:rPr>
          <w:i/>
          <w:lang w:val="fr-FR"/>
        </w:rPr>
        <w:t>Affirmant</w:t>
      </w:r>
      <w:r w:rsidRPr="00E919A1">
        <w:rPr>
          <w:lang w:val="fr-FR"/>
        </w:rPr>
        <w:t xml:space="preserve"> que les transports publics, la marche et le cyclisme sont les principaux éléments de mobilité abordés de manière intégrée par le Comité, ses organes subsidiaires et le Programme paneuropéen sur les transports, la santé et l</w:t>
      </w:r>
      <w:r>
        <w:rPr>
          <w:lang w:val="fr-FR"/>
        </w:rPr>
        <w:t>’</w:t>
      </w:r>
      <w:r w:rsidRPr="00E919A1">
        <w:rPr>
          <w:lang w:val="fr-FR"/>
        </w:rPr>
        <w:t>environnement (PPE-TSE) et saluant la Déclaration de Paris, intitulée « La ville bouge</w:t>
      </w:r>
      <w:r>
        <w:rPr>
          <w:lang w:val="fr-FR"/>
        </w:rPr>
        <w:t> :</w:t>
      </w:r>
      <w:r w:rsidRPr="00E919A1">
        <w:rPr>
          <w:lang w:val="fr-FR"/>
        </w:rPr>
        <w:t xml:space="preserve"> place aux usagers ! », de la quatrième Réunion de haut niveau sur les transports, la santé et l</w:t>
      </w:r>
      <w:r>
        <w:rPr>
          <w:lang w:val="fr-FR"/>
        </w:rPr>
        <w:t>’</w:t>
      </w:r>
      <w:r w:rsidRPr="00E919A1">
        <w:rPr>
          <w:lang w:val="fr-FR"/>
        </w:rPr>
        <w:t>environnement, tenue en avril 2014,</w:t>
      </w:r>
    </w:p>
    <w:p w:rsidR="003A38DC" w:rsidRPr="00E919A1" w:rsidRDefault="003A38DC" w:rsidP="003A38DC">
      <w:pPr>
        <w:pStyle w:val="SingleTxtG"/>
        <w:spacing w:after="100" w:line="236" w:lineRule="atLeast"/>
        <w:ind w:firstLine="567"/>
        <w:rPr>
          <w:lang w:val="fr-FR"/>
        </w:rPr>
      </w:pPr>
      <w:r w:rsidRPr="00E919A1">
        <w:rPr>
          <w:i/>
          <w:lang w:val="fr-FR"/>
        </w:rPr>
        <w:t>Estimant</w:t>
      </w:r>
      <w:r w:rsidRPr="00E919A1">
        <w:rPr>
          <w:lang w:val="fr-FR"/>
        </w:rPr>
        <w:t xml:space="preserve"> qu</w:t>
      </w:r>
      <w:r>
        <w:rPr>
          <w:lang w:val="fr-FR"/>
        </w:rPr>
        <w:t>’</w:t>
      </w:r>
      <w:r w:rsidRPr="00E919A1">
        <w:rPr>
          <w:lang w:val="fr-FR"/>
        </w:rPr>
        <w:t>il est nécessaire de mettre en adéquation la planification des transports, l</w:t>
      </w:r>
      <w:r>
        <w:rPr>
          <w:lang w:val="fr-FR"/>
        </w:rPr>
        <w:t>’</w:t>
      </w:r>
      <w:r w:rsidRPr="00E919A1">
        <w:rPr>
          <w:lang w:val="fr-FR"/>
        </w:rPr>
        <w:t>aménagement régional et l</w:t>
      </w:r>
      <w:r>
        <w:rPr>
          <w:lang w:val="fr-FR"/>
        </w:rPr>
        <w:t>’</w:t>
      </w:r>
      <w:r w:rsidRPr="00E919A1">
        <w:rPr>
          <w:lang w:val="fr-FR"/>
        </w:rPr>
        <w:t>urbanisme avec les principes de développement durable et d</w:t>
      </w:r>
      <w:r>
        <w:rPr>
          <w:lang w:val="fr-FR"/>
        </w:rPr>
        <w:t>’</w:t>
      </w:r>
      <w:r w:rsidRPr="00E919A1">
        <w:rPr>
          <w:lang w:val="fr-FR"/>
        </w:rPr>
        <w:t>adopter une approche qui place l</w:t>
      </w:r>
      <w:r>
        <w:rPr>
          <w:lang w:val="fr-FR"/>
        </w:rPr>
        <w:t>’</w:t>
      </w:r>
      <w:r w:rsidRPr="00E919A1">
        <w:rPr>
          <w:lang w:val="fr-FR"/>
        </w:rPr>
        <w:t>être humain au centre de ces activités (« approche axée sur l</w:t>
      </w:r>
      <w:r>
        <w:rPr>
          <w:lang w:val="fr-FR"/>
        </w:rPr>
        <w:t>’</w:t>
      </w:r>
      <w:r w:rsidRPr="00E919A1">
        <w:rPr>
          <w:lang w:val="fr-FR"/>
        </w:rPr>
        <w:t>humain »),</w:t>
      </w:r>
    </w:p>
    <w:p w:rsidR="003A38DC" w:rsidRPr="00E919A1" w:rsidRDefault="003A38DC" w:rsidP="003A38DC">
      <w:pPr>
        <w:pStyle w:val="SingleTxtG"/>
        <w:spacing w:after="100" w:line="236" w:lineRule="atLeast"/>
        <w:ind w:firstLine="567"/>
        <w:rPr>
          <w:lang w:val="fr-FR"/>
        </w:rPr>
      </w:pPr>
      <w:r w:rsidRPr="00E919A1">
        <w:rPr>
          <w:i/>
          <w:lang w:val="fr-FR"/>
        </w:rPr>
        <w:t>Saluant</w:t>
      </w:r>
      <w:r w:rsidRPr="00E919A1">
        <w:rPr>
          <w:lang w:val="fr-FR"/>
        </w:rPr>
        <w:t xml:space="preserve"> l</w:t>
      </w:r>
      <w:r>
        <w:rPr>
          <w:lang w:val="fr-FR"/>
        </w:rPr>
        <w:t>’</w:t>
      </w:r>
      <w:r w:rsidRPr="00E919A1">
        <w:rPr>
          <w:lang w:val="fr-FR"/>
        </w:rPr>
        <w:t>utilisation faite par le Comité de ses connaissances approfondies dans le domaine des transports pour mener la coopération intersectorielle, notamment en ce qui concerne les interactions entre les transports et les douanes, l</w:t>
      </w:r>
      <w:r>
        <w:rPr>
          <w:lang w:val="fr-FR"/>
        </w:rPr>
        <w:t>’</w:t>
      </w:r>
      <w:r w:rsidRPr="00E919A1">
        <w:rPr>
          <w:lang w:val="fr-FR"/>
        </w:rPr>
        <w:t>industrie, les statistiques, l</w:t>
      </w:r>
      <w:r>
        <w:rPr>
          <w:lang w:val="fr-FR"/>
        </w:rPr>
        <w:t>’</w:t>
      </w:r>
      <w:r w:rsidRPr="00E919A1">
        <w:rPr>
          <w:lang w:val="fr-FR"/>
        </w:rPr>
        <w:t>environnement, les télécommunications et la santé, ce qui se traduit par une approche globale en matière de facilitation des transports et du franchissement de frontières,</w:t>
      </w:r>
    </w:p>
    <w:p w:rsidR="003A38DC" w:rsidRPr="00E919A1" w:rsidRDefault="003A38DC" w:rsidP="003A38DC">
      <w:pPr>
        <w:pStyle w:val="SingleTxtG"/>
        <w:ind w:firstLine="567"/>
        <w:rPr>
          <w:lang w:val="fr-FR"/>
        </w:rPr>
      </w:pPr>
      <w:r w:rsidRPr="00E919A1">
        <w:rPr>
          <w:i/>
          <w:lang w:val="fr-FR"/>
        </w:rPr>
        <w:lastRenderedPageBreak/>
        <w:t>Appréciant</w:t>
      </w:r>
      <w:r w:rsidRPr="00E919A1">
        <w:rPr>
          <w:lang w:val="fr-FR"/>
        </w:rPr>
        <w:t xml:space="preserve"> les partenariats qui contribuent utilement aux travaux du Comité et produisent des résultats tangibles, notamment la coopération avec les organisations d</w:t>
      </w:r>
      <w:r>
        <w:rPr>
          <w:lang w:val="fr-FR"/>
        </w:rPr>
        <w:t>’</w:t>
      </w:r>
      <w:r w:rsidRPr="00E919A1">
        <w:rPr>
          <w:lang w:val="fr-FR"/>
        </w:rPr>
        <w:t>intégration régionale telles que l</w:t>
      </w:r>
      <w:r>
        <w:rPr>
          <w:lang w:val="fr-FR"/>
        </w:rPr>
        <w:t>’</w:t>
      </w:r>
      <w:r w:rsidRPr="00E919A1">
        <w:rPr>
          <w:lang w:val="fr-FR"/>
        </w:rPr>
        <w:t>Union européenne, la Commission économique eurasienne, l</w:t>
      </w:r>
      <w:r>
        <w:rPr>
          <w:lang w:val="fr-FR"/>
        </w:rPr>
        <w:t>’</w:t>
      </w:r>
      <w:r w:rsidRPr="00E919A1">
        <w:rPr>
          <w:lang w:val="fr-FR"/>
        </w:rPr>
        <w:t xml:space="preserve">Organisation de coopération économique de la mer Noire et le Partenariat </w:t>
      </w:r>
      <w:r>
        <w:rPr>
          <w:lang w:val="fr-FR"/>
        </w:rPr>
        <w:t>euro</w:t>
      </w:r>
      <w:r w:rsidRPr="00E919A1">
        <w:rPr>
          <w:lang w:val="fr-FR"/>
        </w:rPr>
        <w:t>méditerranéen</w:t>
      </w:r>
      <w:r>
        <w:rPr>
          <w:lang w:val="fr-FR"/>
        </w:rPr>
        <w:t> ;</w:t>
      </w:r>
      <w:r w:rsidRPr="00E919A1">
        <w:rPr>
          <w:lang w:val="fr-FR"/>
        </w:rPr>
        <w:t xml:space="preserve"> avec les institutions financières internationales</w:t>
      </w:r>
      <w:r>
        <w:rPr>
          <w:lang w:val="fr-FR"/>
        </w:rPr>
        <w:t> ;</w:t>
      </w:r>
      <w:r w:rsidRPr="00E919A1">
        <w:rPr>
          <w:lang w:val="fr-FR"/>
        </w:rPr>
        <w:t xml:space="preserve"> avec les entités et les institutions spécialisées de l</w:t>
      </w:r>
      <w:r>
        <w:rPr>
          <w:lang w:val="fr-FR"/>
        </w:rPr>
        <w:t>’</w:t>
      </w:r>
      <w:r w:rsidRPr="00E919A1">
        <w:rPr>
          <w:lang w:val="fr-FR"/>
        </w:rPr>
        <w:t>ONU telles que les commissions régionales de l</w:t>
      </w:r>
      <w:r>
        <w:rPr>
          <w:lang w:val="fr-FR"/>
        </w:rPr>
        <w:t>’</w:t>
      </w:r>
      <w:r w:rsidRPr="00E919A1">
        <w:rPr>
          <w:lang w:val="fr-FR"/>
        </w:rPr>
        <w:t>ONU, l</w:t>
      </w:r>
      <w:r>
        <w:rPr>
          <w:lang w:val="fr-FR"/>
        </w:rPr>
        <w:t>’</w:t>
      </w:r>
      <w:r w:rsidRPr="00E919A1">
        <w:rPr>
          <w:lang w:val="fr-FR"/>
        </w:rPr>
        <w:t>Agence internationale de l</w:t>
      </w:r>
      <w:r>
        <w:rPr>
          <w:lang w:val="fr-FR"/>
        </w:rPr>
        <w:t>’</w:t>
      </w:r>
      <w:r w:rsidRPr="00E919A1">
        <w:rPr>
          <w:lang w:val="fr-FR"/>
        </w:rPr>
        <w:t>énergie atomique, l</w:t>
      </w:r>
      <w:r>
        <w:rPr>
          <w:lang w:val="fr-FR"/>
        </w:rPr>
        <w:t>’</w:t>
      </w:r>
      <w:r w:rsidRPr="00E919A1">
        <w:rPr>
          <w:lang w:val="fr-FR"/>
        </w:rPr>
        <w:t>Organisation maritime internationale, l</w:t>
      </w:r>
      <w:r>
        <w:rPr>
          <w:lang w:val="fr-FR"/>
        </w:rPr>
        <w:t>’</w:t>
      </w:r>
      <w:r w:rsidRPr="00E919A1">
        <w:rPr>
          <w:lang w:val="fr-FR"/>
        </w:rPr>
        <w:t>Organisation internationale du Travail, l</w:t>
      </w:r>
      <w:r>
        <w:rPr>
          <w:lang w:val="fr-FR"/>
        </w:rPr>
        <w:t>’</w:t>
      </w:r>
      <w:r w:rsidRPr="00E919A1">
        <w:rPr>
          <w:lang w:val="fr-FR"/>
        </w:rPr>
        <w:t>Union internationale des télécommunications et</w:t>
      </w:r>
      <w:r>
        <w:rPr>
          <w:lang w:val="fr-FR"/>
        </w:rPr>
        <w:t> </w:t>
      </w:r>
      <w:r w:rsidRPr="00E919A1">
        <w:rPr>
          <w:lang w:val="fr-FR"/>
        </w:rPr>
        <w:t>l</w:t>
      </w:r>
      <w:r>
        <w:rPr>
          <w:lang w:val="fr-FR"/>
        </w:rPr>
        <w:t>’</w:t>
      </w:r>
      <w:r w:rsidRPr="00E919A1">
        <w:rPr>
          <w:lang w:val="fr-FR"/>
        </w:rPr>
        <w:t>Organisation mondiale de la Santé (OMS)</w:t>
      </w:r>
      <w:r>
        <w:rPr>
          <w:lang w:val="fr-FR"/>
        </w:rPr>
        <w:t> ;</w:t>
      </w:r>
      <w:r w:rsidRPr="00E919A1">
        <w:rPr>
          <w:lang w:val="fr-FR"/>
        </w:rPr>
        <w:t xml:space="preserve"> et avec des organisations intergouvernementales et non gouvernementales telles que l</w:t>
      </w:r>
      <w:r>
        <w:rPr>
          <w:lang w:val="fr-FR"/>
        </w:rPr>
        <w:t>’</w:t>
      </w:r>
      <w:r w:rsidRPr="00E919A1">
        <w:rPr>
          <w:lang w:val="fr-FR"/>
        </w:rPr>
        <w:t>Organisation pour la sécurité et la coopération en Europe, le Forum international des transports, l</w:t>
      </w:r>
      <w:r>
        <w:rPr>
          <w:lang w:val="fr-FR"/>
        </w:rPr>
        <w:t>’</w:t>
      </w:r>
      <w:r w:rsidRPr="00E919A1">
        <w:rPr>
          <w:lang w:val="fr-FR"/>
        </w:rPr>
        <w:t>Union internationale des chemins de fer (UIC), l</w:t>
      </w:r>
      <w:r>
        <w:rPr>
          <w:lang w:val="fr-FR"/>
        </w:rPr>
        <w:t>’</w:t>
      </w:r>
      <w:r w:rsidRPr="00E919A1">
        <w:rPr>
          <w:lang w:val="fr-FR"/>
        </w:rPr>
        <w:t>Union internationale des transports routiers (IRU), l</w:t>
      </w:r>
      <w:r>
        <w:rPr>
          <w:lang w:val="fr-FR"/>
        </w:rPr>
        <w:t>’</w:t>
      </w:r>
      <w:r w:rsidRPr="00E919A1">
        <w:rPr>
          <w:lang w:val="fr-FR"/>
        </w:rPr>
        <w:t>Organisation intergouvernementale pour les transports internationaux ferroviaires (OTIF), l</w:t>
      </w:r>
      <w:r>
        <w:rPr>
          <w:lang w:val="fr-FR"/>
        </w:rPr>
        <w:t>’</w:t>
      </w:r>
      <w:r w:rsidRPr="00E919A1">
        <w:rPr>
          <w:lang w:val="fr-FR"/>
        </w:rPr>
        <w:t>Organisation pour la coopération des chemins de fer (OSJD) et les commissions fluviales, entre autres,</w:t>
      </w:r>
    </w:p>
    <w:p w:rsidR="003A38DC" w:rsidRPr="00E919A1" w:rsidRDefault="003A38DC" w:rsidP="003A38DC">
      <w:pPr>
        <w:pStyle w:val="SingleTxtG"/>
        <w:ind w:firstLine="567"/>
        <w:rPr>
          <w:lang w:val="fr-FR"/>
        </w:rPr>
      </w:pPr>
      <w:r w:rsidRPr="00E919A1">
        <w:rPr>
          <w:i/>
          <w:lang w:val="fr-FR"/>
        </w:rPr>
        <w:t>Reconnaissant</w:t>
      </w:r>
      <w:r w:rsidRPr="00E919A1">
        <w:rPr>
          <w:lang w:val="fr-FR"/>
        </w:rPr>
        <w:t xml:space="preserve"> la valeur ajoutée des partenariats institutionnels, notamment la collaboration, au sein du Secrétariat </w:t>
      </w:r>
      <w:proofErr w:type="spellStart"/>
      <w:r w:rsidRPr="00E919A1">
        <w:rPr>
          <w:lang w:val="fr-FR"/>
        </w:rPr>
        <w:t>interinstitutions</w:t>
      </w:r>
      <w:proofErr w:type="spellEnd"/>
      <w:r w:rsidRPr="00E919A1">
        <w:rPr>
          <w:lang w:val="fr-FR"/>
        </w:rPr>
        <w:t xml:space="preserve"> sur les statistiques, entre Eurostat, l</w:t>
      </w:r>
      <w:r>
        <w:rPr>
          <w:lang w:val="fr-FR"/>
        </w:rPr>
        <w:t>’</w:t>
      </w:r>
      <w:r w:rsidRPr="00E919A1">
        <w:rPr>
          <w:lang w:val="fr-FR"/>
        </w:rPr>
        <w:t xml:space="preserve">Organisation de coopération et de développement économiques et le Forum international des transports, les partenariats </w:t>
      </w:r>
      <w:proofErr w:type="spellStart"/>
      <w:r w:rsidRPr="00E919A1">
        <w:rPr>
          <w:lang w:val="fr-FR"/>
        </w:rPr>
        <w:t>interinstitutions</w:t>
      </w:r>
      <w:proofErr w:type="spellEnd"/>
      <w:r w:rsidRPr="00E919A1">
        <w:rPr>
          <w:lang w:val="fr-FR"/>
        </w:rPr>
        <w:t xml:space="preserve"> dans le domaine du transport des marchandises dangereuses, ainsi que la collaboration entre le Programme paneuropéen sur les transports, la santé et l</w:t>
      </w:r>
      <w:r>
        <w:rPr>
          <w:lang w:val="fr-FR"/>
        </w:rPr>
        <w:t>’</w:t>
      </w:r>
      <w:r w:rsidRPr="00E919A1">
        <w:rPr>
          <w:lang w:val="fr-FR"/>
        </w:rPr>
        <w:t>environnement (PPE-TSE), le Bureau régional de l</w:t>
      </w:r>
      <w:r>
        <w:rPr>
          <w:lang w:val="fr-FR"/>
        </w:rPr>
        <w:t>’</w:t>
      </w:r>
      <w:r w:rsidRPr="00E919A1">
        <w:rPr>
          <w:lang w:val="fr-FR"/>
        </w:rPr>
        <w:t>OMS pour</w:t>
      </w:r>
      <w:r>
        <w:rPr>
          <w:lang w:val="fr-FR"/>
        </w:rPr>
        <w:t> </w:t>
      </w:r>
      <w:r w:rsidRPr="00E919A1">
        <w:rPr>
          <w:lang w:val="fr-FR"/>
        </w:rPr>
        <w:t>l</w:t>
      </w:r>
      <w:r>
        <w:rPr>
          <w:lang w:val="fr-FR"/>
        </w:rPr>
        <w:t>’</w:t>
      </w:r>
      <w:r w:rsidRPr="00E919A1">
        <w:rPr>
          <w:lang w:val="fr-FR"/>
        </w:rPr>
        <w:t>Europe et la Division de l</w:t>
      </w:r>
      <w:r>
        <w:rPr>
          <w:lang w:val="fr-FR"/>
        </w:rPr>
        <w:t>’</w:t>
      </w:r>
      <w:r w:rsidRPr="00E919A1">
        <w:rPr>
          <w:lang w:val="fr-FR"/>
        </w:rPr>
        <w:t>environnement de la Commission économique pour l</w:t>
      </w:r>
      <w:r>
        <w:rPr>
          <w:lang w:val="fr-FR"/>
        </w:rPr>
        <w:t>’</w:t>
      </w:r>
      <w:r w:rsidRPr="00E919A1">
        <w:rPr>
          <w:lang w:val="fr-FR"/>
        </w:rPr>
        <w:t xml:space="preserve">Europe, </w:t>
      </w:r>
    </w:p>
    <w:p w:rsidR="003A38DC" w:rsidRPr="00E919A1" w:rsidRDefault="003A38DC" w:rsidP="003A38DC">
      <w:pPr>
        <w:pStyle w:val="SingleTxtG"/>
        <w:ind w:firstLine="567"/>
        <w:rPr>
          <w:lang w:val="fr-FR"/>
        </w:rPr>
      </w:pPr>
      <w:r w:rsidRPr="00E919A1">
        <w:rPr>
          <w:i/>
          <w:lang w:val="fr-FR"/>
        </w:rPr>
        <w:t>Accueillant</w:t>
      </w:r>
      <w:r w:rsidRPr="00E919A1">
        <w:rPr>
          <w:lang w:val="fr-FR"/>
        </w:rPr>
        <w:t xml:space="preserve"> </w:t>
      </w:r>
      <w:r w:rsidRPr="00D063FA">
        <w:rPr>
          <w:i/>
          <w:lang w:val="fr-FR"/>
        </w:rPr>
        <w:t>avec satisfaction</w:t>
      </w:r>
      <w:r w:rsidRPr="00E919A1">
        <w:rPr>
          <w:lang w:val="fr-FR"/>
        </w:rPr>
        <w:t xml:space="preserve"> l</w:t>
      </w:r>
      <w:r>
        <w:rPr>
          <w:lang w:val="fr-FR"/>
        </w:rPr>
        <w:t>’</w:t>
      </w:r>
      <w:r w:rsidRPr="00E919A1">
        <w:rPr>
          <w:lang w:val="fr-FR"/>
        </w:rPr>
        <w:t>annonce de la cinquième Réunion de haut niveau sur les transports, la santé et l</w:t>
      </w:r>
      <w:r>
        <w:rPr>
          <w:lang w:val="fr-FR"/>
        </w:rPr>
        <w:t>’</w:t>
      </w:r>
      <w:r w:rsidRPr="00E919A1">
        <w:rPr>
          <w:lang w:val="fr-FR"/>
        </w:rPr>
        <w:t>environnement, qui se tiendra à Vienne en 2019,</w:t>
      </w:r>
    </w:p>
    <w:p w:rsidR="003A38DC" w:rsidRPr="00E919A1" w:rsidRDefault="003A38DC" w:rsidP="003A38DC">
      <w:pPr>
        <w:pStyle w:val="SingleTxtG"/>
        <w:ind w:firstLine="567"/>
        <w:rPr>
          <w:lang w:val="fr-FR"/>
        </w:rPr>
      </w:pPr>
      <w:r w:rsidRPr="00E919A1">
        <w:rPr>
          <w:i/>
          <w:lang w:val="fr-FR"/>
        </w:rPr>
        <w:t>Soutenant</w:t>
      </w:r>
      <w:r w:rsidRPr="00E919A1">
        <w:rPr>
          <w:lang w:val="fr-FR"/>
        </w:rPr>
        <w:t xml:space="preserve"> </w:t>
      </w:r>
      <w:r w:rsidRPr="00D063FA">
        <w:rPr>
          <w:i/>
          <w:lang w:val="fr-FR"/>
        </w:rPr>
        <w:t>sans réserves</w:t>
      </w:r>
      <w:r w:rsidRPr="00E919A1">
        <w:rPr>
          <w:lang w:val="fr-FR"/>
        </w:rPr>
        <w:t xml:space="preserve"> les objectifs fondamentaux des travaux du Comité, à savoir l</w:t>
      </w:r>
      <w:r>
        <w:rPr>
          <w:lang w:val="fr-FR"/>
        </w:rPr>
        <w:t>’</w:t>
      </w:r>
      <w:r w:rsidRPr="00E919A1">
        <w:rPr>
          <w:lang w:val="fr-FR"/>
        </w:rPr>
        <w:t>amélioration de la connectivité grâce au développement harmonisé au niveau international des infrastructures de transport intérieur, le renforcement de l</w:t>
      </w:r>
      <w:r>
        <w:rPr>
          <w:lang w:val="fr-FR"/>
        </w:rPr>
        <w:t>’</w:t>
      </w:r>
      <w:r w:rsidRPr="00E919A1">
        <w:rPr>
          <w:lang w:val="fr-FR"/>
        </w:rPr>
        <w:t>efficacité des services de transport, la fluidité du franchissement des frontières, l</w:t>
      </w:r>
      <w:r>
        <w:rPr>
          <w:lang w:val="fr-FR"/>
        </w:rPr>
        <w:t>’</w:t>
      </w:r>
      <w:r w:rsidRPr="00E919A1">
        <w:rPr>
          <w:lang w:val="fr-FR"/>
        </w:rPr>
        <w:t>amélioration des services de transport intermodaux, la facilitation des transports intérieurs internationaux et des liaisons entre l</w:t>
      </w:r>
      <w:r>
        <w:rPr>
          <w:lang w:val="fr-FR"/>
        </w:rPr>
        <w:t>’</w:t>
      </w:r>
      <w:r w:rsidRPr="00E919A1">
        <w:rPr>
          <w:lang w:val="fr-FR"/>
        </w:rPr>
        <w:t>arrière-pays et les ports maritimes, la réduction des émissions de gaz à effet de serre, de la pollution atmosphérique et des nuisances sonores, la multiplication des choix en matière de mobilité et la réduction du nombre de morts et de blessés sur les routes, en insistant en particulier sur l</w:t>
      </w:r>
      <w:r>
        <w:rPr>
          <w:lang w:val="fr-FR"/>
        </w:rPr>
        <w:t>’</w:t>
      </w:r>
      <w:r w:rsidRPr="00E919A1">
        <w:rPr>
          <w:lang w:val="fr-FR"/>
        </w:rPr>
        <w:t xml:space="preserve">importance du cadre réglementaire relatif à la sécurité routière et au transport des marchandises dangereuses en tant que principal élément contribuant à la sécurité du transport, </w:t>
      </w:r>
    </w:p>
    <w:p w:rsidR="003A38DC" w:rsidRPr="00E919A1" w:rsidRDefault="003A38DC" w:rsidP="003A38DC">
      <w:pPr>
        <w:pStyle w:val="SingleTxtG"/>
        <w:ind w:firstLine="567"/>
        <w:rPr>
          <w:lang w:val="fr-FR"/>
        </w:rPr>
      </w:pPr>
      <w:r w:rsidRPr="00E919A1">
        <w:rPr>
          <w:i/>
          <w:lang w:val="fr-FR"/>
        </w:rPr>
        <w:t>Considérant</w:t>
      </w:r>
      <w:r w:rsidRPr="00E919A1">
        <w:rPr>
          <w:lang w:val="fr-FR"/>
        </w:rPr>
        <w:t xml:space="preserve"> qu</w:t>
      </w:r>
      <w:r>
        <w:rPr>
          <w:lang w:val="fr-FR"/>
        </w:rPr>
        <w:t>’</w:t>
      </w:r>
      <w:r w:rsidRPr="00E919A1">
        <w:rPr>
          <w:lang w:val="fr-FR"/>
        </w:rPr>
        <w:t>il est nécessaire que le Comité, ses organes subsidiaires et les résultats tangibles qu</w:t>
      </w:r>
      <w:r>
        <w:rPr>
          <w:lang w:val="fr-FR"/>
        </w:rPr>
        <w:t>’</w:t>
      </w:r>
      <w:r w:rsidRPr="00E919A1">
        <w:rPr>
          <w:lang w:val="fr-FR"/>
        </w:rPr>
        <w:t>ils produisent soient mieux visibles et reconnus partout dans le monde et au sein de l</w:t>
      </w:r>
      <w:r>
        <w:rPr>
          <w:lang w:val="fr-FR"/>
        </w:rPr>
        <w:t>’</w:t>
      </w:r>
      <w:r w:rsidRPr="00E919A1">
        <w:rPr>
          <w:lang w:val="fr-FR"/>
        </w:rPr>
        <w:t>Organisation des Nations Unies,</w:t>
      </w:r>
    </w:p>
    <w:p w:rsidR="003A38DC" w:rsidRPr="00E919A1" w:rsidRDefault="003A38DC" w:rsidP="003A38DC">
      <w:pPr>
        <w:pStyle w:val="SingleTxtG"/>
        <w:ind w:firstLine="567"/>
        <w:rPr>
          <w:lang w:val="fr-FR"/>
        </w:rPr>
      </w:pPr>
      <w:r w:rsidRPr="00E919A1">
        <w:rPr>
          <w:i/>
          <w:lang w:val="fr-FR"/>
        </w:rPr>
        <w:t>Soulignant</w:t>
      </w:r>
      <w:r w:rsidRPr="00E919A1">
        <w:rPr>
          <w:lang w:val="fr-FR"/>
        </w:rPr>
        <w:t xml:space="preserve"> le rôle unique du Comité au sein du système des Nations Unies, en tant qu</w:t>
      </w:r>
      <w:r>
        <w:rPr>
          <w:lang w:val="fr-FR"/>
        </w:rPr>
        <w:t>’</w:t>
      </w:r>
      <w:r w:rsidRPr="00E919A1">
        <w:rPr>
          <w:lang w:val="fr-FR"/>
        </w:rPr>
        <w:t>organe intergouvernemental ayant la capacité de transformer les transports intérieurs à l</w:t>
      </w:r>
      <w:r>
        <w:rPr>
          <w:lang w:val="fr-FR"/>
        </w:rPr>
        <w:t>’</w:t>
      </w:r>
      <w:r w:rsidRPr="00E919A1">
        <w:rPr>
          <w:lang w:val="fr-FR"/>
        </w:rPr>
        <w:t>échelle mondiale, et, à cet égard, souhaitant faire ressortir cette responsabilité dans le cadre de ses travaux futurs et dans son processus de présentation des rapports,</w:t>
      </w:r>
    </w:p>
    <w:p w:rsidR="003A38DC" w:rsidRPr="00E919A1" w:rsidRDefault="003A38DC" w:rsidP="003A38DC">
      <w:pPr>
        <w:pStyle w:val="SingleTxtG"/>
        <w:ind w:firstLine="567"/>
        <w:rPr>
          <w:lang w:val="fr-FR"/>
        </w:rPr>
      </w:pPr>
      <w:r w:rsidRPr="00E919A1">
        <w:rPr>
          <w:lang w:val="fr-FR"/>
        </w:rPr>
        <w:t>Décidons</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1.</w:t>
      </w:r>
      <w:r w:rsidRPr="00E919A1">
        <w:rPr>
          <w:lang w:val="fr-FR"/>
        </w:rPr>
        <w:tab/>
      </w:r>
      <w:r w:rsidRPr="00E919A1">
        <w:rPr>
          <w:i/>
          <w:lang w:val="fr-FR"/>
        </w:rPr>
        <w:t>De prier</w:t>
      </w:r>
      <w:r w:rsidRPr="00E919A1">
        <w:rPr>
          <w:lang w:val="fr-FR"/>
        </w:rPr>
        <w:t xml:space="preserve"> la Commission économique pour l</w:t>
      </w:r>
      <w:r>
        <w:rPr>
          <w:lang w:val="fr-FR"/>
        </w:rPr>
        <w:t>’</w:t>
      </w:r>
      <w:r w:rsidRPr="00E919A1">
        <w:rPr>
          <w:lang w:val="fr-FR"/>
        </w:rPr>
        <w:t>Europe et le Conseil économique et social de l</w:t>
      </w:r>
      <w:r>
        <w:rPr>
          <w:lang w:val="fr-FR"/>
        </w:rPr>
        <w:t>’</w:t>
      </w:r>
      <w:r w:rsidRPr="00E919A1">
        <w:rPr>
          <w:lang w:val="fr-FR"/>
        </w:rPr>
        <w:t>ONU d</w:t>
      </w:r>
      <w:r>
        <w:rPr>
          <w:lang w:val="fr-FR"/>
        </w:rPr>
        <w:t>’</w:t>
      </w:r>
      <w:r w:rsidRPr="00E919A1">
        <w:rPr>
          <w:lang w:val="fr-FR"/>
        </w:rPr>
        <w:t>examiner la question de charger le Comité de rendre compte tous les ans à la Commission et, à des fins d</w:t>
      </w:r>
      <w:r>
        <w:rPr>
          <w:lang w:val="fr-FR"/>
        </w:rPr>
        <w:t>’</w:t>
      </w:r>
      <w:r w:rsidRPr="00E919A1">
        <w:rPr>
          <w:lang w:val="fr-FR"/>
        </w:rPr>
        <w:t>information, au Conseil, sans modifier la structure organisationnelle du secrétariat de la CEE, les fonctions de budgétisation des programmes et les mécanismes de contrôle, en vue de permettre au Comité de répondre efficacement aux besoins en matière de transports intérieurs à l</w:t>
      </w:r>
      <w:r>
        <w:rPr>
          <w:lang w:val="fr-FR"/>
        </w:rPr>
        <w:t>’</w:t>
      </w:r>
      <w:r w:rsidRPr="00E919A1">
        <w:rPr>
          <w:lang w:val="fr-FR"/>
        </w:rPr>
        <w:t>échelle mondiale, une attention particulière étant accordée à la mise en œuvre d</w:t>
      </w:r>
      <w:r>
        <w:rPr>
          <w:lang w:val="fr-FR"/>
        </w:rPr>
        <w:t>’</w:t>
      </w:r>
      <w:r w:rsidRPr="00E919A1">
        <w:rPr>
          <w:lang w:val="fr-FR"/>
        </w:rPr>
        <w:t>une gouvernance mondiale de réglementation grâce aux conventions de l</w:t>
      </w:r>
      <w:r>
        <w:rPr>
          <w:lang w:val="fr-FR"/>
        </w:rPr>
        <w:t>’</w:t>
      </w:r>
      <w:r w:rsidRPr="00E919A1">
        <w:rPr>
          <w:lang w:val="fr-FR"/>
        </w:rPr>
        <w:t>ONU relatives aux transports et à d</w:t>
      </w:r>
      <w:r>
        <w:rPr>
          <w:lang w:val="fr-FR"/>
        </w:rPr>
        <w:t>’</w:t>
      </w:r>
      <w:r w:rsidRPr="00E919A1">
        <w:rPr>
          <w:lang w:val="fr-FR"/>
        </w:rPr>
        <w:t>autres moyens</w:t>
      </w:r>
      <w:r>
        <w:rPr>
          <w:lang w:val="fr-FR"/>
        </w:rPr>
        <w:t> ;</w:t>
      </w:r>
    </w:p>
    <w:p w:rsidR="003A38DC" w:rsidRPr="00E919A1" w:rsidRDefault="003A38DC" w:rsidP="003A38DC">
      <w:pPr>
        <w:pStyle w:val="SingleTxtG"/>
        <w:ind w:firstLine="567"/>
        <w:rPr>
          <w:spacing w:val="-1"/>
          <w:lang w:val="fr-FR"/>
        </w:rPr>
      </w:pPr>
      <w:r w:rsidRPr="00E919A1">
        <w:rPr>
          <w:spacing w:val="-1"/>
          <w:lang w:val="fr-FR"/>
        </w:rPr>
        <w:t>2.</w:t>
      </w:r>
      <w:r w:rsidRPr="00E919A1">
        <w:rPr>
          <w:spacing w:val="-1"/>
          <w:lang w:val="fr-FR"/>
        </w:rPr>
        <w:tab/>
      </w:r>
      <w:r w:rsidRPr="00E919A1">
        <w:rPr>
          <w:i/>
          <w:spacing w:val="-1"/>
          <w:lang w:val="fr-FR"/>
        </w:rPr>
        <w:t xml:space="preserve">De nous attaquer </w:t>
      </w:r>
      <w:r w:rsidRPr="00E919A1">
        <w:rPr>
          <w:spacing w:val="-1"/>
          <w:lang w:val="fr-FR"/>
        </w:rPr>
        <w:t>aux difficultés rencontrées pour développer durablement la mobilité et les transports intérieurs, en particulier dans le contexte du Programme de développement durable à l</w:t>
      </w:r>
      <w:r>
        <w:rPr>
          <w:spacing w:val="-1"/>
          <w:lang w:val="fr-FR"/>
        </w:rPr>
        <w:t>’</w:t>
      </w:r>
      <w:r w:rsidRPr="00E919A1">
        <w:rPr>
          <w:spacing w:val="-1"/>
          <w:lang w:val="fr-FR"/>
        </w:rPr>
        <w:t xml:space="preserve">horizon 2030 et des objectifs de développement durable, en soutenant la coopération intergouvernementale multidisciplinaire dans le domaine des </w:t>
      </w:r>
      <w:r w:rsidRPr="00E919A1">
        <w:rPr>
          <w:spacing w:val="-1"/>
          <w:lang w:val="fr-FR"/>
        </w:rPr>
        <w:lastRenderedPageBreak/>
        <w:t>transports et les domaines connexes, dans le cadre de la plateforme du Comité des transports intérieurs, et en mettant dûment l</w:t>
      </w:r>
      <w:r>
        <w:rPr>
          <w:spacing w:val="-1"/>
          <w:lang w:val="fr-FR"/>
        </w:rPr>
        <w:t>’</w:t>
      </w:r>
      <w:r w:rsidRPr="00E919A1">
        <w:rPr>
          <w:spacing w:val="-1"/>
          <w:lang w:val="fr-FR"/>
        </w:rPr>
        <w:t>accent sur l</w:t>
      </w:r>
      <w:r>
        <w:rPr>
          <w:spacing w:val="-1"/>
          <w:lang w:val="fr-FR"/>
        </w:rPr>
        <w:t>’</w:t>
      </w:r>
      <w:r w:rsidRPr="00E919A1">
        <w:rPr>
          <w:spacing w:val="-1"/>
          <w:lang w:val="fr-FR"/>
        </w:rPr>
        <w:t>importance de mobiliser des ressources et de faire concorder les flux de financement avec les objectifs de développement durable</w:t>
      </w:r>
      <w:r>
        <w:rPr>
          <w:spacing w:val="-1"/>
          <w:lang w:val="fr-FR"/>
        </w:rPr>
        <w:t> ;</w:t>
      </w:r>
    </w:p>
    <w:p w:rsidR="003A38DC" w:rsidRPr="00E919A1" w:rsidRDefault="003A38DC" w:rsidP="003A38DC">
      <w:pPr>
        <w:pStyle w:val="SingleTxtG"/>
        <w:ind w:firstLine="567"/>
        <w:rPr>
          <w:lang w:val="fr-FR"/>
        </w:rPr>
      </w:pPr>
      <w:r w:rsidRPr="00E919A1">
        <w:rPr>
          <w:lang w:val="fr-FR"/>
        </w:rPr>
        <w:t>3.</w:t>
      </w:r>
      <w:r w:rsidRPr="00E919A1">
        <w:rPr>
          <w:lang w:val="fr-FR"/>
        </w:rPr>
        <w:tab/>
      </w:r>
      <w:r w:rsidRPr="00E919A1">
        <w:rPr>
          <w:i/>
          <w:lang w:val="fr-FR"/>
        </w:rPr>
        <w:t>D</w:t>
      </w:r>
      <w:r>
        <w:rPr>
          <w:i/>
          <w:lang w:val="fr-FR"/>
        </w:rPr>
        <w:t>’</w:t>
      </w:r>
      <w:r w:rsidRPr="00E919A1">
        <w:rPr>
          <w:i/>
          <w:lang w:val="fr-FR"/>
        </w:rPr>
        <w:t>encourager</w:t>
      </w:r>
      <w:r w:rsidRPr="00E919A1">
        <w:rPr>
          <w:lang w:val="fr-FR"/>
        </w:rPr>
        <w:t xml:space="preserve"> les États Membres à demander à toutes les parties prenantes des secteurs public et privé de poursuivre leur participation au Comité, d</w:t>
      </w:r>
      <w:r>
        <w:rPr>
          <w:lang w:val="fr-FR"/>
        </w:rPr>
        <w:t>’</w:t>
      </w:r>
      <w:r w:rsidRPr="00E919A1">
        <w:rPr>
          <w:lang w:val="fr-FR"/>
        </w:rPr>
        <w:t>intensifier leurs efforts pour construire l</w:t>
      </w:r>
      <w:r>
        <w:rPr>
          <w:lang w:val="fr-FR"/>
        </w:rPr>
        <w:t>’</w:t>
      </w:r>
      <w:r w:rsidRPr="00E919A1">
        <w:rPr>
          <w:lang w:val="fr-FR"/>
        </w:rPr>
        <w:t>avenir des transports intérieurs que nous voulons et de prendre part aux projets du CTI et à d</w:t>
      </w:r>
      <w:r>
        <w:rPr>
          <w:lang w:val="fr-FR"/>
        </w:rPr>
        <w:t>’</w:t>
      </w:r>
      <w:r w:rsidRPr="00E919A1">
        <w:rPr>
          <w:lang w:val="fr-FR"/>
        </w:rPr>
        <w:t>autres initiatives relatives aux transports à l</w:t>
      </w:r>
      <w:r>
        <w:rPr>
          <w:lang w:val="fr-FR"/>
        </w:rPr>
        <w:t>’</w:t>
      </w:r>
      <w:r w:rsidRPr="00E919A1">
        <w:rPr>
          <w:lang w:val="fr-FR"/>
        </w:rPr>
        <w:t>appui du Programme de développement durable, du Plan d</w:t>
      </w:r>
      <w:r>
        <w:rPr>
          <w:lang w:val="fr-FR"/>
        </w:rPr>
        <w:t>’</w:t>
      </w:r>
      <w:r w:rsidRPr="00E919A1">
        <w:rPr>
          <w:lang w:val="fr-FR"/>
        </w:rPr>
        <w:t>action mondial pour le climat et de la Décennie d</w:t>
      </w:r>
      <w:r>
        <w:rPr>
          <w:lang w:val="fr-FR"/>
        </w:rPr>
        <w:t>’</w:t>
      </w:r>
      <w:r w:rsidRPr="00E919A1">
        <w:rPr>
          <w:lang w:val="fr-FR"/>
        </w:rPr>
        <w:t>action des Nations Unies pour la sécurité routière</w:t>
      </w:r>
      <w:r>
        <w:rPr>
          <w:lang w:val="fr-FR"/>
        </w:rPr>
        <w:t> ;</w:t>
      </w:r>
    </w:p>
    <w:p w:rsidR="003A38DC" w:rsidRPr="00E919A1" w:rsidRDefault="003A38DC" w:rsidP="003A38DC">
      <w:pPr>
        <w:pStyle w:val="SingleTxtG"/>
        <w:ind w:firstLine="567"/>
        <w:rPr>
          <w:lang w:val="fr-FR"/>
        </w:rPr>
      </w:pPr>
      <w:r w:rsidRPr="00E919A1">
        <w:rPr>
          <w:lang w:val="fr-FR"/>
        </w:rPr>
        <w:t>4.</w:t>
      </w:r>
      <w:r w:rsidRPr="00E919A1">
        <w:rPr>
          <w:lang w:val="fr-FR"/>
        </w:rPr>
        <w:tab/>
      </w:r>
      <w:r w:rsidRPr="00E919A1">
        <w:rPr>
          <w:i/>
          <w:lang w:val="fr-FR"/>
        </w:rPr>
        <w:t>De nous attaquer</w:t>
      </w:r>
      <w:r w:rsidRPr="00E919A1">
        <w:rPr>
          <w:lang w:val="fr-FR"/>
        </w:rPr>
        <w:t xml:space="preserve"> aux problèmes posés par les changements climatiques, d</w:t>
      </w:r>
      <w:r>
        <w:rPr>
          <w:lang w:val="fr-FR"/>
        </w:rPr>
        <w:t>’</w:t>
      </w:r>
      <w:r w:rsidRPr="00E919A1">
        <w:rPr>
          <w:lang w:val="fr-FR"/>
        </w:rPr>
        <w:t>accorder une attention particulière à la promotion du transport durable et d</w:t>
      </w:r>
      <w:r>
        <w:rPr>
          <w:lang w:val="fr-FR"/>
        </w:rPr>
        <w:t>’</w:t>
      </w:r>
      <w:r w:rsidRPr="00E919A1">
        <w:rPr>
          <w:lang w:val="fr-FR"/>
        </w:rPr>
        <w:t xml:space="preserve">assurer la sécurité et la capacité des </w:t>
      </w:r>
      <w:r>
        <w:rPr>
          <w:lang w:val="fr-FR"/>
        </w:rPr>
        <w:t>corridor</w:t>
      </w:r>
      <w:r w:rsidRPr="00E919A1">
        <w:rPr>
          <w:lang w:val="fr-FR"/>
        </w:rPr>
        <w:t>s de transport internationaux, en soutenant la coopération intergouvernementale multidisciplinaire dans le domaine des transports et les domaines connexes, dans le cadre de la plateforme du Comité des transports intérieurs</w:t>
      </w:r>
      <w:r>
        <w:rPr>
          <w:lang w:val="fr-FR"/>
        </w:rPr>
        <w:t> ;</w:t>
      </w:r>
    </w:p>
    <w:p w:rsidR="003A38DC" w:rsidRPr="00E919A1" w:rsidRDefault="003A38DC" w:rsidP="003A38DC">
      <w:pPr>
        <w:pStyle w:val="SingleTxtG"/>
        <w:ind w:firstLine="567"/>
        <w:rPr>
          <w:lang w:val="fr-FR"/>
        </w:rPr>
      </w:pPr>
      <w:r w:rsidRPr="00E919A1">
        <w:rPr>
          <w:lang w:val="fr-FR"/>
        </w:rPr>
        <w:t>5.</w:t>
      </w:r>
      <w:r w:rsidRPr="00E919A1">
        <w:rPr>
          <w:lang w:val="fr-FR"/>
        </w:rPr>
        <w:tab/>
      </w:r>
      <w:r w:rsidRPr="00E919A1">
        <w:rPr>
          <w:i/>
          <w:lang w:val="fr-FR"/>
        </w:rPr>
        <w:t>D</w:t>
      </w:r>
      <w:r>
        <w:rPr>
          <w:i/>
          <w:lang w:val="fr-FR"/>
        </w:rPr>
        <w:t>’</w:t>
      </w:r>
      <w:r w:rsidRPr="00E919A1">
        <w:rPr>
          <w:i/>
          <w:lang w:val="fr-FR"/>
        </w:rPr>
        <w:t>inviter</w:t>
      </w:r>
      <w:r w:rsidRPr="00E919A1">
        <w:rPr>
          <w:lang w:val="fr-FR"/>
        </w:rPr>
        <w:t xml:space="preserve"> les États Membres, les parties prenantes, le Comité et ses organes subsidiaires, ainsi que l</w:t>
      </w:r>
      <w:r>
        <w:rPr>
          <w:lang w:val="fr-FR"/>
        </w:rPr>
        <w:t>’</w:t>
      </w:r>
      <w:r w:rsidRPr="00E919A1">
        <w:rPr>
          <w:lang w:val="fr-FR"/>
        </w:rPr>
        <w:t>Envoyé spécial du Secrétaire général pour la sécurité routière à adopter une approche systémique de la sécurité, à contribuer à l</w:t>
      </w:r>
      <w:r>
        <w:rPr>
          <w:lang w:val="fr-FR"/>
        </w:rPr>
        <w:t>’</w:t>
      </w:r>
      <w:r w:rsidRPr="00E919A1">
        <w:rPr>
          <w:lang w:val="fr-FR"/>
        </w:rPr>
        <w:t>élaboration d</w:t>
      </w:r>
      <w:r>
        <w:rPr>
          <w:lang w:val="fr-FR"/>
        </w:rPr>
        <w:t>’</w:t>
      </w:r>
      <w:r w:rsidRPr="00E919A1">
        <w:rPr>
          <w:lang w:val="fr-FR"/>
        </w:rPr>
        <w:t>objectifs et indicateurs en matière de sécurité routière, dont l</w:t>
      </w:r>
      <w:r>
        <w:rPr>
          <w:lang w:val="fr-FR"/>
        </w:rPr>
        <w:t>’</w:t>
      </w:r>
      <w:r w:rsidRPr="00E919A1">
        <w:rPr>
          <w:lang w:val="fr-FR"/>
        </w:rPr>
        <w:t>usage serait facultatif, et à renforcer leurs efforts collectifs pour améliorer la sécurité routière dans tous les modes de transport intérieur, notamment en prenant des mesures concertées et efficaces pour réduire le nombre de morts sur les routes de moitié d</w:t>
      </w:r>
      <w:r>
        <w:rPr>
          <w:lang w:val="fr-FR"/>
        </w:rPr>
        <w:t>’</w:t>
      </w:r>
      <w:r w:rsidRPr="00E919A1">
        <w:rPr>
          <w:lang w:val="fr-FR"/>
        </w:rPr>
        <w:t>ici à 2020</w:t>
      </w:r>
      <w:r>
        <w:rPr>
          <w:lang w:val="fr-FR"/>
        </w:rPr>
        <w:t> ;</w:t>
      </w:r>
    </w:p>
    <w:p w:rsidR="003A38DC" w:rsidRPr="00E919A1" w:rsidRDefault="003A38DC" w:rsidP="003A38DC">
      <w:pPr>
        <w:pStyle w:val="SingleTxtG"/>
        <w:ind w:firstLine="567"/>
        <w:rPr>
          <w:lang w:val="fr-FR"/>
        </w:rPr>
      </w:pPr>
      <w:r w:rsidRPr="00E919A1">
        <w:rPr>
          <w:lang w:val="fr-FR"/>
        </w:rPr>
        <w:t>6.</w:t>
      </w:r>
      <w:r w:rsidRPr="00E919A1">
        <w:rPr>
          <w:lang w:val="fr-FR"/>
        </w:rPr>
        <w:tab/>
      </w:r>
      <w:r w:rsidRPr="00E919A1">
        <w:rPr>
          <w:i/>
          <w:lang w:val="fr-FR"/>
        </w:rPr>
        <w:t>D</w:t>
      </w:r>
      <w:r>
        <w:rPr>
          <w:i/>
          <w:lang w:val="fr-FR"/>
        </w:rPr>
        <w:t>’</w:t>
      </w:r>
      <w:r w:rsidRPr="00E919A1">
        <w:rPr>
          <w:i/>
          <w:lang w:val="fr-FR"/>
        </w:rPr>
        <w:t>encourager</w:t>
      </w:r>
      <w:r w:rsidRPr="00E919A1">
        <w:rPr>
          <w:lang w:val="fr-FR"/>
        </w:rPr>
        <w:t xml:space="preserve"> les États Membres de l</w:t>
      </w:r>
      <w:r>
        <w:rPr>
          <w:lang w:val="fr-FR"/>
        </w:rPr>
        <w:t>’</w:t>
      </w:r>
      <w:r w:rsidRPr="00E919A1">
        <w:rPr>
          <w:lang w:val="fr-FR"/>
        </w:rPr>
        <w:t>Organisation des Nations Unies qui ne l</w:t>
      </w:r>
      <w:r>
        <w:rPr>
          <w:lang w:val="fr-FR"/>
        </w:rPr>
        <w:t>’</w:t>
      </w:r>
      <w:r w:rsidRPr="00E919A1">
        <w:rPr>
          <w:lang w:val="fr-FR"/>
        </w:rPr>
        <w:t>ont pas encore fait à envisager de devenir Parties contractantes aux conventions de l</w:t>
      </w:r>
      <w:r>
        <w:rPr>
          <w:lang w:val="fr-FR"/>
        </w:rPr>
        <w:t>’</w:t>
      </w:r>
      <w:r w:rsidRPr="00E919A1">
        <w:rPr>
          <w:lang w:val="fr-FR"/>
        </w:rPr>
        <w:t>ONU relatives aux transports intérieurs</w:t>
      </w:r>
      <w:r>
        <w:rPr>
          <w:lang w:val="fr-FR"/>
        </w:rPr>
        <w:t> ;</w:t>
      </w:r>
    </w:p>
    <w:p w:rsidR="003A38DC" w:rsidRPr="00E919A1" w:rsidRDefault="003A38DC" w:rsidP="003A38DC">
      <w:pPr>
        <w:pStyle w:val="SingleTxtG"/>
        <w:ind w:firstLine="567"/>
        <w:rPr>
          <w:lang w:val="fr-FR"/>
        </w:rPr>
      </w:pPr>
      <w:r w:rsidRPr="00E919A1">
        <w:rPr>
          <w:lang w:val="fr-FR"/>
        </w:rPr>
        <w:t>7.</w:t>
      </w:r>
      <w:r w:rsidRPr="00E919A1">
        <w:rPr>
          <w:lang w:val="fr-FR"/>
        </w:rPr>
        <w:tab/>
      </w:r>
      <w:r w:rsidRPr="00E919A1">
        <w:rPr>
          <w:i/>
          <w:lang w:val="fr-FR"/>
        </w:rPr>
        <w:t>De déclarer</w:t>
      </w:r>
      <w:r w:rsidRPr="00E919A1">
        <w:rPr>
          <w:lang w:val="fr-FR"/>
        </w:rPr>
        <w:t xml:space="preserve"> notre engagement à embrasser et promouvoir les changements technologiques dans tous les modes de transport intérieur, en particulier en tenant davantage compte des systèmes de transport intelligents et de la conduite automatisée dans les travaux du Comité et de ses organes subsidiaires, et en faisant progresser la numérisation des documents de transport, en premier lieu dans le domaine des transports internationaux</w:t>
      </w:r>
      <w:r>
        <w:rPr>
          <w:lang w:val="fr-FR"/>
        </w:rPr>
        <w:t> ;</w:t>
      </w:r>
    </w:p>
    <w:p w:rsidR="003A38DC" w:rsidRPr="00E919A1" w:rsidRDefault="003A38DC" w:rsidP="003A38DC">
      <w:pPr>
        <w:pStyle w:val="SingleTxtG"/>
        <w:ind w:firstLine="567"/>
        <w:rPr>
          <w:lang w:val="fr-FR"/>
        </w:rPr>
      </w:pPr>
      <w:r w:rsidRPr="00E919A1">
        <w:rPr>
          <w:lang w:val="fr-FR"/>
        </w:rPr>
        <w:t>8.</w:t>
      </w:r>
      <w:r w:rsidRPr="00E919A1">
        <w:rPr>
          <w:lang w:val="fr-FR"/>
        </w:rPr>
        <w:tab/>
      </w:r>
      <w:r w:rsidRPr="00E919A1">
        <w:rPr>
          <w:i/>
          <w:lang w:val="fr-FR"/>
        </w:rPr>
        <w:t>De demander</w:t>
      </w:r>
      <w:r w:rsidRPr="00E919A1">
        <w:rPr>
          <w:lang w:val="fr-FR"/>
        </w:rPr>
        <w:t xml:space="preserve"> au Comité et à ses organes subsidiaires de continuer à renforcer de manière durable la connectivité aux niveaux international, régional, national et urbain en favorisant une concertation intergouvernementale dans le cadre de son mandat actuel, en recourant à son pouvoir mobilisateur pour réunir des acteurs clefs, en accélérant la diffusion des meilleures pratiques et en fournissant des documents analytiques bien ciblés en temps voulu</w:t>
      </w:r>
      <w:r>
        <w:rPr>
          <w:lang w:val="fr-FR"/>
        </w:rPr>
        <w:t> ;</w:t>
      </w:r>
    </w:p>
    <w:p w:rsidR="003A38DC" w:rsidRPr="00E919A1" w:rsidRDefault="003A38DC" w:rsidP="003A38DC">
      <w:pPr>
        <w:pStyle w:val="SingleTxtG"/>
        <w:ind w:firstLine="567"/>
        <w:rPr>
          <w:lang w:val="fr-FR"/>
        </w:rPr>
      </w:pPr>
      <w:r w:rsidRPr="00E919A1">
        <w:rPr>
          <w:lang w:val="fr-FR"/>
        </w:rPr>
        <w:t>9.</w:t>
      </w:r>
      <w:r w:rsidRPr="00E919A1">
        <w:rPr>
          <w:lang w:val="fr-FR"/>
        </w:rPr>
        <w:tab/>
      </w:r>
      <w:r w:rsidRPr="00E919A1">
        <w:rPr>
          <w:i/>
          <w:lang w:val="fr-FR"/>
        </w:rPr>
        <w:t>De nous employer</w:t>
      </w:r>
      <w:r w:rsidRPr="00E919A1">
        <w:rPr>
          <w:lang w:val="fr-FR"/>
        </w:rPr>
        <w:t xml:space="preserve"> à améliorer les liaisons régionales et intercontinentales, en accordant une attention particulière au projet sur les liaisons de transport Europe-Asie et à la participation à l</w:t>
      </w:r>
      <w:r>
        <w:rPr>
          <w:lang w:val="fr-FR"/>
        </w:rPr>
        <w:t>’</w:t>
      </w:r>
      <w:r w:rsidRPr="00E919A1">
        <w:rPr>
          <w:lang w:val="fr-FR"/>
        </w:rPr>
        <w:t>initiative « une Ceinture et une Route », ainsi qu</w:t>
      </w:r>
      <w:r>
        <w:rPr>
          <w:lang w:val="fr-FR"/>
        </w:rPr>
        <w:t>’</w:t>
      </w:r>
      <w:r w:rsidRPr="00E919A1">
        <w:rPr>
          <w:lang w:val="fr-FR"/>
        </w:rPr>
        <w:t>en assurant la coordination des politiques et en facilitant la fluidité des transports</w:t>
      </w:r>
      <w:r>
        <w:rPr>
          <w:lang w:val="fr-FR"/>
        </w:rPr>
        <w:t> ;</w:t>
      </w:r>
    </w:p>
    <w:p w:rsidR="003A38DC" w:rsidRPr="00E919A1" w:rsidRDefault="003A38DC" w:rsidP="003A38DC">
      <w:pPr>
        <w:pStyle w:val="SingleTxtG"/>
        <w:ind w:firstLine="567"/>
        <w:rPr>
          <w:lang w:val="fr-FR"/>
        </w:rPr>
      </w:pPr>
      <w:r w:rsidRPr="00E919A1">
        <w:rPr>
          <w:lang w:val="fr-FR"/>
        </w:rPr>
        <w:t>10.</w:t>
      </w:r>
      <w:r w:rsidRPr="00E919A1">
        <w:rPr>
          <w:lang w:val="fr-FR"/>
        </w:rPr>
        <w:tab/>
      </w:r>
      <w:r w:rsidRPr="00E919A1">
        <w:rPr>
          <w:i/>
          <w:lang w:val="fr-FR"/>
        </w:rPr>
        <w:t>D</w:t>
      </w:r>
      <w:r>
        <w:rPr>
          <w:i/>
          <w:lang w:val="fr-FR"/>
        </w:rPr>
        <w:t>’</w:t>
      </w:r>
      <w:r w:rsidRPr="00E919A1">
        <w:rPr>
          <w:i/>
          <w:lang w:val="fr-FR"/>
        </w:rPr>
        <w:t>exprimer</w:t>
      </w:r>
      <w:r w:rsidRPr="00E919A1">
        <w:rPr>
          <w:lang w:val="fr-FR"/>
        </w:rPr>
        <w:t xml:space="preserve"> notre conviction que le fait de participer activement aux travaux du Comité et de ses organes subsidiaires peut procurer des gains sans précédent aux gouvernements</w:t>
      </w:r>
      <w:r>
        <w:rPr>
          <w:lang w:val="fr-FR"/>
        </w:rPr>
        <w:t> ;</w:t>
      </w:r>
    </w:p>
    <w:p w:rsidR="003A38DC" w:rsidRPr="00E919A1" w:rsidRDefault="003A38DC" w:rsidP="003A38DC">
      <w:pPr>
        <w:pStyle w:val="SingleTxtG"/>
        <w:ind w:firstLine="567"/>
        <w:rPr>
          <w:lang w:val="fr-FR"/>
        </w:rPr>
      </w:pPr>
      <w:r w:rsidRPr="00E919A1">
        <w:rPr>
          <w:lang w:val="fr-FR"/>
        </w:rPr>
        <w:t>11.</w:t>
      </w:r>
      <w:r w:rsidRPr="00E919A1">
        <w:rPr>
          <w:lang w:val="fr-FR"/>
        </w:rPr>
        <w:tab/>
      </w:r>
      <w:r w:rsidRPr="00E919A1">
        <w:rPr>
          <w:i/>
          <w:lang w:val="fr-FR"/>
        </w:rPr>
        <w:t>De répondre</w:t>
      </w:r>
      <w:r w:rsidRPr="00E919A1">
        <w:rPr>
          <w:lang w:val="fr-FR"/>
        </w:rPr>
        <w:t xml:space="preserve"> à la nécessité de hiérarchiser les travaux du Comité et de ses organes subsidiaires et de les rationaliser en raison du manque de ressources, en mettant en œuvre un dialogue stratégique et en élaborant pour le CTI une stratégie qui tienne compte des décisions figurant dans la présente résolution</w:t>
      </w:r>
      <w:r>
        <w:rPr>
          <w:lang w:val="fr-FR"/>
        </w:rPr>
        <w:t> ;</w:t>
      </w:r>
    </w:p>
    <w:p w:rsidR="003A38DC" w:rsidRDefault="003A38DC" w:rsidP="003A38DC">
      <w:pPr>
        <w:pStyle w:val="SingleTxtG"/>
        <w:ind w:firstLine="567"/>
        <w:rPr>
          <w:lang w:val="fr-FR"/>
        </w:rPr>
      </w:pPr>
      <w:r w:rsidRPr="00E919A1">
        <w:rPr>
          <w:lang w:val="fr-FR"/>
        </w:rPr>
        <w:t>12.</w:t>
      </w:r>
      <w:r w:rsidRPr="00E919A1">
        <w:rPr>
          <w:lang w:val="fr-FR"/>
        </w:rPr>
        <w:tab/>
      </w:r>
      <w:r w:rsidRPr="00E919A1">
        <w:rPr>
          <w:i/>
          <w:lang w:val="fr-FR"/>
        </w:rPr>
        <w:t>De prier</w:t>
      </w:r>
      <w:r w:rsidRPr="00E919A1">
        <w:rPr>
          <w:lang w:val="fr-FR"/>
        </w:rPr>
        <w:t xml:space="preserve"> le secrétariat de la CEE d</w:t>
      </w:r>
      <w:r>
        <w:rPr>
          <w:lang w:val="fr-FR"/>
        </w:rPr>
        <w:t>’</w:t>
      </w:r>
      <w:r w:rsidRPr="00E919A1">
        <w:rPr>
          <w:lang w:val="fr-FR"/>
        </w:rPr>
        <w:t>établir un rapport sur les progrès accomplis dans la suite donnée aux décisions de la présente résolution, en se fondant sur la mise en œuvre de la stratégie qui sera adoptée par le Comité, ainsi que sur les progrès réalisés dans les domaines de la mobilité et des transports intérieurs durables, et de</w:t>
      </w:r>
      <w:r>
        <w:rPr>
          <w:lang w:val="fr-FR"/>
        </w:rPr>
        <w:t> </w:t>
      </w:r>
      <w:r w:rsidRPr="00E919A1">
        <w:rPr>
          <w:lang w:val="fr-FR"/>
        </w:rPr>
        <w:t>présenter ce rapport au Comité pour examen à l</w:t>
      </w:r>
      <w:r>
        <w:rPr>
          <w:lang w:val="fr-FR"/>
        </w:rPr>
        <w:t>’</w:t>
      </w:r>
      <w:r w:rsidRPr="00E919A1">
        <w:rPr>
          <w:lang w:val="fr-FR"/>
        </w:rPr>
        <w:t>une de ses futures sessions, en 2020 au plus tard.</w:t>
      </w:r>
      <w:r>
        <w:rPr>
          <w:lang w:val="fr-FR"/>
        </w:rPr>
        <w:t xml:space="preserve"> </w:t>
      </w:r>
    </w:p>
    <w:p w:rsidR="003A38DC" w:rsidRPr="00E919A1" w:rsidRDefault="003A38DC" w:rsidP="003A38DC">
      <w:pPr>
        <w:pStyle w:val="HChG"/>
        <w:rPr>
          <w:lang w:val="fr-FR"/>
        </w:rPr>
      </w:pPr>
      <w:r w:rsidRPr="00E919A1">
        <w:rPr>
          <w:lang w:val="fr-FR"/>
        </w:rPr>
        <w:br w:type="page"/>
      </w:r>
      <w:r w:rsidRPr="00E919A1">
        <w:rPr>
          <w:lang w:val="fr-FR"/>
        </w:rPr>
        <w:lastRenderedPageBreak/>
        <w:t>Annexe III</w:t>
      </w:r>
    </w:p>
    <w:p w:rsidR="003A38DC" w:rsidRPr="00E919A1" w:rsidRDefault="003A38DC" w:rsidP="003A38DC">
      <w:pPr>
        <w:pStyle w:val="HChG"/>
        <w:rPr>
          <w:lang w:val="fr-FR"/>
        </w:rPr>
      </w:pPr>
      <w:r>
        <w:rPr>
          <w:lang w:val="fr-FR"/>
        </w:rPr>
        <w:tab/>
      </w:r>
      <w:r>
        <w:rPr>
          <w:lang w:val="fr-FR"/>
        </w:rPr>
        <w:tab/>
      </w:r>
      <w:r w:rsidRPr="00E919A1">
        <w:rPr>
          <w:lang w:val="fr-FR"/>
        </w:rPr>
        <w:t xml:space="preserve">Cadre stratégique de la Commission économique </w:t>
      </w:r>
      <w:r>
        <w:rPr>
          <w:lang w:val="fr-FR"/>
        </w:rPr>
        <w:br/>
      </w:r>
      <w:r w:rsidRPr="00E919A1">
        <w:rPr>
          <w:lang w:val="fr-FR"/>
        </w:rPr>
        <w:t>pour l</w:t>
      </w:r>
      <w:r>
        <w:rPr>
          <w:lang w:val="fr-FR"/>
        </w:rPr>
        <w:t>’</w:t>
      </w:r>
      <w:r w:rsidRPr="00E919A1">
        <w:rPr>
          <w:lang w:val="fr-FR"/>
        </w:rPr>
        <w:t xml:space="preserve">Europe pour la période 2018-2019 </w:t>
      </w:r>
      <w:r>
        <w:rPr>
          <w:lang w:val="fr-FR"/>
        </w:rPr>
        <w:br/>
        <w:t>(</w:t>
      </w:r>
      <w:r w:rsidRPr="00E919A1">
        <w:rPr>
          <w:lang w:val="fr-FR"/>
        </w:rPr>
        <w:t>A/71/6 (Prog</w:t>
      </w:r>
      <w:r>
        <w:rPr>
          <w:lang w:val="fr-FR"/>
        </w:rPr>
        <w:t xml:space="preserve">ramme </w:t>
      </w:r>
      <w:r w:rsidRPr="00E919A1">
        <w:rPr>
          <w:lang w:val="fr-FR"/>
        </w:rPr>
        <w:t>17)</w:t>
      </w:r>
      <w:r>
        <w:rPr>
          <w:lang w:val="fr-FR"/>
        </w:rPr>
        <w:t>)</w:t>
      </w:r>
    </w:p>
    <w:p w:rsidR="003A38DC" w:rsidRPr="00E919A1" w:rsidRDefault="003A38DC" w:rsidP="003A38DC">
      <w:pPr>
        <w:pStyle w:val="H1G"/>
        <w:rPr>
          <w:lang w:val="fr-FR"/>
        </w:rPr>
      </w:pPr>
      <w:r>
        <w:rPr>
          <w:lang w:val="fr-FR"/>
        </w:rPr>
        <w:tab/>
      </w:r>
      <w:r>
        <w:rPr>
          <w:lang w:val="fr-FR"/>
        </w:rPr>
        <w:tab/>
      </w:r>
      <w:r w:rsidRPr="00E919A1">
        <w:rPr>
          <w:lang w:val="fr-FR"/>
        </w:rPr>
        <w:t xml:space="preserve">Programme 17 </w:t>
      </w:r>
      <w:r>
        <w:rPr>
          <w:lang w:val="fr-FR"/>
        </w:rPr>
        <w:t>−</w:t>
      </w:r>
      <w:r w:rsidRPr="00E919A1">
        <w:rPr>
          <w:lang w:val="fr-FR"/>
        </w:rPr>
        <w:t xml:space="preserve"> Développement économique en Europe</w:t>
      </w:r>
    </w:p>
    <w:p w:rsidR="003A38DC" w:rsidRDefault="003A38DC" w:rsidP="003A38DC">
      <w:pPr>
        <w:pStyle w:val="H23G"/>
        <w:rPr>
          <w:lang w:val="fr-CA"/>
        </w:rPr>
      </w:pPr>
      <w:r>
        <w:rPr>
          <w:lang w:val="fr-CA"/>
        </w:rPr>
        <w:tab/>
      </w:r>
      <w:r>
        <w:rPr>
          <w:lang w:val="fr-CA"/>
        </w:rPr>
        <w:tab/>
      </w:r>
      <w:r w:rsidRPr="00E919A1">
        <w:rPr>
          <w:lang w:val="fr-CA"/>
        </w:rPr>
        <w:t>Orientation générale</w:t>
      </w:r>
    </w:p>
    <w:p w:rsidR="003A38DC" w:rsidRPr="00B14932" w:rsidRDefault="003A38DC" w:rsidP="003A38DC">
      <w:pPr>
        <w:pStyle w:val="SingleTxtG"/>
        <w:rPr>
          <w:lang w:val="fr-FR"/>
        </w:rPr>
      </w:pPr>
      <w:r w:rsidRPr="00B14932">
        <w:rPr>
          <w:lang w:val="fr-FR"/>
        </w:rPr>
        <w:t>17.1</w:t>
      </w:r>
      <w:r w:rsidRPr="00B14932">
        <w:rPr>
          <w:lang w:val="fr-FR"/>
        </w:rPr>
        <w:tab/>
        <w:t>Le programme relève de la Commission économique pour l</w:t>
      </w:r>
      <w:r>
        <w:rPr>
          <w:lang w:val="fr-FR"/>
        </w:rPr>
        <w:t>’</w:t>
      </w:r>
      <w:r w:rsidRPr="00B14932">
        <w:rPr>
          <w:lang w:val="fr-FR"/>
        </w:rPr>
        <w:t>Europe (CEE).</w:t>
      </w:r>
    </w:p>
    <w:p w:rsidR="003A38DC" w:rsidRPr="00B14932" w:rsidRDefault="003A38DC" w:rsidP="003A38DC">
      <w:pPr>
        <w:pStyle w:val="SingleTxtG"/>
        <w:rPr>
          <w:lang w:val="fr-FR"/>
        </w:rPr>
      </w:pPr>
      <w:r w:rsidRPr="00B14932">
        <w:rPr>
          <w:lang w:val="fr-FR"/>
        </w:rPr>
        <w:t>17.2</w:t>
      </w:r>
      <w:r w:rsidRPr="00B14932">
        <w:rPr>
          <w:lang w:val="fr-FR"/>
        </w:rPr>
        <w:tab/>
        <w:t>Le programme vise à promouvoir la coopération et l</w:t>
      </w:r>
      <w:r>
        <w:rPr>
          <w:lang w:val="fr-FR"/>
        </w:rPr>
        <w:t>’</w:t>
      </w:r>
      <w:r w:rsidRPr="00B14932">
        <w:rPr>
          <w:lang w:val="fr-FR"/>
        </w:rPr>
        <w:t>intégration régionales aux fins du développement durable de la région de la CEE. Pour mettre en œuvre une conception intégrée du développement durable et appliquer effectivement le Programme de développement durable à l</w:t>
      </w:r>
      <w:r>
        <w:rPr>
          <w:lang w:val="fr-FR"/>
        </w:rPr>
        <w:t>’</w:t>
      </w:r>
      <w:r w:rsidRPr="00B14932">
        <w:rPr>
          <w:lang w:val="fr-FR"/>
        </w:rPr>
        <w:t xml:space="preserve">horizon 2030, les effets de synergie et les articulations seront renforcés entre ses </w:t>
      </w:r>
      <w:r>
        <w:rPr>
          <w:lang w:val="fr-FR"/>
        </w:rPr>
        <w:t xml:space="preserve">huit </w:t>
      </w:r>
      <w:r w:rsidRPr="00B14932">
        <w:rPr>
          <w:lang w:val="fr-FR"/>
        </w:rPr>
        <w:t>sous-programmes, à savoir</w:t>
      </w:r>
      <w:r>
        <w:rPr>
          <w:lang w:val="fr-FR"/>
        </w:rPr>
        <w:t> :</w:t>
      </w:r>
      <w:r w:rsidRPr="00B14932">
        <w:rPr>
          <w:lang w:val="fr-FR"/>
        </w:rPr>
        <w:t xml:space="preserve"> a) l</w:t>
      </w:r>
      <w:r>
        <w:rPr>
          <w:lang w:val="fr-FR"/>
        </w:rPr>
        <w:t>’</w:t>
      </w:r>
      <w:r w:rsidRPr="00B14932">
        <w:rPr>
          <w:lang w:val="fr-FR"/>
        </w:rPr>
        <w:t>environnement</w:t>
      </w:r>
      <w:r>
        <w:rPr>
          <w:lang w:val="fr-FR"/>
        </w:rPr>
        <w:t> ;</w:t>
      </w:r>
      <w:r w:rsidRPr="00B14932">
        <w:rPr>
          <w:lang w:val="fr-FR"/>
        </w:rPr>
        <w:t xml:space="preserve"> b) les transports</w:t>
      </w:r>
      <w:r>
        <w:rPr>
          <w:lang w:val="fr-FR"/>
        </w:rPr>
        <w:t> ;</w:t>
      </w:r>
      <w:r w:rsidRPr="00B14932">
        <w:rPr>
          <w:lang w:val="fr-FR"/>
        </w:rPr>
        <w:t xml:space="preserve"> c) les statistiques</w:t>
      </w:r>
      <w:r>
        <w:rPr>
          <w:lang w:val="fr-FR"/>
        </w:rPr>
        <w:t> ;</w:t>
      </w:r>
      <w:r w:rsidRPr="00B14932">
        <w:rPr>
          <w:lang w:val="fr-FR"/>
        </w:rPr>
        <w:t xml:space="preserve"> d) la coopération et l</w:t>
      </w:r>
      <w:r>
        <w:rPr>
          <w:lang w:val="fr-FR"/>
        </w:rPr>
        <w:t>’</w:t>
      </w:r>
      <w:r w:rsidRPr="00B14932">
        <w:rPr>
          <w:lang w:val="fr-FR"/>
        </w:rPr>
        <w:t>intégration économiques</w:t>
      </w:r>
      <w:r>
        <w:rPr>
          <w:lang w:val="fr-FR"/>
        </w:rPr>
        <w:t> ;</w:t>
      </w:r>
      <w:r w:rsidRPr="00B14932">
        <w:rPr>
          <w:lang w:val="fr-FR"/>
        </w:rPr>
        <w:t xml:space="preserve"> e) l</w:t>
      </w:r>
      <w:r>
        <w:rPr>
          <w:lang w:val="fr-FR"/>
        </w:rPr>
        <w:t>’</w:t>
      </w:r>
      <w:r w:rsidRPr="00B14932">
        <w:rPr>
          <w:lang w:val="fr-FR"/>
        </w:rPr>
        <w:t>énergie durable</w:t>
      </w:r>
      <w:r>
        <w:rPr>
          <w:lang w:val="fr-FR"/>
        </w:rPr>
        <w:t> ;</w:t>
      </w:r>
      <w:r w:rsidRPr="00B14932">
        <w:rPr>
          <w:lang w:val="fr-FR"/>
        </w:rPr>
        <w:t xml:space="preserve"> f) le commerce</w:t>
      </w:r>
      <w:r>
        <w:rPr>
          <w:lang w:val="fr-FR"/>
        </w:rPr>
        <w:t> ;</w:t>
      </w:r>
      <w:r w:rsidRPr="00B14932">
        <w:rPr>
          <w:lang w:val="fr-FR"/>
        </w:rPr>
        <w:t xml:space="preserve"> g) la foresterie et le bois</w:t>
      </w:r>
      <w:r>
        <w:rPr>
          <w:lang w:val="fr-FR"/>
        </w:rPr>
        <w:t> ;</w:t>
      </w:r>
      <w:r w:rsidRPr="00B14932">
        <w:rPr>
          <w:lang w:val="fr-FR"/>
        </w:rPr>
        <w:t xml:space="preserve"> h) le logement, l</w:t>
      </w:r>
      <w:r>
        <w:rPr>
          <w:lang w:val="fr-FR"/>
        </w:rPr>
        <w:t>’</w:t>
      </w:r>
      <w:r w:rsidRPr="00B14932">
        <w:rPr>
          <w:lang w:val="fr-FR"/>
        </w:rPr>
        <w:t>aménagement du territoire et la population. En outre, tous les sous-programmes tiendront compte des objectifs du développement durable et des cibles correspondantes, eu égard en particulier aux mesures d</w:t>
      </w:r>
      <w:r>
        <w:rPr>
          <w:lang w:val="fr-FR"/>
        </w:rPr>
        <w:t>’</w:t>
      </w:r>
      <w:r w:rsidRPr="00B14932">
        <w:rPr>
          <w:lang w:val="fr-FR"/>
        </w:rPr>
        <w:t>atténuation des effets des changements climatiques et d</w:t>
      </w:r>
      <w:r>
        <w:rPr>
          <w:lang w:val="fr-FR"/>
        </w:rPr>
        <w:t>’</w:t>
      </w:r>
      <w:r w:rsidRPr="00B14932">
        <w:rPr>
          <w:lang w:val="fr-FR"/>
        </w:rPr>
        <w:t>adaptation à ces changements.</w:t>
      </w:r>
    </w:p>
    <w:p w:rsidR="003A38DC" w:rsidRPr="00B14932" w:rsidRDefault="003A38DC" w:rsidP="003A38DC">
      <w:pPr>
        <w:pStyle w:val="SingleTxtG"/>
        <w:rPr>
          <w:lang w:val="fr-FR"/>
        </w:rPr>
      </w:pPr>
      <w:r w:rsidRPr="00B14932">
        <w:rPr>
          <w:lang w:val="fr-FR"/>
        </w:rPr>
        <w:t>17.3</w:t>
      </w:r>
      <w:r w:rsidRPr="00B14932">
        <w:rPr>
          <w:lang w:val="fr-FR"/>
        </w:rPr>
        <w:tab/>
        <w:t xml:space="preserve">Conformément aux mandats conférés par les organes délibérants, y compris dans la décision </w:t>
      </w:r>
      <w:proofErr w:type="gramStart"/>
      <w:r>
        <w:rPr>
          <w:lang w:val="fr-FR"/>
        </w:rPr>
        <w:t>A(</w:t>
      </w:r>
      <w:proofErr w:type="gramEnd"/>
      <w:r>
        <w:rPr>
          <w:lang w:val="fr-FR"/>
        </w:rPr>
        <w:t>65)</w:t>
      </w:r>
      <w:r w:rsidRPr="00B14932">
        <w:rPr>
          <w:lang w:val="fr-FR"/>
        </w:rPr>
        <w:t xml:space="preserve"> du 11 avril 2013 de la Commission économique pour l</w:t>
      </w:r>
      <w:r>
        <w:rPr>
          <w:lang w:val="fr-FR"/>
        </w:rPr>
        <w:t>’</w:t>
      </w:r>
      <w:r w:rsidRPr="00B14932">
        <w:rPr>
          <w:lang w:val="fr-FR"/>
        </w:rPr>
        <w:t>Europe concernant le résultat de l</w:t>
      </w:r>
      <w:r>
        <w:rPr>
          <w:lang w:val="fr-FR"/>
        </w:rPr>
        <w:t>’</w:t>
      </w:r>
      <w:r w:rsidRPr="00B14932">
        <w:rPr>
          <w:lang w:val="fr-FR"/>
        </w:rPr>
        <w:t>examen de la réforme de 2005 de la Commission, l</w:t>
      </w:r>
      <w:r>
        <w:rPr>
          <w:lang w:val="fr-FR"/>
        </w:rPr>
        <w:t>’</w:t>
      </w:r>
      <w:r w:rsidRPr="00B14932">
        <w:rPr>
          <w:lang w:val="fr-FR"/>
        </w:rPr>
        <w:t>exécution du programme favorisera le développement durable ainsi que la coopération et l</w:t>
      </w:r>
      <w:r>
        <w:rPr>
          <w:lang w:val="fr-FR"/>
        </w:rPr>
        <w:t>’</w:t>
      </w:r>
      <w:r w:rsidRPr="00B14932">
        <w:rPr>
          <w:lang w:val="fr-FR"/>
        </w:rPr>
        <w:t>intégration régionales grâce</w:t>
      </w:r>
      <w:r>
        <w:rPr>
          <w:lang w:val="fr-FR"/>
        </w:rPr>
        <w:t> :</w:t>
      </w:r>
      <w:r w:rsidRPr="00B14932">
        <w:rPr>
          <w:lang w:val="fr-FR"/>
        </w:rPr>
        <w:t xml:space="preserve"> a) à la concertation</w:t>
      </w:r>
      <w:r>
        <w:rPr>
          <w:lang w:val="fr-FR"/>
        </w:rPr>
        <w:t> ;</w:t>
      </w:r>
      <w:r w:rsidRPr="00B14932">
        <w:rPr>
          <w:lang w:val="fr-FR"/>
        </w:rPr>
        <w:t xml:space="preserve"> b) à l</w:t>
      </w:r>
      <w:r>
        <w:rPr>
          <w:lang w:val="fr-FR"/>
        </w:rPr>
        <w:t>’</w:t>
      </w:r>
      <w:r w:rsidRPr="00B14932">
        <w:rPr>
          <w:lang w:val="fr-FR"/>
        </w:rPr>
        <w:t>action normative</w:t>
      </w:r>
      <w:r>
        <w:rPr>
          <w:lang w:val="fr-FR"/>
        </w:rPr>
        <w:t> ;</w:t>
      </w:r>
      <w:r w:rsidRPr="00B14932">
        <w:rPr>
          <w:lang w:val="fr-FR"/>
        </w:rPr>
        <w:t xml:space="preserve"> et c) à la coopération technique.</w:t>
      </w:r>
    </w:p>
    <w:p w:rsidR="003A38DC" w:rsidRPr="00B14932" w:rsidRDefault="003A38DC" w:rsidP="003A38DC">
      <w:pPr>
        <w:pStyle w:val="SingleTxtG"/>
        <w:rPr>
          <w:lang w:val="fr-FR"/>
        </w:rPr>
      </w:pPr>
      <w:r w:rsidRPr="00B14932">
        <w:rPr>
          <w:lang w:val="fr-FR"/>
        </w:rPr>
        <w:t>17.4</w:t>
      </w:r>
      <w:r w:rsidRPr="00B14932">
        <w:rPr>
          <w:lang w:val="fr-FR"/>
        </w:rPr>
        <w:tab/>
        <w:t>Toute l</w:t>
      </w:r>
      <w:r>
        <w:rPr>
          <w:lang w:val="fr-FR"/>
        </w:rPr>
        <w:t>’</w:t>
      </w:r>
      <w:r w:rsidRPr="00B14932">
        <w:rPr>
          <w:lang w:val="fr-FR"/>
        </w:rPr>
        <w:t>attention voulue sera accordée aux aspects du développement intéressant la problématique hommes-femmes, car les femmes constituent plus de la moitié de la population mondiale et sont à la fois les agents et les bénéficiaires du développement dans la région. Des éléments relatifs à l</w:t>
      </w:r>
      <w:r>
        <w:rPr>
          <w:lang w:val="fr-FR"/>
        </w:rPr>
        <w:t>’</w:t>
      </w:r>
      <w:r w:rsidRPr="00B14932">
        <w:rPr>
          <w:lang w:val="fr-FR"/>
        </w:rPr>
        <w:t>égalité des sexes et à l</w:t>
      </w:r>
      <w:r>
        <w:rPr>
          <w:lang w:val="fr-FR"/>
        </w:rPr>
        <w:t>’</w:t>
      </w:r>
      <w:r w:rsidRPr="00B14932">
        <w:rPr>
          <w:lang w:val="fr-FR"/>
        </w:rPr>
        <w:t>autonomisation des femmes seront incorporés dans le programme de travail de la CEE conformément au Plan d</w:t>
      </w:r>
      <w:r>
        <w:rPr>
          <w:lang w:val="fr-FR"/>
        </w:rPr>
        <w:t>’</w:t>
      </w:r>
      <w:r w:rsidRPr="00B14932">
        <w:rPr>
          <w:lang w:val="fr-FR"/>
        </w:rPr>
        <w:t>action à</w:t>
      </w:r>
      <w:r>
        <w:rPr>
          <w:lang w:val="fr-FR"/>
        </w:rPr>
        <w:t> </w:t>
      </w:r>
      <w:r w:rsidRPr="00B14932">
        <w:rPr>
          <w:lang w:val="fr-FR"/>
        </w:rPr>
        <w:t>l</w:t>
      </w:r>
      <w:r>
        <w:rPr>
          <w:lang w:val="fr-FR"/>
        </w:rPr>
        <w:t>’</w:t>
      </w:r>
      <w:r w:rsidRPr="00B14932">
        <w:rPr>
          <w:lang w:val="fr-FR"/>
        </w:rPr>
        <w:t>échelle du système des Nations Unies et à l</w:t>
      </w:r>
      <w:r>
        <w:rPr>
          <w:lang w:val="fr-FR"/>
        </w:rPr>
        <w:t>’</w:t>
      </w:r>
      <w:r w:rsidRPr="00B14932">
        <w:rPr>
          <w:lang w:val="fr-FR"/>
        </w:rPr>
        <w:t xml:space="preserve">objectif de développement durable </w:t>
      </w:r>
      <w:r w:rsidRPr="00D063FA">
        <w:rPr>
          <w:rFonts w:eastAsia="MS Mincho"/>
          <w:lang w:val="fr-FR"/>
        </w:rPr>
        <w:t>n</w:t>
      </w:r>
      <w:r w:rsidRPr="00D063FA">
        <w:rPr>
          <w:rFonts w:eastAsia="MS Mincho"/>
          <w:vertAlign w:val="superscript"/>
          <w:lang w:val="fr-FR"/>
        </w:rPr>
        <w:t>o</w:t>
      </w:r>
      <w:r>
        <w:rPr>
          <w:lang w:val="fr-FR"/>
        </w:rPr>
        <w:t> </w:t>
      </w:r>
      <w:r w:rsidRPr="00B14932">
        <w:rPr>
          <w:lang w:val="fr-FR"/>
        </w:rPr>
        <w:t>5. En</w:t>
      </w:r>
      <w:r>
        <w:rPr>
          <w:lang w:val="fr-FR"/>
        </w:rPr>
        <w:t> </w:t>
      </w:r>
      <w:r w:rsidRPr="00B14932">
        <w:rPr>
          <w:lang w:val="fr-FR"/>
        </w:rPr>
        <w:t>particulier, l</w:t>
      </w:r>
      <w:r>
        <w:rPr>
          <w:lang w:val="fr-FR"/>
        </w:rPr>
        <w:t>’</w:t>
      </w:r>
      <w:r w:rsidRPr="00B14932">
        <w:rPr>
          <w:lang w:val="fr-FR"/>
        </w:rPr>
        <w:t>exécution du programme sera axée sur la participation des femmes à l</w:t>
      </w:r>
      <w:r>
        <w:rPr>
          <w:lang w:val="fr-FR"/>
        </w:rPr>
        <w:t>’</w:t>
      </w:r>
      <w:r w:rsidRPr="00B14932">
        <w:rPr>
          <w:lang w:val="fr-FR"/>
        </w:rPr>
        <w:t>économie et encouragera l</w:t>
      </w:r>
      <w:r>
        <w:rPr>
          <w:lang w:val="fr-FR"/>
        </w:rPr>
        <w:t>’</w:t>
      </w:r>
      <w:r w:rsidRPr="00B14932">
        <w:rPr>
          <w:lang w:val="fr-FR"/>
        </w:rPr>
        <w:t>entrepreneuriat féminin dans la région.</w:t>
      </w:r>
    </w:p>
    <w:p w:rsidR="003A38DC" w:rsidRPr="00B14932" w:rsidRDefault="003A38DC" w:rsidP="003A38DC">
      <w:pPr>
        <w:pStyle w:val="SingleTxtG"/>
        <w:rPr>
          <w:lang w:val="fr-FR"/>
        </w:rPr>
      </w:pPr>
      <w:r w:rsidRPr="00B14932">
        <w:rPr>
          <w:lang w:val="fr-FR"/>
        </w:rPr>
        <w:t>17.5</w:t>
      </w:r>
      <w:r w:rsidRPr="00B14932">
        <w:rPr>
          <w:lang w:val="fr-FR"/>
        </w:rPr>
        <w:tab/>
        <w:t>La CEE cherchera par ailleurs à maintenir, dans l</w:t>
      </w:r>
      <w:r>
        <w:rPr>
          <w:lang w:val="fr-FR"/>
        </w:rPr>
        <w:t>’</w:t>
      </w:r>
      <w:r w:rsidRPr="00B14932">
        <w:rPr>
          <w:lang w:val="fr-FR"/>
        </w:rPr>
        <w:t>ensemble du système, la cohérence de l</w:t>
      </w:r>
      <w:r>
        <w:rPr>
          <w:lang w:val="fr-FR"/>
        </w:rPr>
        <w:t>’</w:t>
      </w:r>
      <w:r w:rsidRPr="00B14932">
        <w:rPr>
          <w:lang w:val="fr-FR"/>
        </w:rPr>
        <w:t>exécution de ses programmes, afin d</w:t>
      </w:r>
      <w:r>
        <w:rPr>
          <w:lang w:val="fr-FR"/>
        </w:rPr>
        <w:t>’</w:t>
      </w:r>
      <w:r w:rsidRPr="00B14932">
        <w:rPr>
          <w:lang w:val="fr-FR"/>
        </w:rPr>
        <w:t>éviter les doubles emplois, d</w:t>
      </w:r>
      <w:r>
        <w:rPr>
          <w:lang w:val="fr-FR"/>
        </w:rPr>
        <w:t>’</w:t>
      </w:r>
      <w:r w:rsidRPr="00B14932">
        <w:rPr>
          <w:lang w:val="fr-FR"/>
        </w:rPr>
        <w:t>amplifier les effets, d</w:t>
      </w:r>
      <w:r>
        <w:rPr>
          <w:lang w:val="fr-FR"/>
        </w:rPr>
        <w:t>’</w:t>
      </w:r>
      <w:r w:rsidRPr="00B14932">
        <w:rPr>
          <w:lang w:val="fr-FR"/>
        </w:rPr>
        <w:t>augmenter les retombées et d</w:t>
      </w:r>
      <w:r>
        <w:rPr>
          <w:lang w:val="fr-FR"/>
        </w:rPr>
        <w:t>’</w:t>
      </w:r>
      <w:r w:rsidRPr="00B14932">
        <w:rPr>
          <w:lang w:val="fr-FR"/>
        </w:rPr>
        <w:t>assurer la viabilité de ses travaux dans la région en s</w:t>
      </w:r>
      <w:r>
        <w:rPr>
          <w:lang w:val="fr-FR"/>
        </w:rPr>
        <w:t>’</w:t>
      </w:r>
      <w:r w:rsidRPr="00B14932">
        <w:rPr>
          <w:lang w:val="fr-FR"/>
        </w:rPr>
        <w:t>appuyant pour ce faire sur les activités des autres entités des Nations Unies et autres organisations intéressées. Elle dirigera l</w:t>
      </w:r>
      <w:r>
        <w:rPr>
          <w:lang w:val="fr-FR"/>
        </w:rPr>
        <w:t>’</w:t>
      </w:r>
      <w:r w:rsidRPr="00B14932">
        <w:rPr>
          <w:lang w:val="fr-FR"/>
        </w:rPr>
        <w:t>action du Mécanisme de coordination régionale et</w:t>
      </w:r>
      <w:r>
        <w:rPr>
          <w:lang w:val="fr-FR"/>
        </w:rPr>
        <w:t> </w:t>
      </w:r>
      <w:r w:rsidRPr="00B14932">
        <w:rPr>
          <w:lang w:val="fr-FR"/>
        </w:rPr>
        <w:t>participera aux travaux du Groupe des Nations Unies pour le développement pour l</w:t>
      </w:r>
      <w:r>
        <w:rPr>
          <w:lang w:val="fr-FR"/>
        </w:rPr>
        <w:t>’</w:t>
      </w:r>
      <w:r w:rsidRPr="00B14932">
        <w:rPr>
          <w:lang w:val="fr-FR"/>
        </w:rPr>
        <w:t>Europe et l</w:t>
      </w:r>
      <w:r>
        <w:rPr>
          <w:lang w:val="fr-FR"/>
        </w:rPr>
        <w:t>’</w:t>
      </w:r>
      <w:r w:rsidRPr="00B14932">
        <w:rPr>
          <w:lang w:val="fr-FR"/>
        </w:rPr>
        <w:t>Asie centrale en contribuant aux plans-cadres des Nations Unies pour l</w:t>
      </w:r>
      <w:r>
        <w:rPr>
          <w:lang w:val="fr-FR"/>
        </w:rPr>
        <w:t>’</w:t>
      </w:r>
      <w:r w:rsidRPr="00B14932">
        <w:rPr>
          <w:lang w:val="fr-FR"/>
        </w:rPr>
        <w:t>aide au développement et aux programmes relevant de l</w:t>
      </w:r>
      <w:r>
        <w:rPr>
          <w:lang w:val="fr-FR"/>
        </w:rPr>
        <w:t>’</w:t>
      </w:r>
      <w:r w:rsidRPr="00B14932">
        <w:rPr>
          <w:lang w:val="fr-FR"/>
        </w:rPr>
        <w:t>initiative « Unité d</w:t>
      </w:r>
      <w:r>
        <w:rPr>
          <w:lang w:val="fr-FR"/>
        </w:rPr>
        <w:t>’</w:t>
      </w:r>
      <w:r w:rsidRPr="00B14932">
        <w:rPr>
          <w:lang w:val="fr-FR"/>
        </w:rPr>
        <w:t>action des Nations</w:t>
      </w:r>
      <w:r>
        <w:rPr>
          <w:lang w:val="fr-FR"/>
        </w:rPr>
        <w:t> </w:t>
      </w:r>
      <w:r w:rsidRPr="00B14932">
        <w:rPr>
          <w:lang w:val="fr-FR"/>
        </w:rPr>
        <w:t>Unies » dans la région.</w:t>
      </w:r>
    </w:p>
    <w:p w:rsidR="003A38DC" w:rsidRPr="00B14932" w:rsidRDefault="003A38DC" w:rsidP="003A38DC">
      <w:pPr>
        <w:pStyle w:val="SingleTxtG"/>
        <w:rPr>
          <w:lang w:val="fr-FR"/>
        </w:rPr>
      </w:pPr>
      <w:r w:rsidRPr="00B14932">
        <w:rPr>
          <w:lang w:val="fr-FR"/>
        </w:rPr>
        <w:t>17.6</w:t>
      </w:r>
      <w:r w:rsidRPr="00B14932">
        <w:rPr>
          <w:lang w:val="fr-FR"/>
        </w:rPr>
        <w:tab/>
        <w:t>Le Programme spécial des Nations Unies pour les pays d</w:t>
      </w:r>
      <w:r>
        <w:rPr>
          <w:lang w:val="fr-FR"/>
        </w:rPr>
        <w:t>’</w:t>
      </w:r>
      <w:r w:rsidRPr="00B14932">
        <w:rPr>
          <w:lang w:val="fr-FR"/>
        </w:rPr>
        <w:t>Asie centrale, exécuté conjointement par la CEE et par la Commission économique et sociale pour l</w:t>
      </w:r>
      <w:r>
        <w:rPr>
          <w:lang w:val="fr-FR"/>
        </w:rPr>
        <w:t>’</w:t>
      </w:r>
      <w:r w:rsidRPr="00B14932">
        <w:rPr>
          <w:lang w:val="fr-FR"/>
        </w:rPr>
        <w:t>Asie et le Pacifique (CESAP), restera le principal cadre de coopération entre la CEE et les autres parties intéressées en Asie centrale.</w:t>
      </w:r>
    </w:p>
    <w:p w:rsidR="003A38DC" w:rsidRPr="00B14932" w:rsidRDefault="003A38DC" w:rsidP="003A38DC">
      <w:pPr>
        <w:pStyle w:val="SingleTxtG"/>
        <w:rPr>
          <w:lang w:val="fr-FR"/>
        </w:rPr>
      </w:pPr>
      <w:r w:rsidRPr="00B14932">
        <w:rPr>
          <w:lang w:val="fr-FR"/>
        </w:rPr>
        <w:t>17.7</w:t>
      </w:r>
      <w:r w:rsidRPr="00B14932">
        <w:rPr>
          <w:lang w:val="fr-FR"/>
        </w:rPr>
        <w:tab/>
        <w:t>Dans le cadre de son mandat, le programme contribuera au suivi et à l</w:t>
      </w:r>
      <w:r>
        <w:rPr>
          <w:lang w:val="fr-FR"/>
        </w:rPr>
        <w:t>’</w:t>
      </w:r>
      <w:r w:rsidRPr="00B14932">
        <w:rPr>
          <w:lang w:val="fr-FR"/>
        </w:rPr>
        <w:t>examen du Programme de développement durable à l</w:t>
      </w:r>
      <w:r>
        <w:rPr>
          <w:lang w:val="fr-FR"/>
        </w:rPr>
        <w:t>’</w:t>
      </w:r>
      <w:r w:rsidRPr="00B14932">
        <w:rPr>
          <w:lang w:val="fr-FR"/>
        </w:rPr>
        <w:t>horizon 2030, y compris au sein du Forum politique de haut niveau pour le développement durable réuni sous les auspices du Conseil économique et social et de l</w:t>
      </w:r>
      <w:r>
        <w:rPr>
          <w:lang w:val="fr-FR"/>
        </w:rPr>
        <w:t>’</w:t>
      </w:r>
      <w:r w:rsidRPr="00B14932">
        <w:rPr>
          <w:lang w:val="fr-FR"/>
        </w:rPr>
        <w:t>Assemblée générale.</w:t>
      </w:r>
    </w:p>
    <w:p w:rsidR="003A38DC" w:rsidRPr="00E919A1" w:rsidRDefault="003A38DC" w:rsidP="003A38DC">
      <w:pPr>
        <w:pStyle w:val="SingleTxtG"/>
        <w:keepLines/>
        <w:rPr>
          <w:spacing w:val="4"/>
          <w:w w:val="103"/>
          <w:kern w:val="14"/>
          <w:lang w:val="fr-CA"/>
        </w:rPr>
      </w:pPr>
      <w:r w:rsidRPr="00B14932">
        <w:rPr>
          <w:lang w:val="fr-FR"/>
        </w:rPr>
        <w:lastRenderedPageBreak/>
        <w:t>17.8</w:t>
      </w:r>
      <w:r w:rsidRPr="00B14932">
        <w:rPr>
          <w:lang w:val="fr-FR"/>
        </w:rPr>
        <w:tab/>
        <w:t>Le Comité exécutif de la CEE a approuvé à sa 81</w:t>
      </w:r>
      <w:r w:rsidRPr="00B14932">
        <w:rPr>
          <w:vertAlign w:val="superscript"/>
          <w:lang w:val="fr-FR"/>
        </w:rPr>
        <w:t>e</w:t>
      </w:r>
      <w:r w:rsidRPr="00B14932">
        <w:rPr>
          <w:lang w:val="fr-FR"/>
        </w:rPr>
        <w:t> séance, le 23 novembre 2015, le Cadre stratégique relatif au programme 17 (Développement économique en Europe) pour la période 2018-2019, sous réserve des résultats de son examen des textes adoptés par les organes délibérants.</w:t>
      </w:r>
    </w:p>
    <w:p w:rsidR="003A38DC" w:rsidRPr="00E919A1" w:rsidRDefault="003A38DC" w:rsidP="003A38DC">
      <w:pPr>
        <w:pStyle w:val="HChG"/>
        <w:rPr>
          <w:lang w:val="fr-FR"/>
        </w:rPr>
      </w:pPr>
      <w:r w:rsidRPr="00E919A1">
        <w:rPr>
          <w:lang w:val="fr-FR"/>
        </w:rPr>
        <w:br w:type="page"/>
      </w:r>
      <w:r w:rsidRPr="00E919A1">
        <w:rPr>
          <w:lang w:val="fr-FR"/>
        </w:rPr>
        <w:lastRenderedPageBreak/>
        <w:t>Annexe IV</w:t>
      </w:r>
    </w:p>
    <w:p w:rsidR="003A38DC" w:rsidRPr="00E919A1" w:rsidRDefault="003A38DC" w:rsidP="003A38DC">
      <w:pPr>
        <w:pStyle w:val="HChG"/>
        <w:rPr>
          <w:lang w:val="fr-FR"/>
        </w:rPr>
      </w:pPr>
      <w:r>
        <w:rPr>
          <w:lang w:val="fr-FR"/>
        </w:rPr>
        <w:tab/>
      </w:r>
      <w:r>
        <w:rPr>
          <w:lang w:val="fr-FR"/>
        </w:rPr>
        <w:tab/>
      </w:r>
      <w:r w:rsidRPr="00E919A1">
        <w:rPr>
          <w:lang w:val="fr-FR"/>
        </w:rPr>
        <w:t xml:space="preserve">Évaluations de la CEE à propos du sous-programme « Transports » </w:t>
      </w:r>
    </w:p>
    <w:p w:rsidR="003A38DC" w:rsidRPr="00E919A1" w:rsidRDefault="003A38DC" w:rsidP="003A38DC">
      <w:pPr>
        <w:pStyle w:val="SingleTxtG"/>
        <w:rPr>
          <w:lang w:val="fr-FR"/>
        </w:rPr>
      </w:pPr>
      <w:r w:rsidRPr="00E919A1">
        <w:rPr>
          <w:lang w:val="fr-FR"/>
        </w:rPr>
        <w:t>1.</w:t>
      </w:r>
      <w:r w:rsidRPr="00E919A1">
        <w:rPr>
          <w:lang w:val="fr-FR"/>
        </w:rPr>
        <w:tab/>
        <w:t>Parmi les évaluations les plus importantes concernant le sous-programme « Transports</w:t>
      </w:r>
      <w:r>
        <w:rPr>
          <w:lang w:val="fr-FR"/>
        </w:rPr>
        <w:t> </w:t>
      </w:r>
      <w:r w:rsidRPr="00E919A1">
        <w:rPr>
          <w:lang w:val="fr-FR"/>
        </w:rPr>
        <w:t>» figurent celle qui ont trait à la réforme de 2005 de la CEE et à l</w:t>
      </w:r>
      <w:r>
        <w:rPr>
          <w:lang w:val="fr-FR"/>
        </w:rPr>
        <w:t>’</w:t>
      </w:r>
      <w:r w:rsidRPr="00E919A1">
        <w:rPr>
          <w:lang w:val="fr-FR"/>
        </w:rPr>
        <w:t>examen de 2013 de la réforme de la CEE.</w:t>
      </w:r>
    </w:p>
    <w:p w:rsidR="003A38DC" w:rsidRPr="00E919A1" w:rsidRDefault="003A38DC" w:rsidP="003A38DC">
      <w:pPr>
        <w:pStyle w:val="H1G"/>
        <w:rPr>
          <w:lang w:val="fr-FR"/>
        </w:rPr>
      </w:pPr>
      <w:r>
        <w:rPr>
          <w:lang w:val="fr-FR"/>
        </w:rPr>
        <w:tab/>
      </w:r>
      <w:r w:rsidRPr="00E919A1">
        <w:rPr>
          <w:lang w:val="fr-FR"/>
        </w:rPr>
        <w:t>1.</w:t>
      </w:r>
      <w:r>
        <w:rPr>
          <w:lang w:val="fr-FR"/>
        </w:rPr>
        <w:tab/>
      </w:r>
      <w:r w:rsidRPr="00E919A1">
        <w:rPr>
          <w:lang w:val="fr-FR"/>
        </w:rPr>
        <w:t>Réforme de 2005 de la CEE</w:t>
      </w:r>
    </w:p>
    <w:p w:rsidR="003A38DC" w:rsidRPr="00E919A1" w:rsidRDefault="003A38DC" w:rsidP="003A38DC">
      <w:pPr>
        <w:pStyle w:val="SingleTxtG"/>
        <w:keepNext/>
        <w:rPr>
          <w:lang w:val="fr-FR"/>
        </w:rPr>
      </w:pPr>
      <w:r>
        <w:rPr>
          <w:lang w:val="fr-FR"/>
        </w:rPr>
        <w:t>2.</w:t>
      </w:r>
      <w:r w:rsidRPr="00E919A1">
        <w:rPr>
          <w:lang w:val="fr-FR"/>
        </w:rPr>
        <w:tab/>
        <w:t>Le document E/ECE/1434/Rev.1 résume les résultats de la réforme de 2005 de la CEE. S</w:t>
      </w:r>
      <w:r>
        <w:rPr>
          <w:lang w:val="fr-FR"/>
        </w:rPr>
        <w:t>’</w:t>
      </w:r>
      <w:r w:rsidRPr="00E919A1">
        <w:rPr>
          <w:lang w:val="fr-FR"/>
        </w:rPr>
        <w:t xml:space="preserve">agissant du sous-programme </w:t>
      </w:r>
      <w:r>
        <w:rPr>
          <w:lang w:val="fr-FR"/>
        </w:rPr>
        <w:t>« </w:t>
      </w:r>
      <w:r w:rsidRPr="00E919A1">
        <w:rPr>
          <w:lang w:val="fr-FR"/>
        </w:rPr>
        <w:t>Transports</w:t>
      </w:r>
      <w:r>
        <w:rPr>
          <w:lang w:val="fr-FR"/>
        </w:rPr>
        <w:t> </w:t>
      </w:r>
      <w:r w:rsidRPr="00E919A1">
        <w:rPr>
          <w:lang w:val="fr-FR"/>
        </w:rPr>
        <w:t>», telles en étaient les conclusions</w:t>
      </w:r>
      <w:r>
        <w:rPr>
          <w:lang w:val="fr-FR"/>
        </w:rPr>
        <w:t xml:space="preserve"> : </w:t>
      </w:r>
    </w:p>
    <w:p w:rsidR="003A38DC" w:rsidRPr="00E919A1" w:rsidRDefault="003A38DC" w:rsidP="003A38DC">
      <w:pPr>
        <w:pStyle w:val="SingleTxtG"/>
        <w:ind w:left="1701"/>
        <w:rPr>
          <w:i/>
          <w:iCs/>
        </w:rPr>
      </w:pPr>
      <w:r w:rsidRPr="009D2C72">
        <w:rPr>
          <w:iCs/>
          <w:lang w:val="fr-FR"/>
        </w:rPr>
        <w:t>« </w:t>
      </w:r>
      <w:r w:rsidRPr="00E919A1">
        <w:rPr>
          <w:i/>
          <w:iCs/>
        </w:rPr>
        <w:t>35.</w:t>
      </w:r>
      <w:r w:rsidRPr="00E919A1">
        <w:rPr>
          <w:i/>
          <w:iCs/>
        </w:rPr>
        <w:tab/>
        <w:t>Le Comité des transports intérieurs renforcera ses activités dans les domaines du franchissement des frontières et de la facilitation du commerce, en collaboration avec le Comité du commerce, et soumettra des propositions à ce sujet au Comité exécutif.</w:t>
      </w:r>
    </w:p>
    <w:p w:rsidR="003A38DC" w:rsidRPr="00E919A1" w:rsidRDefault="003A38DC" w:rsidP="003A38DC">
      <w:pPr>
        <w:pStyle w:val="SingleTxtG"/>
        <w:ind w:left="1701"/>
        <w:rPr>
          <w:i/>
          <w:iCs/>
        </w:rPr>
      </w:pPr>
      <w:r w:rsidRPr="00E919A1">
        <w:rPr>
          <w:i/>
          <w:iCs/>
        </w:rPr>
        <w:t>36.</w:t>
      </w:r>
      <w:r w:rsidRPr="00E919A1">
        <w:rPr>
          <w:i/>
          <w:iCs/>
        </w:rPr>
        <w:tab/>
        <w:t>En collaboration avec le Comité des politiques de l</w:t>
      </w:r>
      <w:r>
        <w:rPr>
          <w:i/>
          <w:iCs/>
        </w:rPr>
        <w:t>’</w:t>
      </w:r>
      <w:r w:rsidRPr="00E919A1">
        <w:rPr>
          <w:i/>
          <w:iCs/>
        </w:rPr>
        <w:t>environnement et en concertation avec l</w:t>
      </w:r>
      <w:r>
        <w:rPr>
          <w:i/>
          <w:iCs/>
        </w:rPr>
        <w:t>’</w:t>
      </w:r>
      <w:r w:rsidRPr="00E919A1">
        <w:rPr>
          <w:i/>
          <w:iCs/>
        </w:rPr>
        <w:t>OMS, le Comité des transports intérieurs renforcera ses activités concernant</w:t>
      </w:r>
      <w:r>
        <w:rPr>
          <w:i/>
          <w:iCs/>
        </w:rPr>
        <w:t> :</w:t>
      </w:r>
    </w:p>
    <w:p w:rsidR="003A38DC" w:rsidRPr="00FB6C37" w:rsidRDefault="003A38DC" w:rsidP="003A38DC">
      <w:pPr>
        <w:pStyle w:val="Bullet2G"/>
        <w:numPr>
          <w:ilvl w:val="0"/>
          <w:numId w:val="2"/>
        </w:numPr>
        <w:rPr>
          <w:i/>
        </w:rPr>
      </w:pPr>
      <w:r w:rsidRPr="00FB6C37">
        <w:rPr>
          <w:i/>
        </w:rPr>
        <w:t>Le Programme paneuropéen sur les transports, la santé et l’environnement (PPE</w:t>
      </w:r>
      <w:r w:rsidRPr="00FB6C37">
        <w:rPr>
          <w:i/>
        </w:rPr>
        <w:noBreakHyphen/>
        <w:t>TSE), y compris les efforts faits pour fournir de manière durable les ressources financières et les effectifs nécessaires au Mécanisme d’échange d’informations ;</w:t>
      </w:r>
    </w:p>
    <w:p w:rsidR="003A38DC" w:rsidRPr="00FB6C37" w:rsidRDefault="003A38DC" w:rsidP="003A38DC">
      <w:pPr>
        <w:pStyle w:val="Bullet2G"/>
        <w:numPr>
          <w:ilvl w:val="0"/>
          <w:numId w:val="2"/>
        </w:numPr>
        <w:rPr>
          <w:i/>
        </w:rPr>
      </w:pPr>
      <w:r w:rsidRPr="00FB6C37">
        <w:rPr>
          <w:i/>
        </w:rPr>
        <w:t>Les aspects des transports qui concernent l’environnement ;</w:t>
      </w:r>
    </w:p>
    <w:p w:rsidR="003A38DC" w:rsidRPr="00E919A1" w:rsidRDefault="003A38DC" w:rsidP="003A38DC">
      <w:pPr>
        <w:pStyle w:val="SingleTxtG"/>
        <w:ind w:left="1701"/>
        <w:rPr>
          <w:i/>
          <w:iCs/>
        </w:rPr>
      </w:pPr>
      <w:proofErr w:type="gramStart"/>
      <w:r w:rsidRPr="00E919A1">
        <w:rPr>
          <w:i/>
          <w:iCs/>
        </w:rPr>
        <w:t>et</w:t>
      </w:r>
      <w:proofErr w:type="gramEnd"/>
      <w:r w:rsidRPr="00E919A1">
        <w:rPr>
          <w:i/>
          <w:iCs/>
        </w:rPr>
        <w:t xml:space="preserve"> soumettra des propositions à ce sujet au Comité exécutif.</w:t>
      </w:r>
    </w:p>
    <w:p w:rsidR="003A38DC" w:rsidRPr="00E919A1" w:rsidRDefault="003A38DC" w:rsidP="003A38DC">
      <w:pPr>
        <w:pStyle w:val="SingleTxtG"/>
        <w:ind w:left="1701"/>
        <w:rPr>
          <w:i/>
          <w:iCs/>
        </w:rPr>
      </w:pPr>
      <w:r w:rsidRPr="00E919A1">
        <w:rPr>
          <w:i/>
          <w:iCs/>
        </w:rPr>
        <w:t>37.</w:t>
      </w:r>
      <w:r w:rsidRPr="00E919A1">
        <w:rPr>
          <w:i/>
          <w:iCs/>
        </w:rPr>
        <w:tab/>
        <w:t>Le Comité des transports intérieurs soumettra au Comité exécutif des propositions sur les moyens d</w:t>
      </w:r>
      <w:r>
        <w:rPr>
          <w:i/>
          <w:iCs/>
        </w:rPr>
        <w:t>’</w:t>
      </w:r>
      <w:r w:rsidRPr="00E919A1">
        <w:rPr>
          <w:i/>
          <w:iCs/>
        </w:rPr>
        <w:t>assurer le suivi de l</w:t>
      </w:r>
      <w:r>
        <w:rPr>
          <w:i/>
          <w:iCs/>
        </w:rPr>
        <w:t>’</w:t>
      </w:r>
      <w:r w:rsidRPr="00E919A1">
        <w:rPr>
          <w:i/>
          <w:iCs/>
        </w:rPr>
        <w:t>application des principaux instruments juridiques de la CEE relatifs aux transports, et notamment à la sécurité routière, et de renforcer la mise en œuvre de ces instruments.</w:t>
      </w:r>
    </w:p>
    <w:p w:rsidR="003A38DC" w:rsidRPr="00E919A1" w:rsidRDefault="003A38DC" w:rsidP="003A38DC">
      <w:pPr>
        <w:pStyle w:val="SingleTxtG"/>
        <w:ind w:left="1701"/>
        <w:rPr>
          <w:i/>
          <w:iCs/>
        </w:rPr>
      </w:pPr>
      <w:r w:rsidRPr="00E919A1">
        <w:rPr>
          <w:i/>
          <w:iCs/>
        </w:rPr>
        <w:t>38.</w:t>
      </w:r>
      <w:r w:rsidRPr="00E919A1">
        <w:rPr>
          <w:i/>
          <w:iCs/>
        </w:rPr>
        <w:tab/>
        <w:t>Le Comité des transports intérieurs présentera au Comité exécutif des propositions sur les moyens de développer les liaisons de transport Europe</w:t>
      </w:r>
      <w:r w:rsidRPr="00E919A1">
        <w:rPr>
          <w:i/>
          <w:iCs/>
        </w:rPr>
        <w:noBreakHyphen/>
        <w:t>Asie.</w:t>
      </w:r>
    </w:p>
    <w:p w:rsidR="003A38DC" w:rsidRPr="00E919A1" w:rsidRDefault="003A38DC" w:rsidP="003A38DC">
      <w:pPr>
        <w:pStyle w:val="SingleTxtG"/>
        <w:ind w:left="1701"/>
        <w:rPr>
          <w:i/>
          <w:iCs/>
        </w:rPr>
      </w:pPr>
      <w:r w:rsidRPr="00E919A1">
        <w:rPr>
          <w:i/>
          <w:iCs/>
        </w:rPr>
        <w:t>39.</w:t>
      </w:r>
      <w:r w:rsidRPr="00E919A1">
        <w:rPr>
          <w:i/>
          <w:iCs/>
        </w:rPr>
        <w:tab/>
        <w:t>Le Comité des transports intérieurs soumettra au Comité exécutif des propositions sur les moyens</w:t>
      </w:r>
      <w:r>
        <w:rPr>
          <w:i/>
          <w:iCs/>
        </w:rPr>
        <w:t> :</w:t>
      </w:r>
    </w:p>
    <w:p w:rsidR="003A38DC" w:rsidRPr="00FB6C37" w:rsidRDefault="003A38DC" w:rsidP="003A38DC">
      <w:pPr>
        <w:pStyle w:val="Bullet2G"/>
        <w:numPr>
          <w:ilvl w:val="0"/>
          <w:numId w:val="2"/>
        </w:numPr>
        <w:rPr>
          <w:i/>
        </w:rPr>
      </w:pPr>
      <w:r w:rsidRPr="00FB6C37">
        <w:rPr>
          <w:i/>
        </w:rPr>
        <w:t>De renforcer la Convention TIR ;</w:t>
      </w:r>
    </w:p>
    <w:p w:rsidR="003A38DC" w:rsidRPr="00FB6C37" w:rsidRDefault="003A38DC" w:rsidP="003A38DC">
      <w:pPr>
        <w:pStyle w:val="Bullet2G"/>
        <w:numPr>
          <w:ilvl w:val="0"/>
          <w:numId w:val="2"/>
        </w:numPr>
        <w:rPr>
          <w:i/>
        </w:rPr>
      </w:pPr>
      <w:r w:rsidRPr="00FB6C37">
        <w:rPr>
          <w:i/>
        </w:rPr>
        <w:t>D’assurer une plus grande transparence de la gestion de la Convention TIR.</w:t>
      </w:r>
      <w:r>
        <w:rPr>
          <w:i/>
        </w:rPr>
        <w:t> </w:t>
      </w:r>
      <w:r w:rsidRPr="00FB6C37">
        <w:t>».</w:t>
      </w:r>
    </w:p>
    <w:p w:rsidR="003A38DC" w:rsidRPr="00E919A1" w:rsidRDefault="003A38DC" w:rsidP="003A38DC">
      <w:pPr>
        <w:pStyle w:val="H1G"/>
        <w:rPr>
          <w:lang w:val="fr-FR"/>
        </w:rPr>
      </w:pPr>
      <w:r w:rsidRPr="00E919A1">
        <w:tab/>
      </w:r>
      <w:r w:rsidRPr="00E919A1">
        <w:rPr>
          <w:lang w:val="fr-FR"/>
        </w:rPr>
        <w:t>2.</w:t>
      </w:r>
      <w:r w:rsidRPr="00E919A1">
        <w:rPr>
          <w:lang w:val="fr-FR"/>
        </w:rPr>
        <w:tab/>
        <w:t>Examen de 2013 de la réforme de la CEE</w:t>
      </w:r>
    </w:p>
    <w:p w:rsidR="003A38DC" w:rsidRPr="00E919A1" w:rsidRDefault="003A38DC" w:rsidP="003A38DC">
      <w:pPr>
        <w:pStyle w:val="SingleTxtG"/>
        <w:keepNext/>
        <w:rPr>
          <w:lang w:val="fr-FR"/>
        </w:rPr>
      </w:pPr>
      <w:r w:rsidRPr="00E919A1">
        <w:rPr>
          <w:lang w:val="fr-FR"/>
        </w:rPr>
        <w:t>3.</w:t>
      </w:r>
      <w:r w:rsidRPr="00E919A1">
        <w:rPr>
          <w:lang w:val="fr-FR"/>
        </w:rPr>
        <w:tab/>
        <w:t xml:space="preserve">La décision </w:t>
      </w:r>
      <w:proofErr w:type="gramStart"/>
      <w:r>
        <w:rPr>
          <w:lang w:val="fr-FR"/>
        </w:rPr>
        <w:t>A(</w:t>
      </w:r>
      <w:proofErr w:type="gramEnd"/>
      <w:r>
        <w:rPr>
          <w:lang w:val="fr-FR"/>
        </w:rPr>
        <w:t>65)</w:t>
      </w:r>
      <w:r w:rsidRPr="00E919A1">
        <w:rPr>
          <w:lang w:val="fr-FR"/>
        </w:rPr>
        <w:t xml:space="preserve"> résume les résultats de l</w:t>
      </w:r>
      <w:r>
        <w:rPr>
          <w:lang w:val="fr-FR"/>
        </w:rPr>
        <w:t>’</w:t>
      </w:r>
      <w:r w:rsidRPr="00E919A1">
        <w:rPr>
          <w:lang w:val="fr-FR"/>
        </w:rPr>
        <w:t>examen de la réforme de 2005 de la CEE.</w:t>
      </w:r>
      <w:r>
        <w:rPr>
          <w:lang w:val="fr-FR"/>
        </w:rPr>
        <w:t xml:space="preserve"> </w:t>
      </w:r>
      <w:r w:rsidRPr="00E919A1">
        <w:rPr>
          <w:lang w:val="fr-FR"/>
        </w:rPr>
        <w:t>S</w:t>
      </w:r>
      <w:r>
        <w:rPr>
          <w:lang w:val="fr-FR"/>
        </w:rPr>
        <w:t>’</w:t>
      </w:r>
      <w:r w:rsidRPr="00E919A1">
        <w:rPr>
          <w:lang w:val="fr-FR"/>
        </w:rPr>
        <w:t>agissant du sous-programme «</w:t>
      </w:r>
      <w:r>
        <w:rPr>
          <w:lang w:val="fr-FR"/>
        </w:rPr>
        <w:t> </w:t>
      </w:r>
      <w:r w:rsidRPr="00E919A1">
        <w:rPr>
          <w:lang w:val="fr-FR"/>
        </w:rPr>
        <w:t>Transports</w:t>
      </w:r>
      <w:r>
        <w:rPr>
          <w:lang w:val="fr-FR"/>
        </w:rPr>
        <w:t> </w:t>
      </w:r>
      <w:r w:rsidRPr="00E919A1">
        <w:rPr>
          <w:lang w:val="fr-FR"/>
        </w:rPr>
        <w:t>», telles en étaient les conclusions</w:t>
      </w:r>
      <w:r>
        <w:rPr>
          <w:lang w:val="fr-FR"/>
        </w:rPr>
        <w:t> :</w:t>
      </w:r>
    </w:p>
    <w:p w:rsidR="003A38DC" w:rsidRPr="00E919A1" w:rsidRDefault="003A38DC" w:rsidP="003A38DC">
      <w:pPr>
        <w:pStyle w:val="SingleTxtG"/>
        <w:ind w:left="1701"/>
        <w:rPr>
          <w:i/>
          <w:lang w:val="fr-FR"/>
        </w:rPr>
      </w:pPr>
      <w:r w:rsidRPr="009D2C72">
        <w:rPr>
          <w:iCs/>
        </w:rPr>
        <w:t>« </w:t>
      </w:r>
      <w:r w:rsidRPr="00E919A1">
        <w:rPr>
          <w:i/>
          <w:iCs/>
          <w:lang w:val="fr-FR"/>
        </w:rPr>
        <w:t>9.</w:t>
      </w:r>
      <w:r w:rsidRPr="00E919A1">
        <w:rPr>
          <w:i/>
          <w:lang w:val="fr-FR"/>
        </w:rPr>
        <w:tab/>
        <w:t>Ce sous</w:t>
      </w:r>
      <w:r w:rsidRPr="00E919A1">
        <w:rPr>
          <w:i/>
          <w:lang w:val="fr-FR"/>
        </w:rPr>
        <w:noBreakHyphen/>
        <w:t xml:space="preserve">programme, qui occupe une place unique en son genre dans le système des Nations Unies, fournit une </w:t>
      </w:r>
      <w:r>
        <w:rPr>
          <w:i/>
          <w:lang w:val="fr-FR"/>
        </w:rPr>
        <w:t>plateforme</w:t>
      </w:r>
      <w:r w:rsidRPr="00E919A1">
        <w:rPr>
          <w:i/>
          <w:lang w:val="fr-FR"/>
        </w:rPr>
        <w:t xml:space="preserve"> d</w:t>
      </w:r>
      <w:r>
        <w:rPr>
          <w:i/>
          <w:lang w:val="fr-FR"/>
        </w:rPr>
        <w:t>’</w:t>
      </w:r>
      <w:r w:rsidRPr="00E919A1">
        <w:rPr>
          <w:i/>
          <w:lang w:val="fr-FR"/>
        </w:rPr>
        <w:t>ensemble, aux niveaux régional et mondial, pour l</w:t>
      </w:r>
      <w:r>
        <w:rPr>
          <w:i/>
          <w:lang w:val="fr-FR"/>
        </w:rPr>
        <w:t>’</w:t>
      </w:r>
      <w:r w:rsidRPr="00E919A1">
        <w:rPr>
          <w:i/>
          <w:lang w:val="fr-FR"/>
        </w:rPr>
        <w:t>examen de tous les aspects du développement des transports intérieurs et la coopération dans ce domaine. Le sous</w:t>
      </w:r>
      <w:r w:rsidRPr="00E919A1">
        <w:rPr>
          <w:i/>
          <w:lang w:val="fr-FR"/>
        </w:rPr>
        <w:noBreakHyphen/>
        <w:t xml:space="preserve">programme </w:t>
      </w:r>
      <w:r>
        <w:rPr>
          <w:i/>
          <w:lang w:val="fr-FR"/>
        </w:rPr>
        <w:t>“</w:t>
      </w:r>
      <w:r w:rsidRPr="00E919A1">
        <w:rPr>
          <w:i/>
          <w:lang w:val="fr-FR"/>
        </w:rPr>
        <w:t>Transports</w:t>
      </w:r>
      <w:r>
        <w:rPr>
          <w:i/>
          <w:lang w:val="fr-FR"/>
        </w:rPr>
        <w:t>”</w:t>
      </w:r>
      <w:r w:rsidRPr="00E919A1">
        <w:rPr>
          <w:i/>
          <w:lang w:val="fr-FR"/>
        </w:rPr>
        <w:t xml:space="preserve"> de la CEE, le Comité des transports intérieurs et les organes subsidiaires correspondants accomplissent efficacement leurs mandats actuels en produisant régulièrement et de manière continue des résultats concrets dont la valeur ajoutée est évidente tant pour la région qu</w:t>
      </w:r>
      <w:r>
        <w:rPr>
          <w:i/>
          <w:lang w:val="fr-FR"/>
        </w:rPr>
        <w:t>’</w:t>
      </w:r>
      <w:r w:rsidRPr="00E919A1">
        <w:rPr>
          <w:i/>
          <w:lang w:val="fr-FR"/>
        </w:rPr>
        <w:t>au</w:t>
      </w:r>
      <w:r w:rsidRPr="00E919A1">
        <w:rPr>
          <w:i/>
          <w:lang w:val="fr-FR"/>
        </w:rPr>
        <w:noBreakHyphen/>
        <w:t>delà.</w:t>
      </w:r>
    </w:p>
    <w:p w:rsidR="003A38DC" w:rsidRPr="00E919A1" w:rsidRDefault="003A38DC" w:rsidP="003A38DC">
      <w:pPr>
        <w:pStyle w:val="SingleTxtG"/>
        <w:keepNext/>
        <w:ind w:left="1701"/>
        <w:rPr>
          <w:i/>
          <w:lang w:val="fr-FR"/>
        </w:rPr>
      </w:pPr>
      <w:r w:rsidRPr="00E919A1">
        <w:rPr>
          <w:i/>
          <w:lang w:val="fr-FR"/>
        </w:rPr>
        <w:lastRenderedPageBreak/>
        <w:t>10.</w:t>
      </w:r>
      <w:r w:rsidRPr="00E919A1">
        <w:rPr>
          <w:i/>
          <w:lang w:val="fr-FR"/>
        </w:rPr>
        <w:tab/>
        <w:t>Compte tenu de ce qui précède</w:t>
      </w:r>
      <w:r>
        <w:rPr>
          <w:i/>
          <w:lang w:val="fr-FR"/>
        </w:rPr>
        <w:t> :</w:t>
      </w:r>
    </w:p>
    <w:p w:rsidR="003A38DC" w:rsidRPr="00E919A1" w:rsidRDefault="003A38DC" w:rsidP="003A38DC">
      <w:pPr>
        <w:pStyle w:val="SingleTxtG"/>
        <w:ind w:left="1701" w:firstLine="567"/>
        <w:rPr>
          <w:i/>
          <w:lang w:val="fr-FR"/>
        </w:rPr>
      </w:pPr>
      <w:r w:rsidRPr="00E919A1">
        <w:rPr>
          <w:i/>
          <w:lang w:val="fr-FR"/>
        </w:rPr>
        <w:t>a)</w:t>
      </w:r>
      <w:r w:rsidRPr="00E919A1">
        <w:rPr>
          <w:i/>
          <w:lang w:val="fr-FR"/>
        </w:rPr>
        <w:tab/>
        <w:t>Le sous-programme et les organes subsidiaires qui lui sont rattachés devraient poursuivre l</w:t>
      </w:r>
      <w:r>
        <w:rPr>
          <w:i/>
          <w:lang w:val="fr-FR"/>
        </w:rPr>
        <w:t>’</w:t>
      </w:r>
      <w:r w:rsidRPr="00E919A1">
        <w:rPr>
          <w:i/>
          <w:lang w:val="fr-FR"/>
        </w:rPr>
        <w:t>exécution des mandats existants sous la direction générale du Comité des transports intérieurs et du Comité exécutif. Une plus large place doit être accordée à l</w:t>
      </w:r>
      <w:r>
        <w:rPr>
          <w:i/>
          <w:lang w:val="fr-FR"/>
        </w:rPr>
        <w:t>’</w:t>
      </w:r>
      <w:r w:rsidRPr="00E919A1">
        <w:rPr>
          <w:i/>
          <w:lang w:val="fr-FR"/>
        </w:rPr>
        <w:t>harmonisation des règlements relatifs aux véhicules, à la sécurité de la circulation routière, au transport de marchandises dangereuses, à la facilitation du passage des frontières, notamment par la Convention TIR, à l</w:t>
      </w:r>
      <w:r>
        <w:rPr>
          <w:i/>
          <w:lang w:val="fr-FR"/>
        </w:rPr>
        <w:t>’</w:t>
      </w:r>
      <w:r w:rsidRPr="00E919A1">
        <w:rPr>
          <w:i/>
          <w:lang w:val="fr-FR"/>
        </w:rPr>
        <w:t>uniformisation du droit ferroviaire, à la mise en œuvre de l</w:t>
      </w:r>
      <w:r>
        <w:rPr>
          <w:i/>
          <w:lang w:val="fr-FR"/>
        </w:rPr>
        <w:t>’</w:t>
      </w:r>
      <w:r w:rsidRPr="00E919A1">
        <w:rPr>
          <w:i/>
          <w:lang w:val="fr-FR"/>
        </w:rPr>
        <w:t>Accord européen relatif au travail des équipages des véhicules effectuant des transports internationaux par route (AETR) et aux systèmes de transport intelligents. Les synergies entre ces domaines d</w:t>
      </w:r>
      <w:r>
        <w:rPr>
          <w:i/>
          <w:lang w:val="fr-FR"/>
        </w:rPr>
        <w:t>’</w:t>
      </w:r>
      <w:r w:rsidRPr="00E919A1">
        <w:rPr>
          <w:i/>
          <w:lang w:val="fr-FR"/>
        </w:rPr>
        <w:t>activité seront étudiées plus avant, l</w:t>
      </w:r>
      <w:r>
        <w:rPr>
          <w:i/>
          <w:lang w:val="fr-FR"/>
        </w:rPr>
        <w:t>’</w:t>
      </w:r>
      <w:r w:rsidRPr="00E919A1">
        <w:rPr>
          <w:i/>
          <w:lang w:val="fr-FR"/>
        </w:rPr>
        <w:t>objectif général étant de promouvoir des transports viables qui soient à la fois sûrs, propres et concurrentiels</w:t>
      </w:r>
      <w:r>
        <w:rPr>
          <w:i/>
          <w:lang w:val="fr-FR"/>
        </w:rPr>
        <w:t> ;</w:t>
      </w:r>
    </w:p>
    <w:p w:rsidR="003A38DC" w:rsidRDefault="003A38DC" w:rsidP="003A38DC">
      <w:pPr>
        <w:pStyle w:val="SingleTxtG"/>
        <w:ind w:left="1701" w:firstLine="567"/>
        <w:rPr>
          <w:i/>
          <w:lang w:val="fr-FR"/>
        </w:rPr>
      </w:pPr>
      <w:r w:rsidRPr="00E919A1">
        <w:rPr>
          <w:i/>
          <w:lang w:val="fr-FR"/>
        </w:rPr>
        <w:t>b)</w:t>
      </w:r>
      <w:r w:rsidRPr="00E919A1">
        <w:rPr>
          <w:i/>
          <w:lang w:val="fr-FR"/>
        </w:rPr>
        <w:tab/>
        <w:t>Dans l</w:t>
      </w:r>
      <w:r>
        <w:rPr>
          <w:i/>
          <w:lang w:val="fr-FR"/>
        </w:rPr>
        <w:t>’</w:t>
      </w:r>
      <w:r w:rsidRPr="00E919A1">
        <w:rPr>
          <w:i/>
          <w:lang w:val="fr-FR"/>
        </w:rPr>
        <w:t>affectation des ressources provenant du budget ordinaire, il faudrait tenir dûment compte des besoins croissants du sous</w:t>
      </w:r>
      <w:r w:rsidRPr="00E919A1">
        <w:rPr>
          <w:i/>
          <w:lang w:val="fr-FR"/>
        </w:rPr>
        <w:noBreakHyphen/>
        <w:t>programme et de la Division des transports afin qu</w:t>
      </w:r>
      <w:r>
        <w:rPr>
          <w:i/>
          <w:lang w:val="fr-FR"/>
        </w:rPr>
        <w:t>’</w:t>
      </w:r>
      <w:r w:rsidRPr="00E919A1">
        <w:rPr>
          <w:i/>
          <w:lang w:val="fr-FR"/>
        </w:rPr>
        <w:t>ils puissent, en disposant de plus de ressources et de capacités, exécuter les activités prévues et assurer à l</w:t>
      </w:r>
      <w:r>
        <w:rPr>
          <w:i/>
          <w:lang w:val="fr-FR"/>
        </w:rPr>
        <w:t>’</w:t>
      </w:r>
      <w:r w:rsidRPr="00E919A1">
        <w:rPr>
          <w:i/>
          <w:lang w:val="fr-FR"/>
        </w:rPr>
        <w:t>avenir les services nécessaires aux organes subsidiaires, en particulier dans les domaines mentionnés à l</w:t>
      </w:r>
      <w:r>
        <w:rPr>
          <w:i/>
          <w:lang w:val="fr-FR"/>
        </w:rPr>
        <w:t>’</w:t>
      </w:r>
      <w:r w:rsidRPr="00E919A1">
        <w:rPr>
          <w:i/>
          <w:lang w:val="fr-FR"/>
        </w:rPr>
        <w:t>alinéa a</w:t>
      </w:r>
      <w:r>
        <w:rPr>
          <w:i/>
          <w:lang w:val="fr-FR"/>
        </w:rPr>
        <w:t>)</w:t>
      </w:r>
      <w:r w:rsidRPr="00E919A1">
        <w:rPr>
          <w:i/>
          <w:lang w:val="fr-FR"/>
        </w:rPr>
        <w:t xml:space="preserve"> du paragraphe 10.</w:t>
      </w:r>
      <w:r w:rsidRPr="009D2C72">
        <w:rPr>
          <w:i/>
          <w:lang w:val="fr-FR"/>
        </w:rPr>
        <w:t> </w:t>
      </w:r>
      <w:r w:rsidRPr="00252795">
        <w:rPr>
          <w:lang w:val="fr-FR"/>
        </w:rPr>
        <w:t>».</w:t>
      </w:r>
    </w:p>
    <w:p w:rsidR="003A38DC" w:rsidRPr="00E919A1" w:rsidRDefault="003A38DC" w:rsidP="003A38DC">
      <w:pPr>
        <w:pStyle w:val="HChG"/>
        <w:rPr>
          <w:lang w:val="fr-FR"/>
        </w:rPr>
      </w:pPr>
      <w:r w:rsidRPr="00E919A1">
        <w:rPr>
          <w:lang w:val="fr-FR"/>
        </w:rPr>
        <w:br w:type="page"/>
      </w:r>
      <w:r w:rsidRPr="00E919A1">
        <w:rPr>
          <w:lang w:val="fr-FR"/>
        </w:rPr>
        <w:lastRenderedPageBreak/>
        <w:t>Annexe V</w:t>
      </w:r>
    </w:p>
    <w:p w:rsidR="003A38DC" w:rsidRPr="00E919A1" w:rsidRDefault="003A38DC" w:rsidP="003A38DC">
      <w:pPr>
        <w:pStyle w:val="HChG"/>
        <w:rPr>
          <w:lang w:val="fr-FR"/>
        </w:rPr>
      </w:pPr>
      <w:r>
        <w:rPr>
          <w:lang w:val="fr-FR"/>
        </w:rPr>
        <w:tab/>
      </w:r>
      <w:r>
        <w:rPr>
          <w:lang w:val="fr-FR"/>
        </w:rPr>
        <w:tab/>
      </w:r>
      <w:r w:rsidRPr="00E919A1">
        <w:rPr>
          <w:lang w:val="fr-FR"/>
        </w:rPr>
        <w:t>Mandat du Comité des transports intérieurs</w:t>
      </w:r>
    </w:p>
    <w:p w:rsidR="003A38DC" w:rsidRPr="00E919A1" w:rsidRDefault="003A38DC" w:rsidP="003A38DC">
      <w:pPr>
        <w:pStyle w:val="H4G"/>
        <w:rPr>
          <w:lang w:val="fr-FR"/>
        </w:rPr>
      </w:pPr>
      <w:r>
        <w:rPr>
          <w:lang w:val="fr-FR"/>
        </w:rPr>
        <w:tab/>
      </w:r>
      <w:r>
        <w:rPr>
          <w:lang w:val="fr-FR"/>
        </w:rPr>
        <w:tab/>
      </w:r>
      <w:r w:rsidRPr="00E919A1">
        <w:rPr>
          <w:lang w:val="fr-FR"/>
        </w:rPr>
        <w:t>[ECE/TRANS/97, p</w:t>
      </w:r>
      <w:r>
        <w:rPr>
          <w:lang w:val="fr-FR"/>
        </w:rPr>
        <w:t>.</w:t>
      </w:r>
      <w:r w:rsidRPr="00E919A1">
        <w:rPr>
          <w:lang w:val="fr-FR"/>
        </w:rPr>
        <w:t xml:space="preserve"> 39 et 40</w:t>
      </w:r>
      <w:r>
        <w:rPr>
          <w:lang w:val="fr-FR"/>
        </w:rPr>
        <w:t>, a</w:t>
      </w:r>
      <w:r w:rsidRPr="00E919A1">
        <w:rPr>
          <w:lang w:val="fr-FR"/>
        </w:rPr>
        <w:t xml:space="preserve">nnexe </w:t>
      </w:r>
      <w:r>
        <w:rPr>
          <w:lang w:val="fr-FR"/>
        </w:rPr>
        <w:t>2</w:t>
      </w:r>
      <w:r w:rsidRPr="00E919A1">
        <w:rPr>
          <w:lang w:val="fr-FR"/>
        </w:rPr>
        <w:t>]</w:t>
      </w:r>
    </w:p>
    <w:p w:rsidR="003A38DC" w:rsidRPr="00E919A1" w:rsidRDefault="003A38DC" w:rsidP="003A38DC">
      <w:pPr>
        <w:pStyle w:val="SingleTxtG"/>
        <w:ind w:firstLine="567"/>
        <w:rPr>
          <w:lang w:val="fr-FR"/>
        </w:rPr>
      </w:pPr>
      <w:r w:rsidRPr="00E919A1">
        <w:rPr>
          <w:lang w:val="fr-FR"/>
        </w:rPr>
        <w:t>a)</w:t>
      </w:r>
      <w:r>
        <w:rPr>
          <w:lang w:val="fr-FR"/>
        </w:rPr>
        <w:tab/>
      </w:r>
      <w:r w:rsidRPr="00E919A1">
        <w:rPr>
          <w:lang w:val="fr-FR"/>
        </w:rPr>
        <w:t>Le Comité des transports intérieurs constitue pour ses membres une tribune qui leur permet</w:t>
      </w:r>
      <w:r>
        <w:rPr>
          <w:lang w:val="fr-FR"/>
        </w:rPr>
        <w:t> :</w:t>
      </w:r>
      <w:r w:rsidRPr="00E919A1">
        <w:rPr>
          <w:lang w:val="fr-FR"/>
        </w:rPr>
        <w:t xml:space="preserve"> i)</w:t>
      </w:r>
      <w:r>
        <w:rPr>
          <w:lang w:val="fr-FR"/>
        </w:rPr>
        <w:t> </w:t>
      </w:r>
      <w:r w:rsidRPr="00E919A1">
        <w:rPr>
          <w:lang w:val="fr-FR"/>
        </w:rPr>
        <w:t>de collaborer et de se consulter sur la base d</w:t>
      </w:r>
      <w:r>
        <w:rPr>
          <w:lang w:val="fr-FR"/>
        </w:rPr>
        <w:t>’</w:t>
      </w:r>
      <w:r w:rsidRPr="00E919A1">
        <w:rPr>
          <w:lang w:val="fr-FR"/>
        </w:rPr>
        <w:t>un échange de données d</w:t>
      </w:r>
      <w:r>
        <w:rPr>
          <w:lang w:val="fr-FR"/>
        </w:rPr>
        <w:t>’</w:t>
      </w:r>
      <w:r w:rsidRPr="00E919A1">
        <w:rPr>
          <w:lang w:val="fr-FR"/>
        </w:rPr>
        <w:t>information et d</w:t>
      </w:r>
      <w:r>
        <w:rPr>
          <w:lang w:val="fr-FR"/>
        </w:rPr>
        <w:t>’</w:t>
      </w:r>
      <w:r w:rsidRPr="00E919A1">
        <w:rPr>
          <w:lang w:val="fr-FR"/>
        </w:rPr>
        <w:t>expérience</w:t>
      </w:r>
      <w:r>
        <w:rPr>
          <w:lang w:val="fr-FR"/>
        </w:rPr>
        <w:t> ;</w:t>
      </w:r>
      <w:r w:rsidRPr="00E919A1">
        <w:rPr>
          <w:lang w:val="fr-FR"/>
        </w:rPr>
        <w:t xml:space="preserve"> ii)</w:t>
      </w:r>
      <w:r>
        <w:rPr>
          <w:lang w:val="fr-FR"/>
        </w:rPr>
        <w:t> </w:t>
      </w:r>
      <w:r w:rsidRPr="00E919A1">
        <w:rPr>
          <w:lang w:val="fr-FR"/>
        </w:rPr>
        <w:t>d</w:t>
      </w:r>
      <w:r>
        <w:rPr>
          <w:lang w:val="fr-FR"/>
        </w:rPr>
        <w:t>’</w:t>
      </w:r>
      <w:r w:rsidRPr="00E919A1">
        <w:rPr>
          <w:lang w:val="fr-FR"/>
        </w:rPr>
        <w:t>analyser les tendances et l</w:t>
      </w:r>
      <w:r>
        <w:rPr>
          <w:lang w:val="fr-FR"/>
        </w:rPr>
        <w:t>’</w:t>
      </w:r>
      <w:r w:rsidRPr="00E919A1">
        <w:rPr>
          <w:lang w:val="fr-FR"/>
        </w:rPr>
        <w:t>économie des transports ainsi que les politiques des transports</w:t>
      </w:r>
      <w:r>
        <w:rPr>
          <w:lang w:val="fr-FR"/>
        </w:rPr>
        <w:t> ;</w:t>
      </w:r>
      <w:r w:rsidRPr="00E919A1">
        <w:rPr>
          <w:lang w:val="fr-FR"/>
        </w:rPr>
        <w:t xml:space="preserve"> et iii)</w:t>
      </w:r>
      <w:r>
        <w:rPr>
          <w:lang w:val="fr-FR"/>
        </w:rPr>
        <w:t> </w:t>
      </w:r>
      <w:r w:rsidRPr="00E919A1">
        <w:rPr>
          <w:lang w:val="fr-FR"/>
        </w:rPr>
        <w:t>de mener une action concertée dans le but d</w:t>
      </w:r>
      <w:r>
        <w:rPr>
          <w:lang w:val="fr-FR"/>
        </w:rPr>
        <w:t>’</w:t>
      </w:r>
      <w:r w:rsidRPr="00E919A1">
        <w:rPr>
          <w:lang w:val="fr-FR"/>
        </w:rPr>
        <w:t>instaurer, dans la région de la CEE, un système de transport efficace, cohérent, équilibré et souple qui soit fondé sur les principes d</w:t>
      </w:r>
      <w:r>
        <w:rPr>
          <w:lang w:val="fr-FR"/>
        </w:rPr>
        <w:t>’</w:t>
      </w:r>
      <w:r w:rsidRPr="00E919A1">
        <w:rPr>
          <w:lang w:val="fr-FR"/>
        </w:rPr>
        <w:t>une économie de marché, vise à assurer la sécurité, la protection de l</w:t>
      </w:r>
      <w:r>
        <w:rPr>
          <w:lang w:val="fr-FR"/>
        </w:rPr>
        <w:t>’</w:t>
      </w:r>
      <w:r w:rsidRPr="00E919A1">
        <w:rPr>
          <w:lang w:val="fr-FR"/>
        </w:rPr>
        <w:t>environnement et le rendement énergétique dans les transports et tienne compte des faits nouveaux et de la politique des gouvernements des pays membres dans le domaine des transports</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b)</w:t>
      </w:r>
      <w:r>
        <w:rPr>
          <w:lang w:val="fr-FR"/>
        </w:rPr>
        <w:tab/>
      </w:r>
      <w:r w:rsidRPr="00E919A1">
        <w:rPr>
          <w:lang w:val="fr-FR"/>
        </w:rPr>
        <w:t>Le Comité favorise l</w:t>
      </w:r>
      <w:r>
        <w:rPr>
          <w:lang w:val="fr-FR"/>
        </w:rPr>
        <w:t>’</w:t>
      </w:r>
      <w:r w:rsidRPr="00E919A1">
        <w:rPr>
          <w:lang w:val="fr-FR"/>
        </w:rPr>
        <w:t>harmonisation et l</w:t>
      </w:r>
      <w:r>
        <w:rPr>
          <w:lang w:val="fr-FR"/>
        </w:rPr>
        <w:t>’</w:t>
      </w:r>
      <w:r w:rsidRPr="00E919A1">
        <w:rPr>
          <w:lang w:val="fr-FR"/>
        </w:rPr>
        <w:t>amélioration des règlements techniques et opérationnels, des normes et des recommandations dans les différents domaines du transport intérieur, dans la région de la CEE, en particulier ceux de la sécurité routière, des véhicules routiers, du transport de marchandises dangereuses, des infrastructures et du transport combiné</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c)</w:t>
      </w:r>
      <w:r>
        <w:rPr>
          <w:lang w:val="fr-FR"/>
        </w:rPr>
        <w:tab/>
      </w:r>
      <w:r w:rsidRPr="00E919A1">
        <w:rPr>
          <w:lang w:val="fr-FR"/>
        </w:rPr>
        <w:t>Il contribue à faciliter les transports internationaux par route, par voie ferrée et par voie de navigation intérieure, grâce en particulier à la simplification et à l</w:t>
      </w:r>
      <w:r>
        <w:rPr>
          <w:lang w:val="fr-FR"/>
        </w:rPr>
        <w:t>’</w:t>
      </w:r>
      <w:r w:rsidRPr="00E919A1">
        <w:rPr>
          <w:lang w:val="fr-FR"/>
        </w:rPr>
        <w:t>harmonisation des formalités et de la documentation administratives au passage des frontières, notamment par l</w:t>
      </w:r>
      <w:r>
        <w:rPr>
          <w:lang w:val="fr-FR"/>
        </w:rPr>
        <w:t>’</w:t>
      </w:r>
      <w:r w:rsidRPr="00E919A1">
        <w:rPr>
          <w:lang w:val="fr-FR"/>
        </w:rPr>
        <w:t>échange de données informatisé (EDIFACT)</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d)</w:t>
      </w:r>
      <w:r>
        <w:rPr>
          <w:lang w:val="fr-FR"/>
        </w:rPr>
        <w:tab/>
      </w:r>
      <w:r w:rsidRPr="00E919A1">
        <w:rPr>
          <w:lang w:val="fr-FR"/>
        </w:rPr>
        <w:t>Il favorise le développement coordonné des infrastructures des transports par route, par voie ferrée, et par voie de navigation intérieure ainsi que pour le transport combiné, en vue de constituer, pour chaque mode, des réseaux cohérents de transports internationaux dans la région de la CEE</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e)</w:t>
      </w:r>
      <w:r>
        <w:rPr>
          <w:lang w:val="fr-FR"/>
        </w:rPr>
        <w:tab/>
      </w:r>
      <w:r w:rsidRPr="00E919A1">
        <w:rPr>
          <w:lang w:val="fr-FR"/>
        </w:rPr>
        <w:t>Le Comité poursuit l</w:t>
      </w:r>
      <w:r>
        <w:rPr>
          <w:lang w:val="fr-FR"/>
        </w:rPr>
        <w:t>’</w:t>
      </w:r>
      <w:r w:rsidRPr="00E919A1">
        <w:rPr>
          <w:lang w:val="fr-FR"/>
        </w:rPr>
        <w:t>objectif d</w:t>
      </w:r>
      <w:r>
        <w:rPr>
          <w:lang w:val="fr-FR"/>
        </w:rPr>
        <w:t>’</w:t>
      </w:r>
      <w:r w:rsidRPr="00E919A1">
        <w:rPr>
          <w:lang w:val="fr-FR"/>
        </w:rPr>
        <w:t>un développement durable des transports en contribuant à la réduction de l</w:t>
      </w:r>
      <w:r>
        <w:rPr>
          <w:lang w:val="fr-FR"/>
        </w:rPr>
        <w:t>’</w:t>
      </w:r>
      <w:r w:rsidRPr="00E919A1">
        <w:rPr>
          <w:lang w:val="fr-FR"/>
        </w:rPr>
        <w:t>impact négatif des transports sur l</w:t>
      </w:r>
      <w:r>
        <w:rPr>
          <w:lang w:val="fr-FR"/>
        </w:rPr>
        <w:t>’</w:t>
      </w:r>
      <w:r w:rsidRPr="00E919A1">
        <w:rPr>
          <w:lang w:val="fr-FR"/>
        </w:rPr>
        <w:t>environnement et à l</w:t>
      </w:r>
      <w:r>
        <w:rPr>
          <w:lang w:val="fr-FR"/>
        </w:rPr>
        <w:t>’</w:t>
      </w:r>
      <w:r w:rsidRPr="00E919A1">
        <w:rPr>
          <w:lang w:val="fr-FR"/>
        </w:rPr>
        <w:t>utilisation de modes de transport écologiquement rationnels en développant notamment le transport combiné</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f)</w:t>
      </w:r>
      <w:r>
        <w:rPr>
          <w:lang w:val="fr-FR"/>
        </w:rPr>
        <w:tab/>
      </w:r>
      <w:r w:rsidRPr="00E919A1">
        <w:rPr>
          <w:lang w:val="fr-FR"/>
        </w:rPr>
        <w:t>En vue d</w:t>
      </w:r>
      <w:r>
        <w:rPr>
          <w:lang w:val="fr-FR"/>
        </w:rPr>
        <w:t>’</w:t>
      </w:r>
      <w:r w:rsidRPr="00E919A1">
        <w:rPr>
          <w:lang w:val="fr-FR"/>
        </w:rPr>
        <w:t>atteindre ces objectifs et de s</w:t>
      </w:r>
      <w:r>
        <w:rPr>
          <w:lang w:val="fr-FR"/>
        </w:rPr>
        <w:t>’</w:t>
      </w:r>
      <w:r w:rsidRPr="00E919A1">
        <w:rPr>
          <w:lang w:val="fr-FR"/>
        </w:rPr>
        <w:t>acquitter des fonctions énumérées ci</w:t>
      </w:r>
      <w:r>
        <w:rPr>
          <w:lang w:val="fr-FR"/>
        </w:rPr>
        <w:noBreakHyphen/>
      </w:r>
      <w:r w:rsidRPr="00E919A1">
        <w:rPr>
          <w:lang w:val="fr-FR"/>
        </w:rPr>
        <w:t>dessus, le Comité des transports intérieurs élabore, administre et, le cas échéant, révise les accords, conventions et autres instruments internationaux ayant force obligatoire qui ont trait aux différents secteurs des transports intérieurs</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g)</w:t>
      </w:r>
      <w:r>
        <w:rPr>
          <w:lang w:val="fr-FR"/>
        </w:rPr>
        <w:tab/>
      </w:r>
      <w:r w:rsidRPr="00E919A1">
        <w:rPr>
          <w:lang w:val="fr-FR"/>
        </w:rPr>
        <w:t>Il met au point des méthodes et des définitions appropriées pour rassembler, établir et harmoniser les statistiques des transports à des fins de comparabilité et de compatibilité. Il évalue également la nécessité de rassembler et de coordonner des statistiques au niveau international et passe en revue les moyens propres à en améliorer la collecte, la présentation et la qualité</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h)</w:t>
      </w:r>
      <w:r>
        <w:rPr>
          <w:lang w:val="fr-FR"/>
        </w:rPr>
        <w:tab/>
      </w:r>
      <w:r w:rsidRPr="00E919A1">
        <w:rPr>
          <w:lang w:val="fr-FR"/>
        </w:rPr>
        <w:t>S</w:t>
      </w:r>
      <w:r>
        <w:rPr>
          <w:lang w:val="fr-FR"/>
        </w:rPr>
        <w:t>’</w:t>
      </w:r>
      <w:r w:rsidRPr="00E919A1">
        <w:rPr>
          <w:lang w:val="fr-FR"/>
        </w:rPr>
        <w:t>il lui en fait la demande, le Comité conseille et aide les membres de la CEE, en particulier ceux qui doivent faire face à des transformations économiques majeures, grâce à des ateliers, une formation et d</w:t>
      </w:r>
      <w:r>
        <w:rPr>
          <w:lang w:val="fr-FR"/>
        </w:rPr>
        <w:t>’</w:t>
      </w:r>
      <w:r w:rsidRPr="00E919A1">
        <w:rPr>
          <w:lang w:val="fr-FR"/>
        </w:rPr>
        <w:t>autres moyens appropriés concernant les problèmes de transport présentant un intérêt particulier, pour mettre au point des systèmes et des infrastructures qui soient compatibles avec ceux des territoires voisins de la région de la CEE</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i)</w:t>
      </w:r>
      <w:r>
        <w:rPr>
          <w:lang w:val="fr-FR"/>
        </w:rPr>
        <w:tab/>
      </w:r>
      <w:r w:rsidRPr="00E919A1">
        <w:rPr>
          <w:lang w:val="fr-FR"/>
        </w:rPr>
        <w:t>Le Comité procède à l</w:t>
      </w:r>
      <w:r>
        <w:rPr>
          <w:lang w:val="fr-FR"/>
        </w:rPr>
        <w:t>’</w:t>
      </w:r>
      <w:r w:rsidRPr="00E919A1">
        <w:rPr>
          <w:lang w:val="fr-FR"/>
        </w:rPr>
        <w:t>étude des problèmes qui se posent à la jonction entre les transports intérieurs et les transports maritimes et aériens dans la région de la CEE</w:t>
      </w:r>
      <w:r>
        <w:rPr>
          <w:lang w:val="fr-FR"/>
        </w:rPr>
        <w:t> ;</w:t>
      </w:r>
      <w:r w:rsidRPr="00E919A1">
        <w:rPr>
          <w:lang w:val="fr-FR"/>
        </w:rPr>
        <w:t xml:space="preserve"> </w:t>
      </w:r>
    </w:p>
    <w:p w:rsidR="003A38DC" w:rsidRPr="00E919A1" w:rsidRDefault="003A38DC" w:rsidP="003A38DC">
      <w:pPr>
        <w:pStyle w:val="SingleTxtG"/>
        <w:keepLines/>
        <w:ind w:firstLine="567"/>
        <w:rPr>
          <w:lang w:val="fr-FR"/>
        </w:rPr>
      </w:pPr>
      <w:r w:rsidRPr="00E919A1">
        <w:rPr>
          <w:lang w:val="fr-FR"/>
        </w:rPr>
        <w:lastRenderedPageBreak/>
        <w:t>j)</w:t>
      </w:r>
      <w:r>
        <w:rPr>
          <w:lang w:val="fr-FR"/>
        </w:rPr>
        <w:tab/>
      </w:r>
      <w:r w:rsidRPr="00E919A1">
        <w:rPr>
          <w:lang w:val="fr-FR"/>
        </w:rPr>
        <w:t>Pour s</w:t>
      </w:r>
      <w:r>
        <w:rPr>
          <w:lang w:val="fr-FR"/>
        </w:rPr>
        <w:t>’</w:t>
      </w:r>
      <w:r w:rsidRPr="00E919A1">
        <w:rPr>
          <w:lang w:val="fr-FR"/>
        </w:rPr>
        <w:t>acquitter de son mandat, le Comité collabore étroitement avec d</w:t>
      </w:r>
      <w:r>
        <w:rPr>
          <w:lang w:val="fr-FR"/>
        </w:rPr>
        <w:t>’</w:t>
      </w:r>
      <w:r w:rsidRPr="00E919A1">
        <w:rPr>
          <w:lang w:val="fr-FR"/>
        </w:rPr>
        <w:t>autres organes subsidiaires principaux de la CEE, la Communauté européenne, des organisations intergouvernementales, en particulier la CEMT, des organisations régionales de coopération économique, des institutions financières comme la BIRD, la BEI et la BERD, ainsi qu</w:t>
      </w:r>
      <w:r>
        <w:rPr>
          <w:lang w:val="fr-FR"/>
        </w:rPr>
        <w:t>’</w:t>
      </w:r>
      <w:r w:rsidRPr="00E919A1">
        <w:rPr>
          <w:lang w:val="fr-FR"/>
        </w:rPr>
        <w:t>avec des organisations non gouvernementales exerçant leurs activités dans le domaine des transports européens, en vue d</w:t>
      </w:r>
      <w:r>
        <w:rPr>
          <w:lang w:val="fr-FR"/>
        </w:rPr>
        <w:t>’</w:t>
      </w:r>
      <w:r w:rsidRPr="00E919A1">
        <w:rPr>
          <w:lang w:val="fr-FR"/>
        </w:rPr>
        <w:t>éviter les doubles emplois et de maximiser la contribution de chaque organisation à un développement cohérent des transports régionaux multilatéraux, à la sécurité, à l</w:t>
      </w:r>
      <w:r>
        <w:rPr>
          <w:lang w:val="fr-FR"/>
        </w:rPr>
        <w:t>’</w:t>
      </w:r>
      <w:r w:rsidRPr="00E919A1">
        <w:rPr>
          <w:lang w:val="fr-FR"/>
        </w:rPr>
        <w:t>environnement et, d</w:t>
      </w:r>
      <w:r>
        <w:rPr>
          <w:lang w:val="fr-FR"/>
        </w:rPr>
        <w:t>’</w:t>
      </w:r>
      <w:r w:rsidRPr="00E919A1">
        <w:rPr>
          <w:lang w:val="fr-FR"/>
        </w:rPr>
        <w:t xml:space="preserve">une façon générale, au développement économique et au profit des </w:t>
      </w:r>
      <w:r>
        <w:rPr>
          <w:lang w:val="fr-FR"/>
        </w:rPr>
        <w:t>É</w:t>
      </w:r>
      <w:r w:rsidRPr="00E919A1">
        <w:rPr>
          <w:lang w:val="fr-FR"/>
        </w:rPr>
        <w:t>tats membres</w:t>
      </w:r>
      <w:r>
        <w:rPr>
          <w:lang w:val="fr-FR"/>
        </w:rPr>
        <w:t> ;</w:t>
      </w:r>
      <w:r w:rsidRPr="00E919A1">
        <w:rPr>
          <w:lang w:val="fr-FR"/>
        </w:rPr>
        <w:t xml:space="preserve"> </w:t>
      </w:r>
    </w:p>
    <w:p w:rsidR="003A38DC" w:rsidRPr="00E919A1" w:rsidRDefault="003A38DC" w:rsidP="003A38DC">
      <w:pPr>
        <w:pStyle w:val="SingleTxtG"/>
        <w:ind w:firstLine="567"/>
        <w:rPr>
          <w:lang w:val="fr-FR"/>
        </w:rPr>
      </w:pPr>
      <w:r w:rsidRPr="00E919A1">
        <w:rPr>
          <w:lang w:val="fr-FR"/>
        </w:rPr>
        <w:t>k)</w:t>
      </w:r>
      <w:r>
        <w:rPr>
          <w:lang w:val="fr-FR"/>
        </w:rPr>
        <w:tab/>
      </w:r>
      <w:r w:rsidRPr="00E919A1">
        <w:rPr>
          <w:lang w:val="fr-FR"/>
        </w:rPr>
        <w:t xml:space="preserve"> Le Comité peut créer des organes subsidiaires ou organiser des réunions s</w:t>
      </w:r>
      <w:r>
        <w:rPr>
          <w:lang w:val="fr-FR"/>
        </w:rPr>
        <w:t>’</w:t>
      </w:r>
      <w:r w:rsidRPr="00E919A1">
        <w:rPr>
          <w:lang w:val="fr-FR"/>
        </w:rPr>
        <w:t>il le juge utile pour l</w:t>
      </w:r>
      <w:r>
        <w:rPr>
          <w:lang w:val="fr-FR"/>
        </w:rPr>
        <w:t>’</w:t>
      </w:r>
      <w:r w:rsidRPr="00E919A1">
        <w:rPr>
          <w:lang w:val="fr-FR"/>
        </w:rPr>
        <w:t>exécution de ce mandat.</w:t>
      </w:r>
    </w:p>
    <w:p w:rsidR="003A38DC" w:rsidRPr="00E919A1" w:rsidRDefault="003A38DC" w:rsidP="003A38DC">
      <w:pPr>
        <w:pStyle w:val="HChG"/>
        <w:rPr>
          <w:lang w:val="fr-FR"/>
        </w:rPr>
      </w:pPr>
      <w:r w:rsidRPr="00E919A1">
        <w:rPr>
          <w:lang w:val="fr-FR"/>
        </w:rPr>
        <w:br w:type="page"/>
      </w:r>
      <w:r w:rsidRPr="00E919A1">
        <w:rPr>
          <w:lang w:val="fr-FR"/>
        </w:rPr>
        <w:lastRenderedPageBreak/>
        <w:t>Annexe VI</w:t>
      </w:r>
    </w:p>
    <w:p w:rsidR="003A38DC" w:rsidRPr="00E919A1" w:rsidRDefault="003A38DC" w:rsidP="003A38DC">
      <w:pPr>
        <w:pStyle w:val="HChG"/>
        <w:rPr>
          <w:lang w:val="fr-FR"/>
        </w:rPr>
      </w:pPr>
      <w:r>
        <w:rPr>
          <w:lang w:val="fr-FR"/>
        </w:rPr>
        <w:tab/>
      </w:r>
      <w:r>
        <w:rPr>
          <w:lang w:val="fr-FR"/>
        </w:rPr>
        <w:tab/>
      </w:r>
      <w:r w:rsidRPr="00E919A1">
        <w:rPr>
          <w:lang w:val="fr-FR"/>
        </w:rPr>
        <w:t xml:space="preserve">Comité des transports intérieurs et structure </w:t>
      </w:r>
      <w:r>
        <w:rPr>
          <w:lang w:val="fr-FR"/>
        </w:rPr>
        <w:br/>
      </w:r>
      <w:r w:rsidRPr="00E919A1">
        <w:rPr>
          <w:lang w:val="fr-FR"/>
        </w:rPr>
        <w:t>du sous-programme « Transports »</w:t>
      </w:r>
    </w:p>
    <w:p w:rsidR="003A38DC" w:rsidRPr="00E919A1" w:rsidRDefault="003A38DC" w:rsidP="003A38DC">
      <w:pPr>
        <w:pStyle w:val="SingleTxtG"/>
        <w:rPr>
          <w:lang w:val="fr-FR"/>
        </w:rPr>
      </w:pPr>
      <w:r w:rsidRPr="00E919A1">
        <w:rPr>
          <w:lang w:val="fr-FR"/>
        </w:rPr>
        <w:t>1.</w:t>
      </w:r>
      <w:r w:rsidRPr="00E919A1">
        <w:rPr>
          <w:lang w:val="fr-FR"/>
        </w:rPr>
        <w:tab/>
      </w:r>
      <w:r w:rsidRPr="00E919A1">
        <w:rPr>
          <w:b/>
          <w:bCs/>
          <w:lang w:val="fr-FR"/>
        </w:rPr>
        <w:t>Qu</w:t>
      </w:r>
      <w:r>
        <w:rPr>
          <w:b/>
          <w:bCs/>
          <w:lang w:val="fr-FR"/>
        </w:rPr>
        <w:t>’</w:t>
      </w:r>
      <w:r w:rsidRPr="00E919A1">
        <w:rPr>
          <w:b/>
          <w:bCs/>
          <w:lang w:val="fr-FR"/>
        </w:rPr>
        <w:t xml:space="preserve">est-ce que </w:t>
      </w:r>
      <w:r>
        <w:rPr>
          <w:b/>
          <w:bCs/>
          <w:lang w:val="fr-FR"/>
        </w:rPr>
        <w:t>le CTI</w:t>
      </w:r>
      <w:r w:rsidRPr="00E919A1">
        <w:rPr>
          <w:b/>
          <w:bCs/>
          <w:lang w:val="fr-FR"/>
        </w:rPr>
        <w:t>, aux fins de cette stratégie ?</w:t>
      </w:r>
      <w:r w:rsidRPr="00E919A1">
        <w:rPr>
          <w:lang w:val="fr-FR"/>
        </w:rPr>
        <w:t xml:space="preserve"> Le CTI comprend au minimum le Comité lui-même, ses organes subsidiaires et le secrétariat qui leur fournit des services. L</w:t>
      </w:r>
      <w:r>
        <w:rPr>
          <w:lang w:val="fr-FR"/>
        </w:rPr>
        <w:t>’</w:t>
      </w:r>
      <w:r w:rsidRPr="00E919A1">
        <w:rPr>
          <w:lang w:val="fr-FR"/>
        </w:rPr>
        <w:t xml:space="preserve">examen du fonctionnement passé du Comité a mis en évidence que ses activités et son rôle ne pouvaient pas être évalués séparément. </w:t>
      </w:r>
    </w:p>
    <w:p w:rsidR="003A38DC" w:rsidRPr="00E919A1" w:rsidRDefault="003A38DC" w:rsidP="003A38DC">
      <w:pPr>
        <w:pStyle w:val="SingleTxtG"/>
        <w:rPr>
          <w:lang w:val="fr-FR"/>
        </w:rPr>
      </w:pPr>
      <w:r w:rsidRPr="00E919A1">
        <w:rPr>
          <w:lang w:val="fr-FR"/>
        </w:rPr>
        <w:t>2.</w:t>
      </w:r>
      <w:r w:rsidRPr="00E919A1">
        <w:rPr>
          <w:lang w:val="fr-FR"/>
        </w:rPr>
        <w:tab/>
        <w:t>Avec ses 20 groupes de travail appuyés par plus de 40 groupes d</w:t>
      </w:r>
      <w:r>
        <w:rPr>
          <w:lang w:val="fr-FR"/>
        </w:rPr>
        <w:t>’</w:t>
      </w:r>
      <w:r w:rsidRPr="00E919A1">
        <w:rPr>
          <w:lang w:val="fr-FR"/>
        </w:rPr>
        <w:t>experts et groupes dont l</w:t>
      </w:r>
      <w:r>
        <w:rPr>
          <w:lang w:val="fr-FR"/>
        </w:rPr>
        <w:t>’</w:t>
      </w:r>
      <w:r w:rsidRPr="00E919A1">
        <w:rPr>
          <w:lang w:val="fr-FR"/>
        </w:rPr>
        <w:t>activité principale consiste à administrer et à renforcer les accords et conventions conclus à l</w:t>
      </w:r>
      <w:r>
        <w:rPr>
          <w:lang w:val="fr-FR"/>
        </w:rPr>
        <w:t>’</w:t>
      </w:r>
      <w:r w:rsidRPr="00E919A1">
        <w:rPr>
          <w:lang w:val="fr-FR"/>
        </w:rPr>
        <w:t>échelon international dans le domaine des transports, et les 12 organes conventionnels (les comités de gestion) qui travaillent en étroite collaboration avec lesdits groupes, le Comité est devenu le dépositaire de 58 Conventions des Nations Unies relatives aux transports. Ses sessions annuelles, où les résultats de ses travaux sont présentés aux États membres, sont un temps fort de son activité. C</w:t>
      </w:r>
      <w:r>
        <w:rPr>
          <w:lang w:val="fr-FR"/>
        </w:rPr>
        <w:t>’</w:t>
      </w:r>
      <w:r w:rsidRPr="00E919A1">
        <w:rPr>
          <w:lang w:val="fr-FR"/>
        </w:rPr>
        <w:t>est pourquoi il est important d</w:t>
      </w:r>
      <w:r>
        <w:rPr>
          <w:lang w:val="fr-FR"/>
        </w:rPr>
        <w:t>’</w:t>
      </w:r>
      <w:r w:rsidRPr="00E919A1">
        <w:rPr>
          <w:lang w:val="fr-FR"/>
        </w:rPr>
        <w:t>avoir une vision d</w:t>
      </w:r>
      <w:r>
        <w:rPr>
          <w:lang w:val="fr-FR"/>
        </w:rPr>
        <w:t>’</w:t>
      </w:r>
      <w:r w:rsidRPr="00E919A1">
        <w:rPr>
          <w:lang w:val="fr-FR"/>
        </w:rPr>
        <w:t xml:space="preserve">ensemble et de considérer le Comité et ses activités en </w:t>
      </w:r>
      <w:r>
        <w:rPr>
          <w:lang w:val="fr-FR"/>
        </w:rPr>
        <w:t xml:space="preserve">incluant dans le champ de vision </w:t>
      </w:r>
      <w:r w:rsidRPr="00E919A1">
        <w:rPr>
          <w:lang w:val="fr-FR"/>
        </w:rPr>
        <w:t>la Division des transports durables de la CEE et son secrétariat (sous-programme «</w:t>
      </w:r>
      <w:r>
        <w:rPr>
          <w:lang w:val="fr-FR"/>
        </w:rPr>
        <w:t> </w:t>
      </w:r>
      <w:r w:rsidRPr="00E919A1">
        <w:rPr>
          <w:lang w:val="fr-FR"/>
        </w:rPr>
        <w:t>Transports</w:t>
      </w:r>
      <w:r>
        <w:rPr>
          <w:lang w:val="fr-FR"/>
        </w:rPr>
        <w:t> </w:t>
      </w:r>
      <w:r w:rsidRPr="00E919A1">
        <w:rPr>
          <w:lang w:val="fr-FR"/>
        </w:rPr>
        <w:t xml:space="preserve">» de la CEE). </w:t>
      </w:r>
    </w:p>
    <w:p w:rsidR="003A38DC" w:rsidRPr="00E919A1" w:rsidRDefault="003A38DC" w:rsidP="003A38DC">
      <w:pPr>
        <w:pStyle w:val="SingleTxtG"/>
        <w:rPr>
          <w:lang w:val="fr-FR"/>
        </w:rPr>
      </w:pPr>
      <w:r w:rsidRPr="00E919A1">
        <w:rPr>
          <w:lang w:val="fr-FR"/>
        </w:rPr>
        <w:t>3.</w:t>
      </w:r>
      <w:r w:rsidRPr="00E919A1">
        <w:rPr>
          <w:lang w:val="fr-FR"/>
        </w:rPr>
        <w:tab/>
        <w:t>Ledit secrétariat fournit aussi des services à d</w:t>
      </w:r>
      <w:r>
        <w:rPr>
          <w:lang w:val="fr-FR"/>
        </w:rPr>
        <w:t>’</w:t>
      </w:r>
      <w:r w:rsidRPr="00E919A1">
        <w:rPr>
          <w:lang w:val="fr-FR"/>
        </w:rPr>
        <w:t>autres organes intergouvernementaux, tels que le Comité d</w:t>
      </w:r>
      <w:r>
        <w:rPr>
          <w:lang w:val="fr-FR"/>
        </w:rPr>
        <w:t>’</w:t>
      </w:r>
      <w:r w:rsidRPr="00E919A1">
        <w:rPr>
          <w:lang w:val="fr-FR"/>
        </w:rPr>
        <w:t>experts du transport des marchandises dangereuses et le Système général harmonisé de classification et d</w:t>
      </w:r>
      <w:r>
        <w:rPr>
          <w:lang w:val="fr-FR"/>
        </w:rPr>
        <w:t>’</w:t>
      </w:r>
      <w:r w:rsidRPr="00E919A1">
        <w:rPr>
          <w:lang w:val="fr-FR"/>
        </w:rPr>
        <w:t>étiquetage des produits chimiques du Conseil économique et social, et à des organes conventionnels, tels que les comités de gestion des 12</w:t>
      </w:r>
      <w:r>
        <w:rPr>
          <w:lang w:val="fr-FR"/>
        </w:rPr>
        <w:t> </w:t>
      </w:r>
      <w:r w:rsidRPr="00E919A1">
        <w:rPr>
          <w:lang w:val="fr-FR"/>
        </w:rPr>
        <w:t>Conventions des Nations Unies et la Commission de contrôle TIR. Il appuie le Programme spécial des Nations Unies pour les pays d</w:t>
      </w:r>
      <w:r>
        <w:rPr>
          <w:lang w:val="fr-FR"/>
        </w:rPr>
        <w:t>’</w:t>
      </w:r>
      <w:r w:rsidRPr="00E919A1">
        <w:rPr>
          <w:lang w:val="fr-FR"/>
        </w:rPr>
        <w:t>Asie centrale en coopération avec la CESAP, avec laquelle il assure en alternance, tous les deux ans, le secrétariat du Groupe de travail thématique du transport durable, du transit et de la connectivité (SPECA). En outre, en coopération avec le Bureau régional de l</w:t>
      </w:r>
      <w:r>
        <w:rPr>
          <w:lang w:val="fr-FR"/>
        </w:rPr>
        <w:t>’</w:t>
      </w:r>
      <w:r w:rsidRPr="00E919A1">
        <w:rPr>
          <w:lang w:val="fr-FR"/>
        </w:rPr>
        <w:t>OMS pour l</w:t>
      </w:r>
      <w:r>
        <w:rPr>
          <w:lang w:val="fr-FR"/>
        </w:rPr>
        <w:t>’</w:t>
      </w:r>
      <w:r w:rsidRPr="00E919A1">
        <w:rPr>
          <w:lang w:val="fr-FR"/>
        </w:rPr>
        <w:t>Europe (OMS-Europe) et la Division de l</w:t>
      </w:r>
      <w:r>
        <w:rPr>
          <w:lang w:val="fr-FR"/>
        </w:rPr>
        <w:t>’</w:t>
      </w:r>
      <w:r w:rsidRPr="00E919A1">
        <w:rPr>
          <w:lang w:val="fr-FR"/>
        </w:rPr>
        <w:t>environnement de la CEE, il travaille pour le Programme paneuropéen sur les transports, la santé et l</w:t>
      </w:r>
      <w:r>
        <w:rPr>
          <w:lang w:val="fr-FR"/>
        </w:rPr>
        <w:t>’</w:t>
      </w:r>
      <w:r w:rsidRPr="00E919A1">
        <w:rPr>
          <w:lang w:val="fr-FR"/>
        </w:rPr>
        <w:t>environnement (PPE-TSE). En tant qu</w:t>
      </w:r>
      <w:r>
        <w:rPr>
          <w:lang w:val="fr-FR"/>
        </w:rPr>
        <w:t>’</w:t>
      </w:r>
      <w:r w:rsidRPr="00E919A1">
        <w:rPr>
          <w:lang w:val="fr-FR"/>
        </w:rPr>
        <w:t>agence d</w:t>
      </w:r>
      <w:r>
        <w:rPr>
          <w:lang w:val="fr-FR"/>
        </w:rPr>
        <w:t>’</w:t>
      </w:r>
      <w:r w:rsidRPr="00E919A1">
        <w:rPr>
          <w:lang w:val="fr-FR"/>
        </w:rPr>
        <w:t>exécution, il participe également, ès qualités, aux activités des comités de pilotage du projet d</w:t>
      </w:r>
      <w:r>
        <w:rPr>
          <w:lang w:val="fr-FR"/>
        </w:rPr>
        <w:t>’</w:t>
      </w:r>
      <w:r w:rsidRPr="00E919A1">
        <w:rPr>
          <w:lang w:val="fr-FR"/>
        </w:rPr>
        <w:t>autoroute transeuropéenne (TEM) et du projet de chemin de fer transeuropéen (TER). De plus, il entretient de longue date des liens institutionnels avec des parties prenantes essentielles telles que</w:t>
      </w:r>
      <w:r>
        <w:rPr>
          <w:lang w:val="fr-FR"/>
        </w:rPr>
        <w:t> :</w:t>
      </w:r>
      <w:r w:rsidRPr="00E919A1">
        <w:rPr>
          <w:lang w:val="fr-FR"/>
        </w:rPr>
        <w:t xml:space="preserve"> Eurostat et le Forum international des transports (OCDE)</w:t>
      </w:r>
      <w:r>
        <w:rPr>
          <w:lang w:val="fr-FR"/>
        </w:rPr>
        <w:t> ;</w:t>
      </w:r>
      <w:r w:rsidRPr="00E919A1">
        <w:rPr>
          <w:lang w:val="fr-FR"/>
        </w:rPr>
        <w:t xml:space="preserve"> des commissions fluviales telles que la CCNR et la Commission du Danube</w:t>
      </w:r>
      <w:r>
        <w:rPr>
          <w:lang w:val="fr-FR"/>
        </w:rPr>
        <w:t> ;</w:t>
      </w:r>
      <w:r w:rsidRPr="00E919A1">
        <w:rPr>
          <w:lang w:val="fr-FR"/>
        </w:rPr>
        <w:t xml:space="preserve"> l</w:t>
      </w:r>
      <w:r>
        <w:rPr>
          <w:lang w:val="fr-FR"/>
        </w:rPr>
        <w:t>’</w:t>
      </w:r>
      <w:r w:rsidRPr="00E919A1">
        <w:rPr>
          <w:lang w:val="fr-FR"/>
        </w:rPr>
        <w:t>Organisation mondiale des douanes. Enfin, il héberge le secrétariat de l</w:t>
      </w:r>
      <w:r>
        <w:rPr>
          <w:lang w:val="fr-FR"/>
        </w:rPr>
        <w:t>’</w:t>
      </w:r>
      <w:r w:rsidRPr="00E919A1">
        <w:rPr>
          <w:lang w:val="fr-FR"/>
        </w:rPr>
        <w:t>Envoyé spécial du Secrétaire général de l</w:t>
      </w:r>
      <w:r>
        <w:rPr>
          <w:lang w:val="fr-FR"/>
        </w:rPr>
        <w:t>’</w:t>
      </w:r>
      <w:r w:rsidRPr="00E919A1">
        <w:rPr>
          <w:lang w:val="fr-FR"/>
        </w:rPr>
        <w:t>ONU pour la sécurité routière (depuis 2015) et le Fonds d</w:t>
      </w:r>
      <w:r>
        <w:rPr>
          <w:lang w:val="fr-FR"/>
        </w:rPr>
        <w:t>’</w:t>
      </w:r>
      <w:r w:rsidRPr="00E919A1">
        <w:rPr>
          <w:lang w:val="fr-FR"/>
        </w:rPr>
        <w:t>affectation spéciale des Nations Unies pour la sécurité routière (depuis 2018). Tous ces organes travaillent en symbiose et cette collaboration est facilitée par le fait qu</w:t>
      </w:r>
      <w:r>
        <w:rPr>
          <w:lang w:val="fr-FR"/>
        </w:rPr>
        <w:t>’</w:t>
      </w:r>
      <w:r w:rsidRPr="00E919A1">
        <w:rPr>
          <w:lang w:val="fr-FR"/>
        </w:rPr>
        <w:t>ils disposent d</w:t>
      </w:r>
      <w:r>
        <w:rPr>
          <w:lang w:val="fr-FR"/>
        </w:rPr>
        <w:t>’</w:t>
      </w:r>
      <w:r w:rsidRPr="00E919A1">
        <w:rPr>
          <w:lang w:val="fr-FR"/>
        </w:rPr>
        <w:t>un secrétariat commun.</w:t>
      </w:r>
    </w:p>
    <w:p w:rsidR="003A38DC" w:rsidRDefault="003A38DC" w:rsidP="003A38DC">
      <w:pPr>
        <w:pStyle w:val="Heading1"/>
        <w:spacing w:after="120"/>
        <w:ind w:left="0"/>
        <w:rPr>
          <w:b/>
          <w:lang w:val="fr-FR"/>
        </w:rPr>
      </w:pPr>
      <w:r w:rsidRPr="00E919A1">
        <w:rPr>
          <w:lang w:val="fr-FR"/>
        </w:rPr>
        <w:br w:type="page"/>
      </w:r>
      <w:r w:rsidRPr="005240B1">
        <w:lastRenderedPageBreak/>
        <w:t>Figure</w:t>
      </w:r>
      <w:r w:rsidRPr="005240B1">
        <w:br/>
      </w:r>
      <w:r w:rsidRPr="005240B1">
        <w:rPr>
          <w:b/>
          <w:lang w:val="fr-FR"/>
        </w:rPr>
        <w:t>Structure intergouvernementale des instruments juridiques des Nations Unies ayant trait aux transports intérieurs et des activités dont le soutien logistique est assuré par le secrétariat de la CEE</w:t>
      </w:r>
    </w:p>
    <w:p w:rsidR="003A38DC" w:rsidRPr="00150DB2" w:rsidRDefault="003A38DC" w:rsidP="003A38DC">
      <w:bookmarkStart w:id="9" w:name="_Hlk244288"/>
      <w:r w:rsidRPr="000B4D40">
        <w:rPr>
          <w:noProof/>
        </w:rPr>
        <mc:AlternateContent>
          <mc:Choice Requires="wpg">
            <w:drawing>
              <wp:anchor distT="0" distB="0" distL="114300" distR="114300" simplePos="0" relativeHeight="251659264" behindDoc="0" locked="0" layoutInCell="1" allowOverlap="1" wp14:anchorId="08D2B232" wp14:editId="160AE994">
                <wp:simplePos x="0" y="0"/>
                <wp:positionH relativeFrom="column">
                  <wp:posOffset>9253</wp:posOffset>
                </wp:positionH>
                <wp:positionV relativeFrom="paragraph">
                  <wp:posOffset>33655</wp:posOffset>
                </wp:positionV>
                <wp:extent cx="6106957" cy="8316685"/>
                <wp:effectExtent l="57150" t="38100" r="65405" b="103505"/>
                <wp:wrapNone/>
                <wp:docPr id="4" name="Group 24">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06957" cy="8316685"/>
                          <a:chOff x="-18697" y="0"/>
                          <a:chExt cx="6638574" cy="9776292"/>
                        </a:xfrm>
                      </wpg:grpSpPr>
                      <wps:wsp>
                        <wps:cNvPr id="5" name="Elbow Connector 188"/>
                        <wps:cNvCnPr>
                          <a:cxnSpLocks/>
                        </wps:cNvCnPr>
                        <wps:spPr>
                          <a:xfrm rot="10800000" flipV="1">
                            <a:off x="1050262" y="6358639"/>
                            <a:ext cx="194179" cy="207830"/>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6" name="Elbow Connector 97"/>
                        <wps:cNvCnPr>
                          <a:cxnSpLocks/>
                        </wps:cNvCnPr>
                        <wps:spPr>
                          <a:xfrm rot="10800000" flipV="1">
                            <a:off x="1050261" y="5333292"/>
                            <a:ext cx="174112" cy="272689"/>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7" name="Straight Connector 115">
                          <a:extLst/>
                        </wps:cNvPr>
                        <wps:cNvCnPr>
                          <a:cxnSpLocks/>
                        </wps:cNvCnPr>
                        <wps:spPr>
                          <a:xfrm flipH="1">
                            <a:off x="2839539" y="9040555"/>
                            <a:ext cx="230459" cy="3687"/>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Connector 121"/>
                        <wps:cNvCnPr>
                          <a:cxnSpLocks/>
                        </wps:cNvCnPr>
                        <wps:spPr>
                          <a:xfrm flipH="1">
                            <a:off x="2053718" y="7824489"/>
                            <a:ext cx="723" cy="9643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9" name="Elbow Connector 65"/>
                        <wps:cNvCnPr>
                          <a:cxnSpLocks/>
                        </wps:cNvCnPr>
                        <wps:spPr>
                          <a:xfrm rot="10800000" flipV="1">
                            <a:off x="1054887" y="9044241"/>
                            <a:ext cx="164653" cy="472927"/>
                          </a:xfrm>
                          <a:prstGeom prst="bentConnector3">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0" name="Elbow Connector 179"/>
                        <wps:cNvCnPr>
                          <a:cxnSpLocks/>
                        </wps:cNvCnPr>
                        <wps:spPr>
                          <a:xfrm rot="10800000">
                            <a:off x="1050261" y="9027732"/>
                            <a:ext cx="169278" cy="16510"/>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1" name="Elbow Connector 182"/>
                        <wps:cNvCnPr>
                          <a:cxnSpLocks/>
                        </wps:cNvCnPr>
                        <wps:spPr>
                          <a:xfrm rot="10800000">
                            <a:off x="1061147" y="8542604"/>
                            <a:ext cx="158392" cy="501639"/>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2" name="Elbow Connector 185"/>
                        <wps:cNvCnPr>
                          <a:cxnSpLocks/>
                        </wps:cNvCnPr>
                        <wps:spPr>
                          <a:xfrm rot="10800000">
                            <a:off x="1050262" y="6097627"/>
                            <a:ext cx="194179" cy="261012"/>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3" name="Elbow Connector 191"/>
                        <wps:cNvCnPr>
                          <a:cxnSpLocks/>
                        </wps:cNvCnPr>
                        <wps:spPr>
                          <a:xfrm rot="10800000">
                            <a:off x="1050261" y="7072402"/>
                            <a:ext cx="194180" cy="387067"/>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4" name="Elbow Connector 194"/>
                        <wps:cNvCnPr>
                          <a:cxnSpLocks/>
                        </wps:cNvCnPr>
                        <wps:spPr>
                          <a:xfrm rot="10800000" flipV="1">
                            <a:off x="1050261" y="7459468"/>
                            <a:ext cx="194180" cy="127852"/>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5" name="Elbow Connector 197"/>
                        <wps:cNvCnPr>
                          <a:cxnSpLocks/>
                        </wps:cNvCnPr>
                        <wps:spPr>
                          <a:xfrm rot="10800000" flipV="1">
                            <a:off x="1057987" y="7459467"/>
                            <a:ext cx="186454" cy="609329"/>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6" name="Elbow Connector 200"/>
                        <wps:cNvCnPr>
                          <a:cxnSpLocks/>
                        </wps:cNvCnPr>
                        <wps:spPr>
                          <a:xfrm rot="10800000">
                            <a:off x="1050247" y="5136761"/>
                            <a:ext cx="174127" cy="196533"/>
                          </a:xfrm>
                          <a:prstGeom prst="bentConnector3">
                            <a:avLst>
                              <a:gd name="adj1" fmla="val 50000"/>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17" name="Elbow Connector 209"/>
                        <wps:cNvCnPr>
                          <a:cxnSpLocks/>
                        </wps:cNvCnPr>
                        <wps:spPr>
                          <a:xfrm rot="10800000" flipV="1">
                            <a:off x="2864441" y="6061626"/>
                            <a:ext cx="144376" cy="1397841"/>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18" name="Elbow Connector 212"/>
                        <wps:cNvCnPr>
                          <a:cxnSpLocks/>
                        </wps:cNvCnPr>
                        <wps:spPr>
                          <a:xfrm rot="10800000" flipV="1">
                            <a:off x="2864441" y="6497264"/>
                            <a:ext cx="144376" cy="962203"/>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19" name="Elbow Connector 215"/>
                        <wps:cNvCnPr>
                          <a:cxnSpLocks/>
                        </wps:cNvCnPr>
                        <wps:spPr>
                          <a:xfrm rot="10800000" flipV="1">
                            <a:off x="2864441" y="6932902"/>
                            <a:ext cx="144376" cy="526565"/>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20" name="Elbow Connector 218"/>
                        <wps:cNvCnPr>
                          <a:cxnSpLocks/>
                        </wps:cNvCnPr>
                        <wps:spPr>
                          <a:xfrm rot="10800000" flipV="1">
                            <a:off x="2864441" y="7368540"/>
                            <a:ext cx="144376" cy="90927"/>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21" name="Elbow Connector 221"/>
                        <wps:cNvCnPr>
                          <a:cxnSpLocks/>
                        </wps:cNvCnPr>
                        <wps:spPr>
                          <a:xfrm rot="10800000">
                            <a:off x="2864441" y="7459469"/>
                            <a:ext cx="144376" cy="344711"/>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22" name="Elbow Connector 287"/>
                        <wps:cNvCnPr>
                          <a:cxnSpLocks/>
                        </wps:cNvCnPr>
                        <wps:spPr>
                          <a:xfrm rot="10800000">
                            <a:off x="2864441" y="7459469"/>
                            <a:ext cx="144376" cy="780351"/>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23" name="Straight Connector 308"/>
                        <wps:cNvCnPr/>
                        <wps:spPr>
                          <a:xfrm flipH="1">
                            <a:off x="1050261" y="1199740"/>
                            <a:ext cx="194180" cy="2186"/>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24" name="Straight Connector 311"/>
                        <wps:cNvCnPr/>
                        <wps:spPr>
                          <a:xfrm flipH="1">
                            <a:off x="1050261" y="1710602"/>
                            <a:ext cx="19418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25" name="Straight Connector 314"/>
                        <wps:cNvCnPr>
                          <a:cxnSpLocks/>
                        </wps:cNvCnPr>
                        <wps:spPr>
                          <a:xfrm flipH="1">
                            <a:off x="1050261" y="2210236"/>
                            <a:ext cx="194180" cy="18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26" name="Elbow Connector 321"/>
                        <wps:cNvCnPr>
                          <a:cxnSpLocks/>
                        </wps:cNvCnPr>
                        <wps:spPr>
                          <a:xfrm rot="10800000">
                            <a:off x="4668425" y="684057"/>
                            <a:ext cx="532945" cy="1633163"/>
                          </a:xfrm>
                          <a:prstGeom prst="bentConnector3">
                            <a:avLst>
                              <a:gd name="adj1" fmla="val 50000"/>
                            </a:avLst>
                          </a:prstGeom>
                          <a:ln w="19050">
                            <a:solidFill>
                              <a:schemeClr val="accent3">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7" name="Elbow Connector 319"/>
                        <wps:cNvCnPr/>
                        <wps:spPr>
                          <a:xfrm rot="16200000" flipH="1">
                            <a:off x="4967779" y="1150673"/>
                            <a:ext cx="764594" cy="174460"/>
                          </a:xfrm>
                          <a:prstGeom prst="bentConnector2">
                            <a:avLst/>
                          </a:prstGeom>
                          <a:ln w="19050"/>
                        </wps:spPr>
                        <wps:style>
                          <a:lnRef idx="1">
                            <a:schemeClr val="accent1"/>
                          </a:lnRef>
                          <a:fillRef idx="0">
                            <a:schemeClr val="accent1"/>
                          </a:fillRef>
                          <a:effectRef idx="0">
                            <a:schemeClr val="accent1"/>
                          </a:effectRef>
                          <a:fontRef idx="minor">
                            <a:schemeClr val="tx1"/>
                          </a:fontRef>
                        </wps:style>
                        <wps:bodyPr/>
                      </wps:wsp>
                      <wps:wsp>
                        <wps:cNvPr id="28" name="Elbow Connector 157"/>
                        <wps:cNvCnPr/>
                        <wps:spPr>
                          <a:xfrm rot="16200000" flipH="1">
                            <a:off x="5190164" y="936736"/>
                            <a:ext cx="319822" cy="174461"/>
                          </a:xfrm>
                          <a:prstGeom prst="bentConnector2">
                            <a:avLst/>
                          </a:prstGeom>
                          <a:ln w="19050"/>
                        </wps:spPr>
                        <wps:style>
                          <a:lnRef idx="1">
                            <a:schemeClr val="accent1"/>
                          </a:lnRef>
                          <a:fillRef idx="0">
                            <a:schemeClr val="accent1"/>
                          </a:fillRef>
                          <a:effectRef idx="0">
                            <a:schemeClr val="accent1"/>
                          </a:effectRef>
                          <a:fontRef idx="minor">
                            <a:schemeClr val="tx1"/>
                          </a:fontRef>
                        </wps:style>
                        <wps:bodyPr/>
                      </wps:wsp>
                      <wps:wsp>
                        <wps:cNvPr id="29" name="Straight Connector 155"/>
                        <wps:cNvCnPr/>
                        <wps:spPr>
                          <a:xfrm flipV="1">
                            <a:off x="5809876" y="359997"/>
                            <a:ext cx="0" cy="135604"/>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0" name="Straight Connector 305"/>
                        <wps:cNvCnPr>
                          <a:cxnSpLocks/>
                        </wps:cNvCnPr>
                        <wps:spPr>
                          <a:xfrm flipH="1" flipV="1">
                            <a:off x="2864441" y="1199740"/>
                            <a:ext cx="205562" cy="218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1" name="Straight Connector 307"/>
                        <wps:cNvCnPr>
                          <a:cxnSpLocks/>
                        </wps:cNvCnPr>
                        <wps:spPr>
                          <a:xfrm flipH="1">
                            <a:off x="2864441" y="1709053"/>
                            <a:ext cx="205557" cy="154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 name="Elbow Connector 297"/>
                        <wps:cNvCnPr>
                          <a:cxnSpLocks/>
                          <a:stCxn id="49" idx="3"/>
                        </wps:cNvCnPr>
                        <wps:spPr>
                          <a:xfrm flipV="1">
                            <a:off x="2923175" y="3608324"/>
                            <a:ext cx="106435" cy="762"/>
                          </a:xfrm>
                          <a:prstGeom prst="bentConnector3">
                            <a:avLst/>
                          </a:prstGeom>
                          <a:ln w="19050"/>
                        </wps:spPr>
                        <wps:style>
                          <a:lnRef idx="1">
                            <a:schemeClr val="accent1"/>
                          </a:lnRef>
                          <a:fillRef idx="0">
                            <a:schemeClr val="accent1"/>
                          </a:fillRef>
                          <a:effectRef idx="0">
                            <a:schemeClr val="accent1"/>
                          </a:effectRef>
                          <a:fontRef idx="minor">
                            <a:schemeClr val="tx1"/>
                          </a:fontRef>
                        </wps:style>
                        <wps:bodyPr/>
                      </wps:wsp>
                      <wps:wsp>
                        <wps:cNvPr id="33" name="Elbow Connector 299"/>
                        <wps:cNvCnPr>
                          <a:cxnSpLocks/>
                        </wps:cNvCnPr>
                        <wps:spPr>
                          <a:xfrm>
                            <a:off x="2864441" y="3609284"/>
                            <a:ext cx="194181" cy="853490"/>
                          </a:xfrm>
                          <a:prstGeom prst="bentConnector3">
                            <a:avLst/>
                          </a:prstGeom>
                          <a:ln w="19050"/>
                        </wps:spPr>
                        <wps:style>
                          <a:lnRef idx="1">
                            <a:schemeClr val="accent1"/>
                          </a:lnRef>
                          <a:fillRef idx="0">
                            <a:schemeClr val="accent1"/>
                          </a:fillRef>
                          <a:effectRef idx="0">
                            <a:schemeClr val="accent1"/>
                          </a:effectRef>
                          <a:fontRef idx="minor">
                            <a:schemeClr val="tx1"/>
                          </a:fontRef>
                        </wps:style>
                        <wps:bodyPr/>
                      </wps:wsp>
                      <wps:wsp>
                        <wps:cNvPr id="34" name="Straight Connector 293"/>
                        <wps:cNvCnPr/>
                        <wps:spPr>
                          <a:xfrm flipH="1">
                            <a:off x="1050261" y="4642444"/>
                            <a:ext cx="19418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35" name="Flowchart: Alternate Process 1"/>
                        <wps:cNvSpPr/>
                        <wps:spPr>
                          <a:xfrm>
                            <a:off x="6261" y="504056"/>
                            <a:ext cx="4662163" cy="360000"/>
                          </a:xfrm>
                          <a:prstGeom prst="flowChartAlternateProcess">
                            <a:avLst/>
                          </a:prstGeom>
                          <a:ln w="12700"/>
                        </wps:spPr>
                        <wps:style>
                          <a:lnRef idx="3">
                            <a:schemeClr val="lt1"/>
                          </a:lnRef>
                          <a:fillRef idx="1">
                            <a:schemeClr val="accent1"/>
                          </a:fillRef>
                          <a:effectRef idx="1">
                            <a:schemeClr val="accent1"/>
                          </a:effectRef>
                          <a:fontRef idx="minor">
                            <a:schemeClr val="lt1"/>
                          </a:fontRef>
                        </wps:style>
                        <wps:txbx>
                          <w:txbxContent>
                            <w:p w:rsidR="003A38DC" w:rsidRPr="000B4D40" w:rsidRDefault="003A38DC" w:rsidP="003A38DC">
                              <w:pPr>
                                <w:pStyle w:val="NormalWeb"/>
                                <w:spacing w:before="0" w:beforeAutospacing="0" w:after="0" w:afterAutospacing="0"/>
                                <w:jc w:val="center"/>
                                <w:textAlignment w:val="baseline"/>
                              </w:pPr>
                              <w:r w:rsidRPr="000B4D40">
                                <w:rPr>
                                  <w:rFonts w:asciiTheme="minorHAnsi" w:hAnsi="Calibri" w:cstheme="minorBidi"/>
                                  <w:b/>
                                  <w:bCs/>
                                  <w:color w:val="FFFFFF" w:themeColor="background1"/>
                                  <w:kern w:val="24"/>
                                  <w:sz w:val="28"/>
                                  <w:szCs w:val="28"/>
                                </w:rPr>
                                <w:t>Comité des transports intérieurs</w:t>
                              </w:r>
                            </w:p>
                          </w:txbxContent>
                        </wps:txbx>
                        <wps:bodyPr tIns="0" bIns="0" rtlCol="0" anchor="ctr"/>
                      </wps:wsp>
                      <wpg:grpSp>
                        <wpg:cNvPr id="36" name="Group 11"/>
                        <wpg:cNvGrpSpPr/>
                        <wpg:grpSpPr>
                          <a:xfrm>
                            <a:off x="6261" y="6756001"/>
                            <a:ext cx="1112332" cy="1542332"/>
                            <a:chOff x="6261" y="6756001"/>
                            <a:chExt cx="1112332" cy="1542332"/>
                          </a:xfrm>
                        </wpg:grpSpPr>
                        <wps:wsp>
                          <wps:cNvPr id="37" name="Flowchart: Alternate Process 93"/>
                          <wps:cNvSpPr/>
                          <wps:spPr>
                            <a:xfrm>
                              <a:off x="6261" y="6756001"/>
                              <a:ext cx="1106416" cy="525034"/>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5C5F03"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AC.1</w:t>
                                </w:r>
                                <w:r w:rsidRPr="00F8093B">
                                  <w:rPr>
                                    <w:rFonts w:ascii="Calibri" w:hAnsi="Calibri" w:cs="Calibri"/>
                                    <w:bCs/>
                                    <w:color w:val="262626" w:themeColor="text1" w:themeTint="D9"/>
                                    <w:kern w:val="24"/>
                                    <w:sz w:val="16"/>
                                    <w:szCs w:val="16"/>
                                  </w:rPr>
                                  <w:t xml:space="preserve"> </w:t>
                                </w:r>
                                <w:r w:rsidRPr="005C5F03">
                                  <w:rPr>
                                    <w:rFonts w:ascii="Calibri" w:hAnsi="Calibri" w:cs="Calibri"/>
                                    <w:color w:val="262626" w:themeColor="text1" w:themeTint="D9"/>
                                    <w:kern w:val="24"/>
                                    <w:sz w:val="15"/>
                                    <w:szCs w:val="15"/>
                                  </w:rPr>
                                  <w:t>Prescriptions </w:t>
                                </w:r>
                                <w:r w:rsidRPr="005C5F03">
                                  <w:rPr>
                                    <w:rFonts w:ascii="Calibri" w:hAnsi="Calibri" w:cs="Calibri"/>
                                    <w:color w:val="262626" w:themeColor="text1" w:themeTint="D9"/>
                                    <w:kern w:val="24"/>
                                    <w:sz w:val="15"/>
                                    <w:szCs w:val="15"/>
                                  </w:rPr>
                                  <w:br/>
                                  <w:t xml:space="preserve">techniques uniformes </w:t>
                                </w:r>
                              </w:p>
                              <w:p w:rsidR="003A38DC" w:rsidRPr="005C5F03" w:rsidRDefault="003A38DC" w:rsidP="003A38DC">
                                <w:pPr>
                                  <w:pStyle w:val="NormalWeb"/>
                                  <w:spacing w:before="0" w:beforeAutospacing="0" w:after="0" w:afterAutospacing="0"/>
                                  <w:textAlignment w:val="baseline"/>
                                  <w:rPr>
                                    <w:sz w:val="15"/>
                                    <w:szCs w:val="15"/>
                                  </w:rPr>
                                </w:pPr>
                                <w:r w:rsidRPr="005C5F03">
                                  <w:rPr>
                                    <w:rFonts w:ascii="Calibri" w:hAnsi="Calibri" w:cs="Calibri"/>
                                    <w:color w:val="262626" w:themeColor="text1" w:themeTint="D9"/>
                                    <w:kern w:val="24"/>
                                    <w:sz w:val="15"/>
                                    <w:szCs w:val="15"/>
                                  </w:rPr>
                                  <w:t xml:space="preserve">Accord de 1958 </w:t>
                                </w:r>
                              </w:p>
                            </w:txbxContent>
                          </wps:txbx>
                          <wps:bodyPr lIns="54000" tIns="0" rIns="36000" bIns="0" rtlCol="0" anchor="ctr"/>
                        </wps:wsp>
                        <wps:wsp>
                          <wps:cNvPr id="38" name="Flowchart: Alternate Process 94"/>
                          <wps:cNvSpPr/>
                          <wps:spPr>
                            <a:xfrm>
                              <a:off x="12177" y="7307332"/>
                              <a:ext cx="1106416" cy="495579"/>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4D4704"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AC.3</w:t>
                                </w:r>
                                <w:r>
                                  <w:rPr>
                                    <w:rFonts w:ascii="Calibri" w:hAnsi="Calibri" w:cs="Calibri"/>
                                    <w:b/>
                                    <w:bCs/>
                                    <w:color w:val="262626" w:themeColor="text1" w:themeTint="D9"/>
                                    <w:kern w:val="24"/>
                                    <w:sz w:val="16"/>
                                    <w:szCs w:val="16"/>
                                  </w:rPr>
                                  <w:t xml:space="preserve"> </w:t>
                                </w:r>
                                <w:r w:rsidRPr="004D4704">
                                  <w:rPr>
                                    <w:rFonts w:ascii="Calibri" w:hAnsi="Calibri" w:cs="Calibri"/>
                                    <w:color w:val="262626" w:themeColor="text1" w:themeTint="D9"/>
                                    <w:kern w:val="24"/>
                                    <w:sz w:val="15"/>
                                    <w:szCs w:val="15"/>
                                  </w:rPr>
                                  <w:t>Règlements techniques mondiaux</w:t>
                                </w:r>
                              </w:p>
                              <w:p w:rsidR="003A38DC" w:rsidRPr="004D4704" w:rsidRDefault="003A38DC" w:rsidP="003A38DC">
                                <w:pPr>
                                  <w:pStyle w:val="NormalWeb"/>
                                  <w:spacing w:before="0" w:beforeAutospacing="0" w:after="0" w:afterAutospacing="0"/>
                                  <w:textAlignment w:val="baseline"/>
                                  <w:rPr>
                                    <w:sz w:val="15"/>
                                    <w:szCs w:val="15"/>
                                  </w:rPr>
                                </w:pPr>
                                <w:r w:rsidRPr="004D4704">
                                  <w:rPr>
                                    <w:rFonts w:ascii="Calibri" w:hAnsi="Calibri" w:cs="Calibri"/>
                                    <w:color w:val="262626" w:themeColor="text1" w:themeTint="D9"/>
                                    <w:kern w:val="24"/>
                                    <w:sz w:val="15"/>
                                    <w:szCs w:val="15"/>
                                  </w:rPr>
                                  <w:t>Accord de 1998</w:t>
                                </w:r>
                              </w:p>
                            </w:txbxContent>
                          </wps:txbx>
                          <wps:bodyPr lIns="54000" tIns="0" rIns="36000" bIns="0" rtlCol="0" anchor="ctr"/>
                        </wps:wsp>
                        <wps:wsp>
                          <wps:cNvPr id="39" name="Flowchart: Alternate Process 95"/>
                          <wps:cNvSpPr/>
                          <wps:spPr>
                            <a:xfrm>
                              <a:off x="8070" y="7832772"/>
                              <a:ext cx="1106416" cy="465561"/>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4D4704"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AC.4</w:t>
                                </w:r>
                                <w:r>
                                  <w:rPr>
                                    <w:rFonts w:ascii="Calibri" w:hAnsi="Calibri" w:cs="Calibri"/>
                                    <w:color w:val="262626" w:themeColor="text1" w:themeTint="D9"/>
                                    <w:kern w:val="24"/>
                                    <w:sz w:val="16"/>
                                    <w:szCs w:val="16"/>
                                  </w:rPr>
                                  <w:t xml:space="preserve"> </w:t>
                                </w:r>
                                <w:r w:rsidRPr="004D4704">
                                  <w:rPr>
                                    <w:rFonts w:ascii="Calibri" w:hAnsi="Calibri" w:cs="Calibri"/>
                                    <w:color w:val="262626" w:themeColor="text1" w:themeTint="D9"/>
                                    <w:kern w:val="24"/>
                                    <w:sz w:val="15"/>
                                    <w:szCs w:val="15"/>
                                  </w:rPr>
                                  <w:t>Contrôle technique périodique</w:t>
                                </w:r>
                              </w:p>
                              <w:p w:rsidR="003A38DC" w:rsidRPr="004D4704" w:rsidRDefault="003A38DC" w:rsidP="003A38DC">
                                <w:pPr>
                                  <w:pStyle w:val="NormalWeb"/>
                                  <w:spacing w:before="0" w:beforeAutospacing="0" w:after="0" w:afterAutospacing="0"/>
                                  <w:textAlignment w:val="baseline"/>
                                  <w:rPr>
                                    <w:sz w:val="15"/>
                                    <w:szCs w:val="15"/>
                                  </w:rPr>
                                </w:pPr>
                                <w:r w:rsidRPr="004D4704">
                                  <w:rPr>
                                    <w:rFonts w:ascii="Calibri" w:hAnsi="Calibri" w:cs="Calibri"/>
                                    <w:color w:val="262626" w:themeColor="text1" w:themeTint="D9"/>
                                    <w:kern w:val="24"/>
                                    <w:sz w:val="15"/>
                                    <w:szCs w:val="15"/>
                                  </w:rPr>
                                  <w:t>Accord de 1997</w:t>
                                </w:r>
                              </w:p>
                            </w:txbxContent>
                          </wps:txbx>
                          <wps:bodyPr lIns="54000" tIns="0" rIns="36000" bIns="0" rtlCol="0" anchor="ctr"/>
                        </wps:wsp>
                      </wpg:grpSp>
                      <wps:wsp>
                        <wps:cNvPr id="40" name="Flowchart: Alternate Process 12">
                          <a:hlinkClick r:id="" action="ppaction://noaction"/>
                        </wps:cNvPr>
                        <wps:cNvSpPr/>
                        <wps:spPr>
                          <a:xfrm>
                            <a:off x="3008785" y="5881460"/>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GRE</w:t>
                              </w:r>
                              <w:r w:rsidRPr="000B4D40">
                                <w:rPr>
                                  <w:rFonts w:ascii="Calibri" w:hAnsi="Calibri" w:cs="Calibri"/>
                                  <w:b/>
                                  <w:bCs/>
                                  <w:color w:val="FFFFFF" w:themeColor="background1"/>
                                  <w:kern w:val="24"/>
                                  <w:sz w:val="21"/>
                                  <w:szCs w:val="21"/>
                                </w:rPr>
                                <w:tab/>
                              </w:r>
                              <w:r>
                                <w:rPr>
                                  <w:rFonts w:asciiTheme="minorHAnsi" w:hAnsi="Calibri" w:cstheme="minorBidi"/>
                                  <w:color w:val="4F6228" w:themeColor="accent3" w:themeShade="80"/>
                                  <w:kern w:val="24"/>
                                  <w:sz w:val="16"/>
                                  <w:szCs w:val="16"/>
                                </w:rPr>
                                <w:t>É</w:t>
                              </w:r>
                              <w:r w:rsidRPr="000B4D40">
                                <w:rPr>
                                  <w:rFonts w:asciiTheme="minorHAnsi" w:hAnsi="Calibri" w:cstheme="minorBidi"/>
                                  <w:color w:val="4F6228" w:themeColor="accent3" w:themeShade="80"/>
                                  <w:kern w:val="24"/>
                                  <w:sz w:val="16"/>
                                  <w:szCs w:val="16"/>
                                </w:rPr>
                                <w:t>clairage et signalisation</w:t>
                              </w:r>
                              <w:r w:rsidRPr="000B4D40">
                                <w:rPr>
                                  <w:rFonts w:asciiTheme="minorHAnsi" w:hAnsi="Calibri" w:cstheme="minorBidi"/>
                                  <w:color w:val="4F6228" w:themeColor="accent3" w:themeShade="80"/>
                                  <w:kern w:val="24"/>
                                  <w:sz w:val="16"/>
                                  <w:szCs w:val="16"/>
                                </w:rPr>
                                <w:br/>
                              </w:r>
                              <w:r w:rsidRPr="000B4D40">
                                <w:rPr>
                                  <w:rFonts w:asciiTheme="minorHAnsi" w:hAnsi="Calibri" w:cstheme="minorBidi"/>
                                  <w:color w:val="4F6228" w:themeColor="accent3" w:themeShade="80"/>
                                  <w:kern w:val="24"/>
                                  <w:sz w:val="16"/>
                                  <w:szCs w:val="16"/>
                                </w:rPr>
                                <w:tab/>
                                <w:t>lumineuse</w:t>
                              </w:r>
                            </w:p>
                          </w:txbxContent>
                        </wps:txbx>
                        <wps:bodyPr lIns="54000" tIns="0" rIns="54000" bIns="0" rtlCol="0" anchor="ctr"/>
                      </wps:wsp>
                      <wps:wsp>
                        <wps:cNvPr id="41" name="Flowchart: Alternate Process 13">
                          <a:hlinkClick r:id="" action="ppaction://noaction"/>
                        </wps:cNvPr>
                        <wps:cNvSpPr/>
                        <wps:spPr>
                          <a:xfrm>
                            <a:off x="3008785" y="6317085"/>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GRVA</w:t>
                              </w:r>
                              <w:r w:rsidRPr="000B4D40">
                                <w:rPr>
                                  <w:rFonts w:ascii="Calibri" w:hAnsi="Calibri" w:cs="Calibri"/>
                                  <w:b/>
                                  <w:bCs/>
                                  <w:color w:val="4F6228" w:themeColor="accent3" w:themeShade="80"/>
                                  <w:kern w:val="24"/>
                                  <w:sz w:val="16"/>
                                  <w:szCs w:val="16"/>
                                </w:rPr>
                                <w:tab/>
                              </w:r>
                              <w:r w:rsidRPr="000B4D40">
                                <w:rPr>
                                  <w:rFonts w:asciiTheme="minorHAnsi" w:hAnsi="Calibri" w:cstheme="minorBidi"/>
                                  <w:color w:val="4F6228" w:themeColor="accent3" w:themeShade="80"/>
                                  <w:kern w:val="24"/>
                                  <w:sz w:val="16"/>
                                  <w:szCs w:val="16"/>
                                </w:rPr>
                                <w:t xml:space="preserve">Véhicules automatisés/ </w:t>
                              </w:r>
                              <w:r w:rsidRPr="000B4D40">
                                <w:rPr>
                                  <w:rFonts w:asciiTheme="minorHAnsi" w:hAnsi="Calibri" w:cstheme="minorBidi"/>
                                  <w:color w:val="4F6228" w:themeColor="accent3" w:themeShade="80"/>
                                  <w:kern w:val="24"/>
                                  <w:sz w:val="16"/>
                                  <w:szCs w:val="16"/>
                                </w:rPr>
                                <w:tab/>
                                <w:t xml:space="preserve">autonomes et connectés </w:t>
                              </w:r>
                            </w:p>
                          </w:txbxContent>
                        </wps:txbx>
                        <wps:bodyPr lIns="54000" tIns="0" rIns="54000" bIns="0" rtlCol="0" anchor="ctr"/>
                      </wps:wsp>
                      <wps:wsp>
                        <wps:cNvPr id="42" name="Flowchart: Alternate Process 14">
                          <a:hlinkClick r:id="" action="ppaction://noaction"/>
                        </wps:cNvPr>
                        <wps:cNvSpPr/>
                        <wps:spPr>
                          <a:xfrm>
                            <a:off x="3008785" y="6752712"/>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GRB</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Bruit</w:t>
                              </w:r>
                            </w:p>
                          </w:txbxContent>
                        </wps:txbx>
                        <wps:bodyPr lIns="54000" tIns="0" rIns="54000" bIns="0" rtlCol="0" anchor="ctr"/>
                      </wps:wsp>
                      <wps:wsp>
                        <wps:cNvPr id="43" name="Flowchart: Alternate Process 15">
                          <a:hlinkClick r:id="" action="ppaction://noaction"/>
                        </wps:cNvPr>
                        <wps:cNvSpPr/>
                        <wps:spPr>
                          <a:xfrm>
                            <a:off x="3008785" y="7188337"/>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GRPE</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Pollution et énergie</w:t>
                              </w:r>
                            </w:p>
                          </w:txbxContent>
                        </wps:txbx>
                        <wps:bodyPr lIns="54000" tIns="0" rIns="54000" bIns="0" rtlCol="0" anchor="ctr"/>
                      </wps:wsp>
                      <wps:wsp>
                        <wps:cNvPr id="44" name="Flowchart: Alternate Process 16">
                          <a:hlinkClick r:id="" action="ppaction://noaction"/>
                        </wps:cNvPr>
                        <wps:cNvSpPr/>
                        <wps:spPr>
                          <a:xfrm>
                            <a:off x="3008785" y="7623963"/>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GRSG</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Dispositions générales</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de sécurité</w:t>
                              </w:r>
                            </w:p>
                          </w:txbxContent>
                        </wps:txbx>
                        <wps:bodyPr lIns="54000" tIns="0" rIns="54000" bIns="0" rtlCol="0" anchor="ctr"/>
                      </wps:wsp>
                      <wps:wsp>
                        <wps:cNvPr id="45" name="Flowchart: Alternate Process 17">
                          <a:hlinkClick r:id="" action="ppaction://noaction"/>
                        </wps:cNvPr>
                        <wps:cNvSpPr/>
                        <wps:spPr>
                          <a:xfrm>
                            <a:off x="3008785" y="8059589"/>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GRSP</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Sécurité passive</w:t>
                              </w:r>
                            </w:p>
                          </w:txbxContent>
                        </wps:txbx>
                        <wps:bodyPr lIns="54000" tIns="0" rIns="54000" bIns="0" rtlCol="0" anchor="ctr"/>
                      </wps:wsp>
                      <wps:wsp>
                        <wps:cNvPr id="46" name="Flowchart: Alternate Process 10"/>
                        <wps:cNvSpPr/>
                        <wps:spPr>
                          <a:xfrm>
                            <a:off x="1203718" y="7019231"/>
                            <a:ext cx="1709929" cy="804633"/>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WP.29</w:t>
                              </w:r>
                              <w:r w:rsidRPr="000B4D40">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Forum mondial</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 l'harmonisation</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des Règlements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concernant</w:t>
                              </w:r>
                            </w:p>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Theme="minorHAnsi" w:hAnsi="Calibri" w:cstheme="minorBidi"/>
                                  <w:color w:val="FFFFFF" w:themeColor="light1"/>
                                  <w:kern w:val="24"/>
                                  <w:sz w:val="18"/>
                                  <w:szCs w:val="18"/>
                                </w:rPr>
                                <w:tab/>
                                <w:t>les véhicules</w:t>
                              </w:r>
                            </w:p>
                          </w:txbxContent>
                        </wps:txbx>
                        <wps:bodyPr lIns="54000" tIns="0" rIns="54000" bIns="0" rtlCol="0" anchor="ctr"/>
                      </wps:wsp>
                      <wps:wsp>
                        <wps:cNvPr id="47" name="Flowchart: Alternate Process 229">
                          <a:hlinkClick r:id="" action="ppaction://noaction"/>
                        </wps:cNvPr>
                        <wps:cNvSpPr/>
                        <wps:spPr>
                          <a:xfrm>
                            <a:off x="1159998" y="1019681"/>
                            <a:ext cx="1786844" cy="360000"/>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SC.1</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 routier</w:t>
                              </w:r>
                            </w:p>
                          </w:txbxContent>
                        </wps:txbx>
                        <wps:bodyPr lIns="54000" rIns="54000" rtlCol="0" anchor="ctr"/>
                      </wps:wsp>
                      <wps:wsp>
                        <wps:cNvPr id="48" name="Flowchart: Alternate Process 231">
                          <a:hlinkClick r:id="" action="ppaction://noaction"/>
                        </wps:cNvPr>
                        <wps:cNvSpPr/>
                        <wps:spPr>
                          <a:xfrm>
                            <a:off x="1159998" y="1530515"/>
                            <a:ext cx="1786844" cy="360000"/>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SC.2</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 ferroviaire</w:t>
                              </w:r>
                            </w:p>
                          </w:txbxContent>
                        </wps:txbx>
                        <wps:bodyPr lIns="54000" rIns="54000" rtlCol="0" anchor="ctr"/>
                      </wps:wsp>
                      <wps:wsp>
                        <wps:cNvPr id="49" name="Flowchart: Alternate Process 233">
                          <a:hlinkClick r:id="" action="ppaction://noaction"/>
                        </wps:cNvPr>
                        <wps:cNvSpPr/>
                        <wps:spPr>
                          <a:xfrm>
                            <a:off x="1203731" y="3401952"/>
                            <a:ext cx="1719444" cy="414280"/>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60" w:lineRule="exact"/>
                                <w:textAlignment w:val="baseline"/>
                              </w:pPr>
                              <w:r w:rsidRPr="000B4D40">
                                <w:rPr>
                                  <w:rFonts w:ascii="Calibri" w:hAnsi="Calibri" w:cs="Calibri"/>
                                  <w:b/>
                                  <w:bCs/>
                                  <w:color w:val="FFFFFF" w:themeColor="background1"/>
                                  <w:kern w:val="24"/>
                                  <w:sz w:val="22"/>
                                  <w:szCs w:val="22"/>
                                </w:rPr>
                                <w:t>WP.5</w:t>
                              </w:r>
                              <w:r w:rsidRPr="000B4D40">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 xml:space="preserve">Tendances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 xml:space="preserve">et économie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des transports</w:t>
                              </w:r>
                            </w:p>
                          </w:txbxContent>
                        </wps:txbx>
                        <wps:bodyPr lIns="54000" tIns="0" rIns="54000" bIns="0" rtlCol="0" anchor="ctr"/>
                      </wps:wsp>
                      <wps:wsp>
                        <wps:cNvPr id="50" name="Flowchart: Alternate Process 234"/>
                        <wps:cNvSpPr/>
                        <wps:spPr>
                          <a:xfrm>
                            <a:off x="1203731" y="3960215"/>
                            <a:ext cx="1719444" cy="360000"/>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WP.6</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 xml:space="preserve">Statistiques </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t>des transports</w:t>
                              </w:r>
                            </w:p>
                          </w:txbxContent>
                        </wps:txbx>
                        <wps:bodyPr lIns="54000" tIns="0" rIns="54000" bIns="0" rtlCol="0" anchor="ctr"/>
                      </wps:wsp>
                      <wps:wsp>
                        <wps:cNvPr id="51" name="Flowchart: Alternate Process 235">
                          <a:hlinkClick r:id="" action="ppaction://noaction"/>
                        </wps:cNvPr>
                        <wps:cNvSpPr/>
                        <wps:spPr>
                          <a:xfrm>
                            <a:off x="1203718" y="4462063"/>
                            <a:ext cx="1713540" cy="425957"/>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WP.11</w:t>
                              </w:r>
                              <w:r>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Transport des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denrées périssables </w:t>
                              </w:r>
                            </w:p>
                          </w:txbxContent>
                        </wps:txbx>
                        <wps:bodyPr lIns="54000" tIns="0" rIns="54000" bIns="0" rtlCol="0" anchor="ctr"/>
                      </wps:wsp>
                      <wps:wsp>
                        <wps:cNvPr id="52" name="Flowchart: Alternate Process 239">
                          <a:hlinkClick r:id="" action="ppaction://noaction"/>
                        </wps:cNvPr>
                        <wps:cNvSpPr/>
                        <wps:spPr>
                          <a:xfrm>
                            <a:off x="1219513" y="8779876"/>
                            <a:ext cx="1715483" cy="657318"/>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WP.30</w:t>
                              </w:r>
                              <w:r w:rsidRPr="000B4D40">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 xml:space="preserve">Franchissement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 xml:space="preserve">des frontières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et problèmes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 xml:space="preserve">douaniers </w:t>
                              </w:r>
                              <w:r w:rsidRPr="000B4D40">
                                <w:rPr>
                                  <w:rFonts w:ascii="Calibri" w:hAnsi="Calibri" w:cs="Calibri"/>
                                  <w:color w:val="FFFFFF" w:themeColor="background1"/>
                                  <w:kern w:val="24"/>
                                  <w:sz w:val="18"/>
                                  <w:szCs w:val="18"/>
                                </w:rPr>
                                <w:t>(TIR)</w:t>
                              </w:r>
                            </w:p>
                          </w:txbxContent>
                        </wps:txbx>
                        <wps:bodyPr lIns="54000" tIns="0" rIns="54000" bIns="0" rtlCol="0" anchor="ctr"/>
                      </wps:wsp>
                      <wpg:grpSp>
                        <wpg:cNvPr id="53" name="Group 18">
                          <a:extLst/>
                        </wpg:cNvPr>
                        <wpg:cNvGrpSpPr/>
                        <wpg:grpSpPr>
                          <a:xfrm>
                            <a:off x="-18697" y="8318697"/>
                            <a:ext cx="1118593" cy="1457595"/>
                            <a:chOff x="-18697" y="8318697"/>
                            <a:chExt cx="1118593" cy="1457595"/>
                          </a:xfrm>
                        </wpg:grpSpPr>
                        <wps:wsp>
                          <wps:cNvPr id="54" name="Flowchart: Alternate Process 247"/>
                          <wps:cNvSpPr/>
                          <wps:spPr>
                            <a:xfrm>
                              <a:off x="-6519" y="8318697"/>
                              <a:ext cx="1106415" cy="357123"/>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AC.2</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Convention TIR, 1975</w:t>
                                </w:r>
                              </w:p>
                            </w:txbxContent>
                          </wps:txbx>
                          <wps:bodyPr lIns="54000" tIns="0" rIns="36000" bIns="0" rtlCol="0" anchor="ctr"/>
                        </wps:wsp>
                        <wps:wsp>
                          <wps:cNvPr id="55" name="Flowchart: Alternate Process 248"/>
                          <wps:cNvSpPr/>
                          <wps:spPr>
                            <a:xfrm>
                              <a:off x="-17404" y="8700750"/>
                              <a:ext cx="1106415" cy="595685"/>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0B4D40" w:rsidRDefault="003A38DC" w:rsidP="003A38DC">
                                <w:pPr>
                                  <w:pStyle w:val="NormalWeb"/>
                                  <w:spacing w:before="0" w:beforeAutospacing="0" w:after="0" w:afterAutospacing="0" w:line="180" w:lineRule="exact"/>
                                  <w:textAlignment w:val="baseline"/>
                                </w:pPr>
                                <w:r w:rsidRPr="000B4D40">
                                  <w:rPr>
                                    <w:rFonts w:ascii="Calibri" w:hAnsi="Calibri" w:cs="Calibri"/>
                                    <w:b/>
                                    <w:bCs/>
                                    <w:color w:val="262626" w:themeColor="text1" w:themeTint="D9"/>
                                    <w:kern w:val="24"/>
                                    <w:sz w:val="16"/>
                                    <w:szCs w:val="16"/>
                                  </w:rPr>
                                  <w:t>AC.3</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Harmonisation des contrôles des marchandises aux frontières, 1982</w:t>
                                </w:r>
                              </w:p>
                            </w:txbxContent>
                          </wps:txbx>
                          <wps:bodyPr lIns="54000" tIns="0" rIns="36000" bIns="0" rtlCol="0" anchor="ctr"/>
                        </wps:wsp>
                        <wps:wsp>
                          <wps:cNvPr id="56" name="Flowchart: Alternate Process 249"/>
                          <wps:cNvSpPr/>
                          <wps:spPr>
                            <a:xfrm>
                              <a:off x="-18697" y="9313688"/>
                              <a:ext cx="1106415" cy="462604"/>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B31D29"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AC.4</w:t>
                                </w:r>
                                <w:r w:rsidRPr="000B4D40">
                                  <w:rPr>
                                    <w:rFonts w:ascii="Calibri" w:hAnsi="Calibri" w:cs="Calibri"/>
                                    <w:color w:val="262626" w:themeColor="text1" w:themeTint="D9"/>
                                    <w:kern w:val="24"/>
                                    <w:sz w:val="16"/>
                                    <w:szCs w:val="16"/>
                                  </w:rPr>
                                  <w:t xml:space="preserve">  </w:t>
                                </w:r>
                                <w:r w:rsidRPr="000B4D40">
                                  <w:rPr>
                                    <w:rFonts w:asciiTheme="minorHAnsi" w:hAnsi="Calibri" w:cstheme="minorBidi"/>
                                    <w:color w:val="FFFFFF" w:themeColor="light1"/>
                                    <w:kern w:val="24"/>
                                    <w:sz w:val="16"/>
                                    <w:szCs w:val="16"/>
                                  </w:rPr>
                                  <w:t xml:space="preserve"> </w:t>
                                </w:r>
                                <w:r w:rsidRPr="00B31D29">
                                  <w:rPr>
                                    <w:rFonts w:asciiTheme="minorHAnsi" w:hAnsi="Calibri" w:cstheme="minorBidi"/>
                                    <w:color w:val="000000" w:themeColor="text1"/>
                                    <w:kern w:val="24"/>
                                    <w:sz w:val="15"/>
                                    <w:szCs w:val="15"/>
                                  </w:rPr>
                                  <w:t>Régime douanier des conteneurs</w:t>
                                </w:r>
                                <w:r w:rsidRPr="00B31D29">
                                  <w:rPr>
                                    <w:rFonts w:ascii="Calibri" w:hAnsi="Calibri" w:cs="Calibri"/>
                                    <w:color w:val="000000" w:themeColor="text1"/>
                                    <w:kern w:val="24"/>
                                    <w:sz w:val="15"/>
                                    <w:szCs w:val="15"/>
                                  </w:rPr>
                                  <w:t>, 1994</w:t>
                                </w:r>
                              </w:p>
                            </w:txbxContent>
                          </wps:txbx>
                          <wps:bodyPr lIns="54000" tIns="0" rIns="36000" bIns="0" rtlCol="0" anchor="ctr"/>
                        </wps:wsp>
                      </wpg:grpSp>
                      <wps:wsp>
                        <wps:cNvPr id="57" name="Flowchart: Alternate Process 70">
                          <a:hlinkClick r:id="" action="ppaction://noaction"/>
                        </wps:cNvPr>
                        <wps:cNvSpPr>
                          <a:spLocks/>
                        </wps:cNvSpPr>
                        <wps:spPr>
                          <a:xfrm>
                            <a:off x="5213202" y="1900179"/>
                            <a:ext cx="1312708" cy="885263"/>
                          </a:xfrm>
                          <a:prstGeom prst="flowChartAlternateProcess">
                            <a:avLst/>
                          </a:prstGeom>
                          <a:solidFill>
                            <a:schemeClr val="accent4">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3A38DC" w:rsidRPr="000B4D40" w:rsidRDefault="003A38DC" w:rsidP="003A38DC">
                              <w:pPr>
                                <w:pStyle w:val="NormalWeb"/>
                                <w:spacing w:before="0" w:beforeAutospacing="0" w:after="0" w:afterAutospacing="0"/>
                                <w:jc w:val="center"/>
                              </w:pPr>
                              <w:r w:rsidRPr="000B4D40">
                                <w:rPr>
                                  <w:rFonts w:ascii="Calibri" w:hAnsi="Calibri" w:cstheme="minorBidi"/>
                                  <w:b/>
                                  <w:bCs/>
                                  <w:color w:val="4F6228" w:themeColor="accent3" w:themeShade="80"/>
                                  <w:kern w:val="24"/>
                                  <w:sz w:val="18"/>
                                  <w:szCs w:val="18"/>
                                </w:rPr>
                                <w:t xml:space="preserve">Programme paneuropéen </w:t>
                              </w:r>
                              <w:r w:rsidRPr="000B4D40">
                                <w:rPr>
                                  <w:rFonts w:ascii="Calibri" w:hAnsi="Calibri" w:cstheme="minorBidi"/>
                                  <w:b/>
                                  <w:bCs/>
                                  <w:color w:val="4F6228" w:themeColor="accent3" w:themeShade="80"/>
                                  <w:kern w:val="24"/>
                                  <w:sz w:val="18"/>
                                  <w:szCs w:val="18"/>
                                </w:rPr>
                                <w:br/>
                                <w:t xml:space="preserve">sur les transports, </w:t>
                              </w:r>
                              <w:r w:rsidRPr="000B4D40">
                                <w:rPr>
                                  <w:rFonts w:ascii="Calibri" w:hAnsi="Calibri" w:cstheme="minorBidi"/>
                                  <w:b/>
                                  <w:bCs/>
                                  <w:color w:val="4F6228" w:themeColor="accent3" w:themeShade="80"/>
                                  <w:kern w:val="24"/>
                                  <w:sz w:val="18"/>
                                  <w:szCs w:val="18"/>
                                </w:rPr>
                                <w:br/>
                                <w:t xml:space="preserve">la santé </w:t>
                              </w:r>
                              <w:r w:rsidRPr="000B4D40">
                                <w:rPr>
                                  <w:rFonts w:ascii="Calibri" w:hAnsi="Calibri" w:cstheme="minorBidi"/>
                                  <w:b/>
                                  <w:bCs/>
                                  <w:color w:val="4F6228" w:themeColor="accent3" w:themeShade="80"/>
                                  <w:kern w:val="24"/>
                                  <w:sz w:val="18"/>
                                  <w:szCs w:val="18"/>
                                </w:rPr>
                                <w:br/>
                                <w:t>et l</w:t>
                              </w:r>
                              <w:r>
                                <w:rPr>
                                  <w:rFonts w:ascii="Calibri" w:hAnsi="Calibri" w:cstheme="minorBidi"/>
                                  <w:b/>
                                  <w:bCs/>
                                  <w:color w:val="4F6228" w:themeColor="accent3" w:themeShade="80"/>
                                  <w:kern w:val="24"/>
                                  <w:sz w:val="18"/>
                                  <w:szCs w:val="18"/>
                                </w:rPr>
                                <w:t>’</w:t>
                              </w:r>
                              <w:r w:rsidRPr="000B4D40">
                                <w:rPr>
                                  <w:rFonts w:ascii="Calibri" w:hAnsi="Calibri" w:cstheme="minorBidi"/>
                                  <w:b/>
                                  <w:bCs/>
                                  <w:color w:val="4F6228" w:themeColor="accent3" w:themeShade="80"/>
                                  <w:kern w:val="24"/>
                                  <w:sz w:val="18"/>
                                  <w:szCs w:val="18"/>
                                </w:rPr>
                                <w:t xml:space="preserve">environnement  </w:t>
                              </w:r>
                            </w:p>
                            <w:p w:rsidR="003A38DC" w:rsidRPr="000B4D40" w:rsidRDefault="003A38DC" w:rsidP="003A38DC">
                              <w:pPr>
                                <w:pStyle w:val="NormalWeb"/>
                                <w:spacing w:before="0" w:beforeAutospacing="0" w:after="0" w:afterAutospacing="0"/>
                                <w:jc w:val="center"/>
                              </w:pPr>
                              <w:r w:rsidRPr="000B4D40">
                                <w:rPr>
                                  <w:rFonts w:ascii="Calibri" w:hAnsi="Calibri" w:cstheme="minorBidi"/>
                                  <w:b/>
                                  <w:bCs/>
                                  <w:color w:val="4F6228" w:themeColor="accent3" w:themeShade="80"/>
                                  <w:kern w:val="24"/>
                                  <w:sz w:val="18"/>
                                  <w:szCs w:val="18"/>
                                </w:rPr>
                                <w:t>(PPE-TSE)</w:t>
                              </w:r>
                            </w:p>
                          </w:txbxContent>
                        </wps:txbx>
                        <wps:bodyPr lIns="69683" tIns="34843" rIns="69683" bIns="34843" anchor="ctr"/>
                      </wps:wsp>
                      <wps:wsp>
                        <wps:cNvPr id="58" name="Straight Connector 27"/>
                        <wps:cNvCnPr>
                          <a:cxnSpLocks/>
                        </wps:cNvCnPr>
                        <wps:spPr>
                          <a:xfrm flipV="1">
                            <a:off x="2864441" y="2207143"/>
                            <a:ext cx="182462" cy="309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9" name="Flowchart: Alternate Process 232">
                          <a:hlinkClick r:id="" action="ppaction://noaction"/>
                        </wps:cNvPr>
                        <wps:cNvSpPr/>
                        <wps:spPr>
                          <a:xfrm>
                            <a:off x="1159986" y="2030241"/>
                            <a:ext cx="1786844" cy="426627"/>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60" w:lineRule="exact"/>
                                <w:textAlignment w:val="baseline"/>
                              </w:pPr>
                              <w:r w:rsidRPr="000B4D40">
                                <w:rPr>
                                  <w:rFonts w:ascii="Calibri" w:hAnsi="Calibri" w:cs="Calibri"/>
                                  <w:b/>
                                  <w:bCs/>
                                  <w:color w:val="FFFFFF" w:themeColor="background1"/>
                                  <w:kern w:val="24"/>
                                  <w:sz w:val="22"/>
                                  <w:szCs w:val="22"/>
                                </w:rPr>
                                <w:t>C.3</w:t>
                              </w:r>
                              <w:r>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Transport par voies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 navigation</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intérieures</w:t>
                              </w:r>
                            </w:p>
                          </w:txbxContent>
                        </wps:txbx>
                        <wps:bodyPr lIns="54000" tIns="0" rIns="54000" bIns="0" rtlCol="0" anchor="ctr"/>
                      </wps:wsp>
                      <wps:wsp>
                        <wps:cNvPr id="60" name="Flowchart: Alternate Process 242"/>
                        <wps:cNvSpPr/>
                        <wps:spPr>
                          <a:xfrm>
                            <a:off x="3046806" y="1926734"/>
                            <a:ext cx="1830120" cy="613311"/>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Default="003A38DC" w:rsidP="003A38DC">
                              <w:pPr>
                                <w:pStyle w:val="NormalWeb"/>
                                <w:tabs>
                                  <w:tab w:val="left" w:pos="570"/>
                                </w:tabs>
                                <w:spacing w:before="0" w:beforeAutospacing="0" w:after="0" w:afterAutospacing="0" w:line="180" w:lineRule="exact"/>
                                <w:textAlignment w:val="baseline"/>
                                <w:rPr>
                                  <w:rFonts w:ascii="Calibri" w:hAnsi="Calibri" w:cs="Calibri"/>
                                  <w:b/>
                                  <w:bCs/>
                                  <w:color w:val="4F6228" w:themeColor="accent3" w:themeShade="80"/>
                                  <w:kern w:val="24"/>
                                  <w:sz w:val="16"/>
                                  <w:szCs w:val="16"/>
                                </w:rPr>
                              </w:pPr>
                              <w:r w:rsidRPr="000B4D40">
                                <w:rPr>
                                  <w:rFonts w:ascii="Calibri" w:hAnsi="Calibri" w:cs="Calibri"/>
                                  <w:b/>
                                  <w:bCs/>
                                  <w:color w:val="4F6228" w:themeColor="accent3" w:themeShade="80"/>
                                  <w:kern w:val="24"/>
                                  <w:sz w:val="16"/>
                                  <w:szCs w:val="16"/>
                                </w:rPr>
                                <w:t>WP.3</w:t>
                              </w:r>
                              <w:r w:rsidRPr="000B4D40">
                                <w:rPr>
                                  <w:rFonts w:ascii="Calibri" w:hAnsi="Calibri" w:cs="Calibri"/>
                                  <w:b/>
                                  <w:bCs/>
                                  <w:color w:val="4F6228" w:themeColor="accent3" w:themeShade="80"/>
                                  <w:kern w:val="24"/>
                                  <w:sz w:val="16"/>
                                  <w:szCs w:val="16"/>
                                </w:rPr>
                                <w:tab/>
                              </w:r>
                              <w:r w:rsidRPr="000B4D40">
                                <w:rPr>
                                  <w:rFonts w:asciiTheme="minorHAnsi" w:hAnsi="Calibri" w:cstheme="minorBidi"/>
                                  <w:b/>
                                  <w:bCs/>
                                  <w:color w:val="FFFFFF" w:themeColor="light1"/>
                                  <w:kern w:val="24"/>
                                  <w:sz w:val="16"/>
                                  <w:szCs w:val="16"/>
                                </w:rPr>
                                <w:t xml:space="preserve"> </w:t>
                              </w:r>
                              <w:r w:rsidRPr="000B4D40">
                                <w:rPr>
                                  <w:rFonts w:asciiTheme="minorHAnsi" w:hAnsi="Calibri" w:cstheme="minorBidi"/>
                                  <w:b/>
                                  <w:bCs/>
                                  <w:color w:val="4F6228" w:themeColor="accent3" w:themeShade="80"/>
                                  <w:kern w:val="24"/>
                                  <w:sz w:val="16"/>
                                  <w:szCs w:val="16"/>
                                </w:rPr>
                                <w:t>U</w:t>
                              </w:r>
                              <w:r w:rsidRPr="000B4D40">
                                <w:rPr>
                                  <w:rFonts w:ascii="Calibri" w:hAnsi="Calibri" w:cs="Calibri"/>
                                  <w:b/>
                                  <w:bCs/>
                                  <w:color w:val="4F6228" w:themeColor="accent3" w:themeShade="80"/>
                                  <w:kern w:val="24"/>
                                  <w:sz w:val="16"/>
                                  <w:szCs w:val="16"/>
                                </w:rPr>
                                <w:t xml:space="preserve">nification </w:t>
                              </w:r>
                            </w:p>
                            <w:p w:rsidR="003A38DC" w:rsidRPr="000B4D40" w:rsidRDefault="003A38DC" w:rsidP="003A38DC">
                              <w:pPr>
                                <w:pStyle w:val="NormalWeb"/>
                                <w:tabs>
                                  <w:tab w:val="left" w:pos="570"/>
                                </w:tabs>
                                <w:spacing w:before="0" w:beforeAutospacing="0" w:after="0" w:afterAutospacing="0" w:line="180" w:lineRule="exact"/>
                                <w:textAlignment w:val="baseline"/>
                              </w:pPr>
                              <w:r>
                                <w:rPr>
                                  <w:rFonts w:ascii="Calibri" w:hAnsi="Calibri" w:cs="Calibri"/>
                                  <w:b/>
                                  <w:bCs/>
                                  <w:color w:val="4F6228" w:themeColor="accent3" w:themeShade="80"/>
                                  <w:kern w:val="24"/>
                                  <w:sz w:val="16"/>
                                  <w:szCs w:val="16"/>
                                </w:rPr>
                                <w:tab/>
                              </w:r>
                              <w:r w:rsidRPr="000B4D40">
                                <w:rPr>
                                  <w:rFonts w:ascii="Calibri" w:hAnsi="Calibri" w:cs="Calibri"/>
                                  <w:b/>
                                  <w:bCs/>
                                  <w:color w:val="4F6228" w:themeColor="accent3" w:themeShade="80"/>
                                  <w:kern w:val="24"/>
                                  <w:sz w:val="16"/>
                                  <w:szCs w:val="16"/>
                                </w:rPr>
                                <w:t xml:space="preserve">des prescriptions </w:t>
                              </w:r>
                              <w:r>
                                <w:rPr>
                                  <w:rFonts w:ascii="Calibri" w:hAnsi="Calibri" w:cs="Calibri"/>
                                  <w:b/>
                                  <w:bCs/>
                                  <w:color w:val="4F6228" w:themeColor="accent3" w:themeShade="80"/>
                                  <w:kern w:val="24"/>
                                  <w:sz w:val="16"/>
                                  <w:szCs w:val="16"/>
                                </w:rPr>
                                <w:br/>
                              </w:r>
                              <w:r>
                                <w:rPr>
                                  <w:rFonts w:ascii="Calibri" w:hAnsi="Calibri" w:cs="Calibri"/>
                                  <w:b/>
                                  <w:bCs/>
                                  <w:color w:val="4F6228" w:themeColor="accent3" w:themeShade="80"/>
                                  <w:kern w:val="24"/>
                                  <w:sz w:val="16"/>
                                  <w:szCs w:val="16"/>
                                </w:rPr>
                                <w:tab/>
                              </w:r>
                              <w:r w:rsidRPr="000B4D40">
                                <w:rPr>
                                  <w:rFonts w:ascii="Calibri" w:hAnsi="Calibri" w:cs="Calibri"/>
                                  <w:b/>
                                  <w:bCs/>
                                  <w:color w:val="4F6228" w:themeColor="accent3" w:themeShade="80"/>
                                  <w:kern w:val="24"/>
                                  <w:sz w:val="16"/>
                                  <w:szCs w:val="16"/>
                                </w:rPr>
                                <w:t xml:space="preserve">techniques et de sécurité </w:t>
                              </w:r>
                              <w:r>
                                <w:rPr>
                                  <w:rFonts w:ascii="Calibri" w:hAnsi="Calibri" w:cs="Calibri"/>
                                  <w:b/>
                                  <w:bCs/>
                                  <w:color w:val="4F6228" w:themeColor="accent3" w:themeShade="80"/>
                                  <w:kern w:val="24"/>
                                  <w:sz w:val="16"/>
                                  <w:szCs w:val="16"/>
                                </w:rPr>
                                <w:br/>
                              </w:r>
                              <w:r>
                                <w:rPr>
                                  <w:rFonts w:ascii="Calibri" w:hAnsi="Calibri" w:cs="Calibri"/>
                                  <w:b/>
                                  <w:bCs/>
                                  <w:color w:val="4F6228" w:themeColor="accent3" w:themeShade="80"/>
                                  <w:kern w:val="24"/>
                                  <w:sz w:val="16"/>
                                  <w:szCs w:val="16"/>
                                </w:rPr>
                                <w:tab/>
                              </w:r>
                              <w:r w:rsidRPr="000B4D40">
                                <w:rPr>
                                  <w:rFonts w:ascii="Calibri" w:hAnsi="Calibri" w:cs="Calibri"/>
                                  <w:b/>
                                  <w:bCs/>
                                  <w:color w:val="4F6228" w:themeColor="accent3" w:themeShade="80"/>
                                  <w:kern w:val="24"/>
                                  <w:sz w:val="16"/>
                                  <w:szCs w:val="16"/>
                                </w:rPr>
                                <w:t>en navigation intérieure</w:t>
                              </w:r>
                            </w:p>
                          </w:txbxContent>
                        </wps:txbx>
                        <wps:bodyPr lIns="54000" tIns="0" rIns="54000" bIns="0" rtlCol="0" anchor="ctr"/>
                      </wps:wsp>
                      <wps:wsp>
                        <wps:cNvPr id="61" name="Flowchart: Alternate Process 103">
                          <a:hlinkClick r:id="" action="ppaction://noaction"/>
                        </wps:cNvPr>
                        <wps:cNvSpPr/>
                        <wps:spPr>
                          <a:xfrm>
                            <a:off x="3069938" y="1021868"/>
                            <a:ext cx="1805742" cy="360000"/>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Groupe d’experts de l’AETR</w:t>
                              </w:r>
                            </w:p>
                          </w:txbxContent>
                        </wps:txbx>
                        <wps:bodyPr lIns="54000" rIns="54000" rtlCol="0" anchor="ctr"/>
                      </wps:wsp>
                      <wps:wsp>
                        <wps:cNvPr id="62" name="Flowchart: Alternate Process 107">
                          <a:hlinkClick r:id="" action="ppaction://noaction"/>
                        </wps:cNvPr>
                        <wps:cNvSpPr/>
                        <wps:spPr>
                          <a:xfrm>
                            <a:off x="3069933" y="1507577"/>
                            <a:ext cx="1805742" cy="402782"/>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line="180" w:lineRule="exact"/>
                                <w:textAlignment w:val="baseline"/>
                              </w:pPr>
                              <w:r w:rsidRPr="000B4D40">
                                <w:rPr>
                                  <w:rFonts w:ascii="Calibri" w:hAnsi="Calibri" w:cs="Calibri"/>
                                  <w:b/>
                                  <w:bCs/>
                                  <w:color w:val="4F6228" w:themeColor="accent3" w:themeShade="80"/>
                                  <w:kern w:val="24"/>
                                  <w:sz w:val="16"/>
                                  <w:szCs w:val="16"/>
                                </w:rPr>
                                <w:t>Groupe d’experts pour l'uniformisation du droit ferroviaire</w:t>
                              </w:r>
                            </w:p>
                          </w:txbxContent>
                        </wps:txbx>
                        <wps:bodyPr lIns="54000" tIns="0" rIns="54000" bIns="0" rtlCol="0" anchor="ctr"/>
                      </wps:wsp>
                      <wpg:grpSp>
                        <wpg:cNvPr id="63" name="Group 49"/>
                        <wpg:cNvGrpSpPr/>
                        <wpg:grpSpPr>
                          <a:xfrm>
                            <a:off x="3022539" y="3205447"/>
                            <a:ext cx="1746551" cy="1678700"/>
                            <a:chOff x="3020861" y="3205447"/>
                            <a:chExt cx="1827786" cy="1678700"/>
                          </a:xfrm>
                        </wpg:grpSpPr>
                        <wps:wsp>
                          <wps:cNvPr id="64" name="Flowchart: Alternate Process 108">
                            <a:hlinkClick r:id="" action="ppaction://noaction"/>
                          </wps:cNvPr>
                          <wps:cNvSpPr/>
                          <wps:spPr>
                            <a:xfrm>
                              <a:off x="3020861" y="3205447"/>
                              <a:ext cx="1827298" cy="965993"/>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d’experts chargé d’étudier les effets des changements climatiques sur les réseaux et nœuds de transport internationaux et l’adaptation</w:t>
                                </w:r>
                                <w:r>
                                  <w:rPr>
                                    <w:rFonts w:asciiTheme="minorHAnsi" w:hAnsi="Calibri" w:cstheme="minorBidi"/>
                                    <w:b/>
                                    <w:bCs/>
                                    <w:color w:val="4F6228" w:themeColor="accent3" w:themeShade="80"/>
                                    <w:kern w:val="24"/>
                                    <w:sz w:val="16"/>
                                    <w:szCs w:val="16"/>
                                  </w:rPr>
                                  <w:br/>
                                </w:r>
                                <w:r w:rsidRPr="000B4D40">
                                  <w:rPr>
                                    <w:rFonts w:asciiTheme="minorHAnsi" w:hAnsi="Calibri" w:cstheme="minorBidi"/>
                                    <w:b/>
                                    <w:bCs/>
                                    <w:color w:val="4F6228" w:themeColor="accent3" w:themeShade="80"/>
                                    <w:kern w:val="24"/>
                                    <w:sz w:val="16"/>
                                    <w:szCs w:val="16"/>
                                  </w:rPr>
                                  <w:t>à ces changements</w:t>
                                </w:r>
                              </w:p>
                            </w:txbxContent>
                          </wps:txbx>
                          <wps:bodyPr lIns="54000" tIns="0" rIns="54000" bIns="0" rtlCol="0" anchor="ctr"/>
                        </wps:wsp>
                        <wps:wsp>
                          <wps:cNvPr id="65" name="Flowchart: Alternate Process 109">
                            <a:hlinkClick r:id="" action="ppaction://noaction"/>
                          </wps:cNvPr>
                          <wps:cNvSpPr/>
                          <wps:spPr>
                            <a:xfrm>
                              <a:off x="3021350" y="4222744"/>
                              <a:ext cx="1827297" cy="661403"/>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w:t>
                                </w:r>
                                <w:r>
                                  <w:rPr>
                                    <w:rFonts w:asciiTheme="minorHAnsi" w:hAnsi="Calibri" w:cstheme="minorBidi"/>
                                    <w:b/>
                                    <w:bCs/>
                                    <w:color w:val="4F6228" w:themeColor="accent3" w:themeShade="80"/>
                                    <w:kern w:val="24"/>
                                    <w:sz w:val="16"/>
                                    <w:szCs w:val="16"/>
                                  </w:rPr>
                                  <w:t>’</w:t>
                                </w:r>
                                <w:r w:rsidRPr="000B4D40">
                                  <w:rPr>
                                    <w:rFonts w:asciiTheme="minorHAnsi" w:hAnsi="Calibri" w:cstheme="minorBidi"/>
                                    <w:b/>
                                    <w:bCs/>
                                    <w:color w:val="4F6228" w:themeColor="accent3" w:themeShade="80"/>
                                    <w:kern w:val="24"/>
                                    <w:sz w:val="16"/>
                                    <w:szCs w:val="16"/>
                                  </w:rPr>
                                  <w:t>experts</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de l’évaluation comparative des coûts de construction</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des infrastructures de transport</w:t>
                                </w:r>
                              </w:p>
                            </w:txbxContent>
                          </wps:txbx>
                          <wps:bodyPr lIns="54000" tIns="0" rIns="54000" bIns="0" rtlCol="0" anchor="ctr"/>
                        </wps:wsp>
                      </wpg:grpSp>
                      <wps:wsp>
                        <wps:cNvPr id="66" name="Flowchart: Alternate Process 124">
                          <a:hlinkClick r:id="" action="ppaction://noaction"/>
                        </wps:cNvPr>
                        <wps:cNvSpPr/>
                        <wps:spPr>
                          <a:xfrm>
                            <a:off x="5319425" y="1003793"/>
                            <a:ext cx="1295393" cy="41013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423"/>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C.3</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Sous-comité</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d’experts du TMD</w:t>
                              </w:r>
                            </w:p>
                          </w:txbxContent>
                        </wps:txbx>
                        <wps:bodyPr lIns="54000" tIns="0" rIns="54000" bIns="0" rtlCol="0" anchor="ctr"/>
                      </wps:wsp>
                      <wps:wsp>
                        <wps:cNvPr id="67" name="Flowchart: Alternate Process 125">
                          <a:hlinkClick r:id="" action="ppaction://noaction"/>
                        </wps:cNvPr>
                        <wps:cNvSpPr/>
                        <wps:spPr>
                          <a:xfrm>
                            <a:off x="5325284" y="1440118"/>
                            <a:ext cx="1289604" cy="396136"/>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423"/>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C.4</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Sous-comité</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d’experts du SGH</w:t>
                              </w:r>
                            </w:p>
                          </w:txbxContent>
                        </wps:txbx>
                        <wps:bodyPr lIns="54000" tIns="0" rIns="54000" bIns="0" rtlCol="0" anchor="ctr"/>
                      </wps:wsp>
                      <wps:wsp>
                        <wps:cNvPr id="68" name="Flowchart: Alternate Process 128">
                          <a:hlinkClick r:id="" action="ppaction://hlinksldjump?num=1"/>
                        </wps:cNvPr>
                        <wps:cNvSpPr/>
                        <wps:spPr>
                          <a:xfrm>
                            <a:off x="4999876" y="495601"/>
                            <a:ext cx="1620001" cy="429685"/>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AC.10</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 xml:space="preserve">Comité d’experts </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r>
                              <w:r w:rsidRPr="000B4D40">
                                <w:rPr>
                                  <w:rFonts w:asciiTheme="minorHAnsi" w:hAnsi="Calibri" w:cstheme="minorBidi"/>
                                  <w:color w:val="FFFFFF" w:themeColor="light1"/>
                                  <w:kern w:val="24"/>
                                  <w:sz w:val="18"/>
                                  <w:szCs w:val="18"/>
                                </w:rPr>
                                <w:t>du TMD et du SGH</w:t>
                              </w:r>
                            </w:p>
                          </w:txbxContent>
                        </wps:txbx>
                        <wps:bodyPr lIns="54000" tIns="0" rIns="54000" bIns="0" rtlCol="0" anchor="ctr"/>
                      </wps:wsp>
                      <wps:wsp>
                        <wps:cNvPr id="69" name="Flowchart: Alternate Process 129"/>
                        <wps:cNvSpPr/>
                        <wps:spPr>
                          <a:xfrm>
                            <a:off x="3911259" y="0"/>
                            <a:ext cx="2708544" cy="360000"/>
                          </a:xfrm>
                          <a:prstGeom prst="flowChartAlternateProcess">
                            <a:avLst/>
                          </a:prstGeom>
                          <a:solidFill>
                            <a:schemeClr val="tx2">
                              <a:lumMod val="75000"/>
                            </a:schemeClr>
                          </a:solidFill>
                          <a:ln w="12700"/>
                        </wps:spPr>
                        <wps:style>
                          <a:lnRef idx="3">
                            <a:schemeClr val="lt1"/>
                          </a:lnRef>
                          <a:fillRef idx="1">
                            <a:schemeClr val="accent1"/>
                          </a:fillRef>
                          <a:effectRef idx="1">
                            <a:schemeClr val="accent1"/>
                          </a:effectRef>
                          <a:fontRef idx="minor">
                            <a:schemeClr val="lt1"/>
                          </a:fontRef>
                        </wps:style>
                        <wps:txbx>
                          <w:txbxContent>
                            <w:p w:rsidR="003A38DC" w:rsidRPr="000B4D40" w:rsidRDefault="003A38DC" w:rsidP="003A38DC">
                              <w:pPr>
                                <w:pStyle w:val="NormalWeb"/>
                                <w:spacing w:before="0" w:beforeAutospacing="0" w:after="0" w:afterAutospacing="0"/>
                                <w:jc w:val="center"/>
                                <w:textAlignment w:val="baseline"/>
                              </w:pPr>
                              <w:r w:rsidRPr="000B4D40">
                                <w:rPr>
                                  <w:rFonts w:asciiTheme="minorHAnsi" w:hAnsi="Calibri" w:cstheme="minorBidi"/>
                                  <w:b/>
                                  <w:bCs/>
                                  <w:color w:val="FFFFFF" w:themeColor="background1"/>
                                  <w:kern w:val="24"/>
                                  <w:sz w:val="28"/>
                                  <w:szCs w:val="28"/>
                                </w:rPr>
                                <w:t>Conseil économique et social</w:t>
                              </w:r>
                            </w:p>
                          </w:txbxContent>
                        </wps:txbx>
                        <wps:bodyPr tIns="0" bIns="0" rtlCol="0" anchor="ctr"/>
                      </wps:wsp>
                      <wps:wsp>
                        <wps:cNvPr id="70" name="Flowchart: Alternate Process 237">
                          <a:hlinkClick r:id="" action="ppaction://noaction"/>
                        </wps:cNvPr>
                        <wps:cNvSpPr/>
                        <wps:spPr>
                          <a:xfrm>
                            <a:off x="1203717" y="6054909"/>
                            <a:ext cx="1709929" cy="554949"/>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WP.24</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r>
                              <w:r w:rsidRPr="000B4D40">
                                <w:rPr>
                                  <w:rFonts w:asciiTheme="minorHAnsi" w:hAnsi="Calibri" w:cstheme="minorBidi"/>
                                  <w:color w:val="FFFFFF" w:themeColor="light1"/>
                                  <w:kern w:val="24"/>
                                  <w:sz w:val="18"/>
                                  <w:szCs w:val="18"/>
                                </w:rPr>
                                <w:t>intermodal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et logistique</w:t>
                              </w:r>
                            </w:p>
                          </w:txbxContent>
                        </wps:txbx>
                        <wps:bodyPr lIns="54000" tIns="0" rIns="54000" bIns="0" rtlCol="0" anchor="ctr"/>
                      </wps:wsp>
                      <wpg:grpSp>
                        <wpg:cNvPr id="71" name="Group 136"/>
                        <wpg:cNvGrpSpPr/>
                        <wpg:grpSpPr>
                          <a:xfrm>
                            <a:off x="6261" y="5862099"/>
                            <a:ext cx="1106416" cy="862301"/>
                            <a:chOff x="6261" y="5862099"/>
                            <a:chExt cx="1106416" cy="862301"/>
                          </a:xfrm>
                        </wpg:grpSpPr>
                        <wps:wsp>
                          <wps:cNvPr id="72" name="Flowchart: Alternate Process 137"/>
                          <wps:cNvSpPr/>
                          <wps:spPr>
                            <a:xfrm>
                              <a:off x="6261" y="5862099"/>
                              <a:ext cx="1106415" cy="363083"/>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Accord AGTC</w:t>
                                </w:r>
                              </w:p>
                            </w:txbxContent>
                          </wps:txbx>
                          <wps:bodyPr lIns="54000" rIns="36000" rtlCol="0" anchor="ctr"/>
                        </wps:wsp>
                        <wps:wsp>
                          <wps:cNvPr id="73" name="Flowchart: Alternate Process 139"/>
                          <wps:cNvSpPr/>
                          <wps:spPr>
                            <a:xfrm>
                              <a:off x="6261" y="6235104"/>
                              <a:ext cx="1106416" cy="489296"/>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 xml:space="preserve">Protocole </w:t>
                                </w:r>
                                <w:r w:rsidRPr="00F11D07">
                                  <w:rPr>
                                    <w:rFonts w:ascii="Calibri" w:hAnsi="Calibri" w:cs="Calibri"/>
                                    <w:color w:val="000000" w:themeColor="text1"/>
                                    <w:kern w:val="24"/>
                                    <w:sz w:val="15"/>
                                    <w:szCs w:val="15"/>
                                  </w:rPr>
                                  <w:t xml:space="preserve">AGTC </w:t>
                                </w:r>
                                <w:r w:rsidRPr="00F11D07">
                                  <w:rPr>
                                    <w:rFonts w:ascii="Calibri" w:hAnsi="Calibri" w:cs="Calibri"/>
                                    <w:color w:val="262626" w:themeColor="text1" w:themeTint="D9"/>
                                    <w:kern w:val="24"/>
                                    <w:sz w:val="15"/>
                                    <w:szCs w:val="15"/>
                                  </w:rPr>
                                  <w:t>voies de navigation</w:t>
                                </w:r>
                                <w:r w:rsidRPr="000B4D40">
                                  <w:rPr>
                                    <w:rFonts w:ascii="Calibri" w:hAnsi="Calibri" w:cs="Calibri"/>
                                    <w:color w:val="262626" w:themeColor="text1" w:themeTint="D9"/>
                                    <w:kern w:val="24"/>
                                    <w:sz w:val="16"/>
                                    <w:szCs w:val="16"/>
                                  </w:rPr>
                                  <w:t xml:space="preserve"> </w:t>
                                </w:r>
                                <w:r w:rsidRPr="005F2BF1">
                                  <w:rPr>
                                    <w:rFonts w:ascii="Calibri" w:hAnsi="Calibri" w:cs="Calibri"/>
                                    <w:color w:val="262626" w:themeColor="text1" w:themeTint="D9"/>
                                    <w:kern w:val="24"/>
                                    <w:sz w:val="15"/>
                                    <w:szCs w:val="15"/>
                                  </w:rPr>
                                  <w:t>intérieures</w:t>
                                </w:r>
                              </w:p>
                            </w:txbxContent>
                          </wps:txbx>
                          <wps:bodyPr lIns="54000" tIns="0" rIns="36000" bIns="0" rtlCol="0" anchor="ctr"/>
                        </wps:wsp>
                      </wpg:grpSp>
                      <wps:wsp>
                        <wps:cNvPr id="74" name="Flowchart: Alternate Process 143"/>
                        <wps:cNvSpPr/>
                        <wps:spPr>
                          <a:xfrm>
                            <a:off x="6261" y="4426192"/>
                            <a:ext cx="1106416" cy="385051"/>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000000" w:themeColor="text1"/>
                                  <w:kern w:val="24"/>
                                  <w:sz w:val="15"/>
                                  <w:szCs w:val="15"/>
                                </w:rPr>
                                <w:t>ATP (art. 18.1)</w:t>
                              </w:r>
                            </w:p>
                          </w:txbxContent>
                        </wps:txbx>
                        <wps:bodyPr lIns="54000" rIns="36000" rtlCol="0" anchor="ctr"/>
                      </wps:wsp>
                      <wps:wsp>
                        <wps:cNvPr id="75" name="Flowchart: Alternate Process 146"/>
                        <wps:cNvSpPr/>
                        <wps:spPr>
                          <a:xfrm>
                            <a:off x="6261" y="1994416"/>
                            <a:ext cx="1044000" cy="432000"/>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Accord  </w:t>
                              </w:r>
                              <w:r w:rsidRPr="000B4D40">
                                <w:rPr>
                                  <w:rFonts w:ascii="Calibri" w:hAnsi="Calibri" w:cs="Calibri"/>
                                  <w:color w:val="000000" w:themeColor="text1"/>
                                  <w:kern w:val="24"/>
                                  <w:sz w:val="16"/>
                                  <w:szCs w:val="16"/>
                                </w:rPr>
                                <w:t>AGN</w:t>
                              </w:r>
                            </w:p>
                          </w:txbxContent>
                        </wps:txbx>
                        <wps:bodyPr lIns="54000" rIns="36000" rtlCol="0" anchor="ctr"/>
                      </wps:wsp>
                      <wps:wsp>
                        <wps:cNvPr id="76" name="Flowchart: Alternate Process 147"/>
                        <wps:cNvSpPr/>
                        <wps:spPr>
                          <a:xfrm>
                            <a:off x="6261" y="1494602"/>
                            <a:ext cx="1044000" cy="432000"/>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Accord </w:t>
                              </w:r>
                              <w:r w:rsidRPr="000B4D40">
                                <w:rPr>
                                  <w:rFonts w:ascii="Calibri" w:hAnsi="Calibri" w:cs="Calibri"/>
                                  <w:color w:val="000000" w:themeColor="text1"/>
                                  <w:kern w:val="24"/>
                                  <w:sz w:val="16"/>
                                  <w:szCs w:val="16"/>
                                </w:rPr>
                                <w:t>AGC</w:t>
                              </w:r>
                            </w:p>
                          </w:txbxContent>
                        </wps:txbx>
                        <wps:bodyPr lIns="54000" rIns="36000" rtlCol="0" anchor="ctr"/>
                      </wps:wsp>
                      <wps:wsp>
                        <wps:cNvPr id="77" name="Flowchart: Alternate Process 148"/>
                        <wps:cNvSpPr/>
                        <wps:spPr>
                          <a:xfrm>
                            <a:off x="6261" y="985926"/>
                            <a:ext cx="1044000" cy="432000"/>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Accord </w:t>
                              </w:r>
                              <w:r w:rsidRPr="000B4D40">
                                <w:rPr>
                                  <w:rFonts w:ascii="Calibri" w:hAnsi="Calibri" w:cs="Calibri"/>
                                  <w:color w:val="000000" w:themeColor="text1"/>
                                  <w:kern w:val="24"/>
                                  <w:sz w:val="16"/>
                                  <w:szCs w:val="16"/>
                                </w:rPr>
                                <w:t>AGR</w:t>
                              </w:r>
                            </w:p>
                          </w:txbxContent>
                        </wps:txbx>
                        <wps:bodyPr lIns="54000" rIns="36000" rtlCol="0" anchor="ctr"/>
                      </wps:wsp>
                      <wps:wsp>
                        <wps:cNvPr id="78" name="Flowchart: Alternate Process 142"/>
                        <wps:cNvSpPr/>
                        <wps:spPr>
                          <a:xfrm>
                            <a:off x="6261" y="4849621"/>
                            <a:ext cx="1106416" cy="516748"/>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000000" w:themeColor="text1"/>
                                  <w:kern w:val="24"/>
                                  <w:sz w:val="15"/>
                                  <w:szCs w:val="15"/>
                                </w:rPr>
                                <w:t xml:space="preserve">ADR (Protocole de 1993 une fois </w:t>
                              </w:r>
                              <w:r w:rsidRPr="00F11D07">
                                <w:rPr>
                                  <w:rFonts w:ascii="Calibri" w:hAnsi="Calibri" w:cs="Calibri"/>
                                  <w:color w:val="000000" w:themeColor="text1"/>
                                  <w:kern w:val="24"/>
                                  <w:sz w:val="15"/>
                                  <w:szCs w:val="15"/>
                                </w:rPr>
                                <w:br/>
                                <w:t>en vigueur)</w:t>
                              </w:r>
                            </w:p>
                          </w:txbxContent>
                        </wps:txbx>
                        <wps:bodyPr lIns="54000" tIns="0" rIns="36000" bIns="0" rtlCol="0" anchor="ctr"/>
                      </wps:wsp>
                      <wps:wsp>
                        <wps:cNvPr id="79" name="Flowchart: Alternate Process 163"/>
                        <wps:cNvSpPr/>
                        <wps:spPr>
                          <a:xfrm>
                            <a:off x="6261" y="5389975"/>
                            <a:ext cx="1118249" cy="432000"/>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 xml:space="preserve">Accord </w:t>
                              </w:r>
                              <w:r w:rsidRPr="00F11D07">
                                <w:rPr>
                                  <w:rFonts w:ascii="Calibri" w:hAnsi="Calibri" w:cs="Calibri"/>
                                  <w:color w:val="000000" w:themeColor="text1"/>
                                  <w:kern w:val="24"/>
                                  <w:sz w:val="15"/>
                                  <w:szCs w:val="15"/>
                                </w:rPr>
                                <w:t>ADN</w:t>
                              </w:r>
                            </w:p>
                          </w:txbxContent>
                        </wps:txbx>
                        <wps:bodyPr lIns="54000" rIns="36000" rtlCol="0" anchor="ctr"/>
                      </wps:wsp>
                      <wpg:grpSp>
                        <wpg:cNvPr id="80" name="Group 8"/>
                        <wpg:cNvGrpSpPr/>
                        <wpg:grpSpPr>
                          <a:xfrm>
                            <a:off x="4989849" y="7554441"/>
                            <a:ext cx="1517614" cy="2102234"/>
                            <a:chOff x="4989849" y="7554441"/>
                            <a:chExt cx="1517614" cy="2102234"/>
                          </a:xfrm>
                        </wpg:grpSpPr>
                        <wps:wsp>
                          <wps:cNvPr id="81" name="Rectangle 81"/>
                          <wps:cNvSpPr/>
                          <wps:spPr bwMode="auto">
                            <a:xfrm>
                              <a:off x="4989849" y="7554441"/>
                              <a:ext cx="1517614" cy="2102234"/>
                            </a:xfrm>
                            <a:prstGeom prst="rect">
                              <a:avLst/>
                            </a:prstGeom>
                            <a:solidFill>
                              <a:srgbClr val="CBCBCB"/>
                            </a:solidFill>
                            <a:ln>
                              <a:noFill/>
                            </a:ln>
                          </wps:spPr>
                          <wps:style>
                            <a:lnRef idx="3">
                              <a:schemeClr val="lt1"/>
                            </a:lnRef>
                            <a:fillRef idx="1">
                              <a:schemeClr val="accent1"/>
                            </a:fillRef>
                            <a:effectRef idx="1">
                              <a:schemeClr val="accent1"/>
                            </a:effectRef>
                            <a:fontRef idx="minor">
                              <a:schemeClr val="lt1"/>
                            </a:fontRef>
                          </wps:style>
                          <wps:txbx>
                            <w:txbxContent>
                              <w:p w:rsidR="003A38DC" w:rsidRPr="000B4D40" w:rsidRDefault="003A38DC" w:rsidP="003A38DC">
                                <w:pPr>
                                  <w:pStyle w:val="NormalWeb"/>
                                  <w:spacing w:before="0" w:beforeAutospacing="0" w:after="0" w:afterAutospacing="0"/>
                                  <w:jc w:val="center"/>
                                </w:pPr>
                                <w:r w:rsidRPr="000B4D40">
                                  <w:rPr>
                                    <w:rFonts w:asciiTheme="minorHAnsi" w:hAnsi="Calibri" w:cstheme="minorBidi"/>
                                    <w:b/>
                                    <w:bCs/>
                                    <w:color w:val="FFFFFF" w:themeColor="background1"/>
                                    <w:kern w:val="24"/>
                                    <w:sz w:val="28"/>
                                    <w:szCs w:val="28"/>
                                  </w:rPr>
                                  <w:t>LÉGENDE</w:t>
                                </w:r>
                              </w:p>
                            </w:txbxContent>
                          </wps:txbx>
                          <wps:bodyPr lIns="108000" tIns="0" rIns="108000" bIns="0" rtlCol="0" anchor="t" anchorCtr="0"/>
                        </wps:wsp>
                        <wps:wsp>
                          <wps:cNvPr id="82" name="Flowchart: Alternate Process 324"/>
                          <wps:cNvSpPr/>
                          <wps:spPr>
                            <a:xfrm>
                              <a:off x="5025306" y="9295313"/>
                              <a:ext cx="1440000" cy="360000"/>
                            </a:xfrm>
                            <a:prstGeom prst="flowChartAlternateProcess">
                              <a:avLst/>
                            </a:prstGeom>
                            <a:solidFill>
                              <a:schemeClr val="accent2">
                                <a:lumMod val="60000"/>
                                <a:lumOff val="40000"/>
                              </a:schemeClr>
                            </a:solidFill>
                            <a:ln w="12700"/>
                          </wps:spPr>
                          <wps:style>
                            <a:lnRef idx="3">
                              <a:schemeClr val="lt1"/>
                            </a:lnRef>
                            <a:fillRef idx="1">
                              <a:schemeClr val="accent2"/>
                            </a:fillRef>
                            <a:effectRef idx="1">
                              <a:schemeClr val="accent2"/>
                            </a:effectRef>
                            <a:fontRef idx="minor">
                              <a:schemeClr val="lt1"/>
                            </a:fontRef>
                          </wps:style>
                          <wps:txbx>
                            <w:txbxContent>
                              <w:p w:rsidR="003A38DC" w:rsidRPr="000B4D40" w:rsidRDefault="003A38DC" w:rsidP="003A38DC">
                                <w:pPr>
                                  <w:pStyle w:val="NormalWeb"/>
                                  <w:spacing w:before="0" w:beforeAutospacing="0" w:after="0" w:afterAutospacing="0" w:line="200" w:lineRule="exact"/>
                                  <w:textAlignment w:val="baseline"/>
                                </w:pPr>
                                <w:r w:rsidRPr="000B4D40">
                                  <w:rPr>
                                    <w:rFonts w:ascii="Calibri" w:hAnsi="Calibri" w:cs="Calibri"/>
                                    <w:color w:val="000000" w:themeColor="text1"/>
                                    <w:kern w:val="24"/>
                                    <w:sz w:val="18"/>
                                    <w:szCs w:val="18"/>
                                  </w:rPr>
                                  <w:t xml:space="preserve">Organe conventionnel </w:t>
                                </w:r>
                              </w:p>
                              <w:p w:rsidR="003A38DC" w:rsidRPr="000B4D40" w:rsidRDefault="003A38DC" w:rsidP="003A38DC">
                                <w:pPr>
                                  <w:pStyle w:val="NormalWeb"/>
                                  <w:spacing w:before="0" w:beforeAutospacing="0" w:after="0" w:afterAutospacing="0" w:line="200" w:lineRule="exact"/>
                                  <w:textAlignment w:val="baseline"/>
                                </w:pPr>
                                <w:r w:rsidRPr="000B4D40">
                                  <w:rPr>
                                    <w:rFonts w:ascii="Calibri" w:hAnsi="Calibri" w:cs="Calibri"/>
                                    <w:color w:val="000000" w:themeColor="text1"/>
                                    <w:kern w:val="24"/>
                                    <w:sz w:val="18"/>
                                    <w:szCs w:val="18"/>
                                  </w:rPr>
                                  <w:t>(A.C : Comité de gestion)</w:t>
                                </w:r>
                              </w:p>
                            </w:txbxContent>
                          </wps:txbx>
                          <wps:bodyPr lIns="54000" tIns="0" rIns="36000" bIns="0" rtlCol="0" anchor="ctr"/>
                        </wps:wsp>
                        <wps:wsp>
                          <wps:cNvPr id="83" name="Flowchart: Alternate Process 325"/>
                          <wps:cNvSpPr/>
                          <wps:spPr>
                            <a:xfrm>
                              <a:off x="5015403" y="7858076"/>
                              <a:ext cx="1440000" cy="425864"/>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18"/>
                                    <w:szCs w:val="18"/>
                                  </w:rPr>
                                  <w:t xml:space="preserve">Groupe de travail (WP) </w:t>
                                </w:r>
                                <w:r w:rsidRPr="000B4D40">
                                  <w:rPr>
                                    <w:rFonts w:ascii="Calibri" w:hAnsi="Calibri" w:cs="Calibri"/>
                                    <w:b/>
                                    <w:bCs/>
                                    <w:color w:val="FFFFFF" w:themeColor="background1"/>
                                    <w:kern w:val="24"/>
                                    <w:sz w:val="18"/>
                                    <w:szCs w:val="18"/>
                                  </w:rPr>
                                  <w:br/>
                                  <w:t>ou Comité directeur (SC)</w:t>
                                </w:r>
                              </w:p>
                            </w:txbxContent>
                          </wps:txbx>
                          <wps:bodyPr lIns="54000" tIns="0" rIns="54000" bIns="0" rtlCol="0" anchor="ctr"/>
                        </wps:wsp>
                        <wps:wsp>
                          <wps:cNvPr id="84" name="Flowchart: Alternate Process 326">
                            <a:hlinkClick r:id="" action="ppaction://noaction"/>
                          </wps:cNvPr>
                          <wps:cNvSpPr/>
                          <wps:spPr>
                            <a:xfrm>
                              <a:off x="5025199" y="8310893"/>
                              <a:ext cx="1440000" cy="531278"/>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200" w:lineRule="exact"/>
                                  <w:textAlignment w:val="baseline"/>
                                </w:pPr>
                                <w:r w:rsidRPr="000B4D40">
                                  <w:rPr>
                                    <w:rFonts w:ascii="Calibri" w:hAnsi="Calibri" w:cs="Calibri"/>
                                    <w:b/>
                                    <w:bCs/>
                                    <w:color w:val="FFFFFF" w:themeColor="background1"/>
                                    <w:kern w:val="24"/>
                                    <w:sz w:val="18"/>
                                    <w:szCs w:val="18"/>
                                  </w:rPr>
                                  <w:t xml:space="preserve">Groupe de travail dépendant </w:t>
                                </w:r>
                                <w:r w:rsidRPr="000B4D40">
                                  <w:rPr>
                                    <w:rFonts w:ascii="Calibri" w:hAnsi="Calibri" w:cs="Calibri"/>
                                    <w:b/>
                                    <w:bCs/>
                                    <w:color w:val="FFFFFF" w:themeColor="background1"/>
                                    <w:kern w:val="24"/>
                                    <w:sz w:val="18"/>
                                    <w:szCs w:val="18"/>
                                  </w:rPr>
                                  <w:br/>
                                  <w:t>d’un autre organe</w:t>
                                </w:r>
                              </w:p>
                            </w:txbxContent>
                          </wps:txbx>
                          <wps:bodyPr lIns="54000" tIns="0" rIns="54000" bIns="0" rtlCol="0" anchor="ctr"/>
                        </wps:wsp>
                        <wps:wsp>
                          <wps:cNvPr id="85" name="Flowchart: Alternate Process 327">
                            <a:hlinkClick r:id="" action="ppaction://noaction"/>
                          </wps:cNvPr>
                          <wps:cNvSpPr/>
                          <wps:spPr>
                            <a:xfrm>
                              <a:off x="5025306" y="8875958"/>
                              <a:ext cx="1440000" cy="360000"/>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8"/>
                                    <w:szCs w:val="18"/>
                                  </w:rPr>
                                  <w:t>Équipe de spécialistes</w:t>
                                </w:r>
                              </w:p>
                            </w:txbxContent>
                          </wps:txbx>
                          <wps:bodyPr lIns="54000" rIns="54000" rtlCol="0" anchor="ctr"/>
                        </wps:wsp>
                      </wpg:grpSp>
                      <wps:wsp>
                        <wps:cNvPr id="86" name="Flowchart: Alternate Process 99">
                          <a:hlinkClick r:id="" action="ppaction://noaction"/>
                        </wps:cNvPr>
                        <wps:cNvSpPr/>
                        <wps:spPr>
                          <a:xfrm>
                            <a:off x="3005945" y="8765393"/>
                            <a:ext cx="1804531" cy="569166"/>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d’experts</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des</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aspects </w:t>
                              </w:r>
                              <w:r w:rsidRPr="000B4D40">
                                <w:rPr>
                                  <w:rFonts w:asciiTheme="minorHAnsi" w:hAnsi="Calibri" w:cstheme="minorBidi"/>
                                  <w:b/>
                                  <w:bCs/>
                                  <w:color w:val="4F6228" w:themeColor="accent3" w:themeShade="80"/>
                                  <w:kern w:val="24"/>
                                  <w:sz w:val="16"/>
                                  <w:szCs w:val="16"/>
                                </w:rPr>
                                <w:br/>
                                <w:t xml:space="preserve">juridiques de l'informatisation </w:t>
                              </w:r>
                              <w:r w:rsidRPr="000B4D40">
                                <w:rPr>
                                  <w:rFonts w:asciiTheme="minorHAnsi" w:hAnsi="Calibri" w:cstheme="minorBidi"/>
                                  <w:b/>
                                  <w:bCs/>
                                  <w:color w:val="4F6228" w:themeColor="accent3" w:themeShade="80"/>
                                  <w:kern w:val="24"/>
                                  <w:sz w:val="16"/>
                                  <w:szCs w:val="16"/>
                                </w:rPr>
                                <w:br/>
                                <w:t>du régime TIR </w:t>
                              </w:r>
                            </w:p>
                          </w:txbxContent>
                        </wps:txbx>
                        <wps:bodyPr lIns="54000" tIns="0" rIns="54000" bIns="0" rtlCol="0" anchor="ctr"/>
                      </wps:wsp>
                      <wps:wsp>
                        <wps:cNvPr id="87" name="Elbow Connector 110"/>
                        <wps:cNvCnPr/>
                        <wps:spPr>
                          <a:xfrm rot="10800000" flipV="1">
                            <a:off x="2853627" y="5161360"/>
                            <a:ext cx="144376" cy="202405"/>
                          </a:xfrm>
                          <a:prstGeom prst="bentConnector3">
                            <a:avLst>
                              <a:gd name="adj1" fmla="val 43403"/>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88" name="Elbow Connector 111"/>
                        <wps:cNvCnPr/>
                        <wps:spPr>
                          <a:xfrm rot="10800000">
                            <a:off x="2864441" y="5364550"/>
                            <a:ext cx="144376" cy="241433"/>
                          </a:xfrm>
                          <a:prstGeom prst="bentConnector3">
                            <a:avLst>
                              <a:gd name="adj1" fmla="val 50000"/>
                            </a:avLst>
                          </a:prstGeom>
                          <a:ln w="19050">
                            <a:prstDash val="solid"/>
                          </a:ln>
                        </wps:spPr>
                        <wps:style>
                          <a:lnRef idx="1">
                            <a:schemeClr val="accent1"/>
                          </a:lnRef>
                          <a:fillRef idx="0">
                            <a:schemeClr val="accent1"/>
                          </a:fillRef>
                          <a:effectRef idx="0">
                            <a:schemeClr val="accent1"/>
                          </a:effectRef>
                          <a:fontRef idx="minor">
                            <a:schemeClr val="tx1"/>
                          </a:fontRef>
                        </wps:style>
                        <wps:bodyPr/>
                      </wps:wsp>
                      <wps:wsp>
                        <wps:cNvPr id="89" name="Straight Connector 112"/>
                        <wps:cNvCnPr/>
                        <wps:spPr>
                          <a:xfrm>
                            <a:off x="1050261" y="5605982"/>
                            <a:ext cx="1958556"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90" name="Flowchart: Alternate Process 113">
                          <a:hlinkClick r:id="" action="ppaction://noaction"/>
                        </wps:cNvPr>
                        <wps:cNvSpPr/>
                        <wps:spPr>
                          <a:xfrm>
                            <a:off x="2997972" y="4981220"/>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AC.2</w:t>
                              </w:r>
                              <w:r w:rsidRPr="000B4D40">
                                <w:rPr>
                                  <w:rFonts w:ascii="Calibri" w:hAnsi="Calibri" w:cs="Calibri"/>
                                  <w:b/>
                                  <w:bCs/>
                                  <w:color w:val="4F6228" w:themeColor="accent3" w:themeShade="80"/>
                                  <w:kern w:val="24"/>
                                  <w:sz w:val="16"/>
                                  <w:szCs w:val="16"/>
                                </w:rPr>
                                <w:tab/>
                              </w:r>
                              <w:r w:rsidRPr="000B4D40">
                                <w:rPr>
                                  <w:rFonts w:asciiTheme="minorHAnsi" w:hAnsi="Calibri" w:cstheme="minorBidi"/>
                                  <w:color w:val="4F6228" w:themeColor="accent3" w:themeShade="80"/>
                                  <w:kern w:val="24"/>
                                  <w:sz w:val="16"/>
                                  <w:szCs w:val="16"/>
                                </w:rPr>
                                <w:t>Réunion commune</w:t>
                              </w:r>
                              <w:r w:rsidRPr="000B4D40">
                                <w:rPr>
                                  <w:rFonts w:asciiTheme="minorHAnsi" w:hAnsi="Calibri" w:cstheme="minorBidi"/>
                                  <w:color w:val="4F6228" w:themeColor="accent3" w:themeShade="80"/>
                                  <w:kern w:val="24"/>
                                  <w:sz w:val="16"/>
                                  <w:szCs w:val="16"/>
                                </w:rPr>
                                <w:br/>
                              </w:r>
                              <w:r w:rsidRPr="000B4D40">
                                <w:rPr>
                                  <w:rFonts w:asciiTheme="minorHAnsi" w:hAnsi="Calibri" w:cstheme="minorBidi"/>
                                  <w:color w:val="4F6228" w:themeColor="accent3" w:themeShade="80"/>
                                  <w:kern w:val="24"/>
                                  <w:sz w:val="16"/>
                                  <w:szCs w:val="16"/>
                                </w:rPr>
                                <w:tab/>
                                <w:t>experts ADN</w:t>
                              </w:r>
                            </w:p>
                          </w:txbxContent>
                        </wps:txbx>
                        <wps:bodyPr lIns="54000" tIns="0" rIns="54000" bIns="0" rtlCol="0" anchor="ctr"/>
                      </wps:wsp>
                      <wps:wsp>
                        <wps:cNvPr id="91" name="Flowchart: Alternate Process 114">
                          <a:hlinkClick r:id="" action="ppaction://noaction"/>
                        </wps:cNvPr>
                        <wps:cNvSpPr/>
                        <wps:spPr>
                          <a:xfrm>
                            <a:off x="3008785" y="5425828"/>
                            <a:ext cx="1778139" cy="360000"/>
                          </a:xfrm>
                          <a:prstGeom prst="flowChartAlternateProcess">
                            <a:avLst/>
                          </a:prstGeom>
                          <a:solidFill>
                            <a:schemeClr val="accent3">
                              <a:lumMod val="60000"/>
                              <a:lumOff val="4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AC.1</w:t>
                              </w:r>
                              <w:r w:rsidRPr="000B4D40">
                                <w:rPr>
                                  <w:rFonts w:ascii="Calibri" w:hAnsi="Calibri" w:cs="Calibri"/>
                                  <w:b/>
                                  <w:bCs/>
                                  <w:color w:val="4F6228" w:themeColor="accent3" w:themeShade="80"/>
                                  <w:kern w:val="24"/>
                                  <w:sz w:val="16"/>
                                  <w:szCs w:val="16"/>
                                </w:rPr>
                                <w:tab/>
                              </w:r>
                              <w:r w:rsidRPr="000B4D40">
                                <w:rPr>
                                  <w:rFonts w:asciiTheme="minorHAnsi" w:hAnsi="Calibri" w:cstheme="minorBidi"/>
                                  <w:color w:val="4F6228" w:themeColor="accent3" w:themeShade="80"/>
                                  <w:kern w:val="24"/>
                                  <w:sz w:val="16"/>
                                  <w:szCs w:val="16"/>
                                </w:rPr>
                                <w:t>Réunion commune</w:t>
                              </w:r>
                              <w:r w:rsidRPr="000B4D40">
                                <w:rPr>
                                  <w:rFonts w:asciiTheme="minorHAnsi" w:hAnsi="Calibri" w:cstheme="minorBidi"/>
                                  <w:color w:val="4F6228" w:themeColor="accent3" w:themeShade="80"/>
                                  <w:kern w:val="24"/>
                                  <w:sz w:val="16"/>
                                  <w:szCs w:val="16"/>
                                </w:rPr>
                                <w:br/>
                              </w:r>
                              <w:r w:rsidRPr="000B4D40">
                                <w:rPr>
                                  <w:rFonts w:asciiTheme="minorHAnsi" w:hAnsi="Calibri" w:cstheme="minorBidi"/>
                                  <w:color w:val="4F6228" w:themeColor="accent3" w:themeShade="80"/>
                                  <w:kern w:val="24"/>
                                  <w:sz w:val="16"/>
                                  <w:szCs w:val="16"/>
                                </w:rPr>
                                <w:tab/>
                              </w:r>
                              <w:r w:rsidRPr="000B4D40">
                                <w:rPr>
                                  <w:rFonts w:ascii="Calibri" w:hAnsi="Calibri" w:cs="Calibri"/>
                                  <w:color w:val="4F6228" w:themeColor="accent3" w:themeShade="80"/>
                                  <w:kern w:val="24"/>
                                  <w:sz w:val="16"/>
                                  <w:szCs w:val="16"/>
                                </w:rPr>
                                <w:t>RID/ADR/ADN</w:t>
                              </w:r>
                            </w:p>
                          </w:txbxContent>
                        </wps:txbx>
                        <wps:bodyPr lIns="54000" tIns="0" rIns="54000" bIns="0" rtlCol="0" anchor="ctr"/>
                      </wps:wsp>
                      <wps:wsp>
                        <wps:cNvPr id="92" name="Flowchart: Alternate Process 120">
                          <a:hlinkClick r:id="" action="ppaction://noaction"/>
                        </wps:cNvPr>
                        <wps:cNvSpPr/>
                        <wps:spPr>
                          <a:xfrm>
                            <a:off x="1393429" y="7920695"/>
                            <a:ext cx="1320546" cy="467211"/>
                          </a:xfrm>
                          <a:prstGeom prst="flowChartAlternateProcess">
                            <a:avLst/>
                          </a:prstGeom>
                          <a:solidFill>
                            <a:schemeClr val="bg1"/>
                          </a:solidFill>
                          <a:ln w="12700">
                            <a:solidFill>
                              <a:schemeClr val="tx1">
                                <a:lumMod val="50000"/>
                                <a:lumOff val="50000"/>
                              </a:schemeClr>
                            </a:solidFill>
                          </a:ln>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42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AC.2</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 xml:space="preserve">Comité </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 xml:space="preserve">de coordination </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du WP.29</w:t>
                              </w:r>
                            </w:p>
                          </w:txbxContent>
                        </wps:txbx>
                        <wps:bodyPr lIns="54000" rIns="54000" rtlCol="0" anchor="ctr"/>
                      </wps:wsp>
                      <wps:wsp>
                        <wps:cNvPr id="93" name="Flowchart: Alternate Process 236">
                          <a:hlinkClick r:id="" action="ppaction://noaction"/>
                        </wps:cNvPr>
                        <wps:cNvSpPr/>
                        <wps:spPr>
                          <a:xfrm>
                            <a:off x="1183650" y="5067295"/>
                            <a:ext cx="1709929" cy="486050"/>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WP.15</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 des</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t>marchandises</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t>dangereuses</w:t>
                              </w:r>
                            </w:p>
                          </w:txbxContent>
                        </wps:txbx>
                        <wps:bodyPr lIns="54000" tIns="0" rIns="54000" bIns="0" rtlCol="0" anchor="ctr"/>
                      </wps:wsp>
                      <wps:wsp>
                        <wps:cNvPr id="94" name="Flowchart: Alternate Process 105">
                          <a:hlinkClick r:id="" action="ppaction://noaction"/>
                        </wps:cNvPr>
                        <wps:cNvSpPr/>
                        <wps:spPr>
                          <a:xfrm>
                            <a:off x="3029676" y="2787199"/>
                            <a:ext cx="1780411" cy="360000"/>
                          </a:xfrm>
                          <a:prstGeom prst="flowChartAlternateProcess">
                            <a:avLst/>
                          </a:prstGeom>
                          <a:solidFill>
                            <a:schemeClr val="accent2">
                              <a:lumMod val="20000"/>
                              <a:lumOff val="80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d’experts de la signalisation routière </w:t>
                              </w:r>
                            </w:p>
                          </w:txbxContent>
                        </wps:txbx>
                        <wps:bodyPr lIns="54000" tIns="0" rIns="54000" bIns="0" rtlCol="0" anchor="ctr"/>
                      </wps:wsp>
                      <wps:wsp>
                        <wps:cNvPr id="95" name="Flowchart: Alternate Process 230">
                          <a:hlinkClick r:id="" action="ppaction://noaction"/>
                        </wps:cNvPr>
                        <wps:cNvSpPr/>
                        <wps:spPr>
                          <a:xfrm>
                            <a:off x="1203731" y="2812789"/>
                            <a:ext cx="1719444" cy="360000"/>
                          </a:xfrm>
                          <a:prstGeom prst="flowChartAlternateProcess">
                            <a:avLst/>
                          </a:prstGeom>
                          <a:solidFill>
                            <a:schemeClr val="accent3">
                              <a:lumMod val="75000"/>
                            </a:schemeClr>
                          </a:solidFill>
                          <a:ln w="12700"/>
                        </wps:spPr>
                        <wps:style>
                          <a:lnRef idx="3">
                            <a:schemeClr val="lt1"/>
                          </a:lnRef>
                          <a:fillRef idx="1">
                            <a:schemeClr val="accent3"/>
                          </a:fillRef>
                          <a:effectRef idx="1">
                            <a:schemeClr val="accent3"/>
                          </a:effectRef>
                          <a:fontRef idx="minor">
                            <a:schemeClr val="lt1"/>
                          </a:fontRef>
                        </wps:style>
                        <wps:txbx>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WP.1</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Sécurité routière</w:t>
                              </w:r>
                            </w:p>
                          </w:txbxContent>
                        </wps:txbx>
                        <wps:bodyPr lIns="54000" rIns="54000" rtlCol="0" anchor="ctr"/>
                      </wps:wsp>
                    </wpg:wgp>
                  </a:graphicData>
                </a:graphic>
                <wp14:sizeRelH relativeFrom="margin">
                  <wp14:pctWidth>0</wp14:pctWidth>
                </wp14:sizeRelH>
                <wp14:sizeRelV relativeFrom="margin">
                  <wp14:pctHeight>0</wp14:pctHeight>
                </wp14:sizeRelV>
              </wp:anchor>
            </w:drawing>
          </mc:Choice>
          <mc:Fallback>
            <w:pict>
              <v:group w14:anchorId="08D2B232" id="Group 24" o:spid="_x0000_s1026" style="position:absolute;margin-left:.75pt;margin-top:2.65pt;width:480.85pt;height:654.85pt;z-index:251659264;mso-width-relative:margin;mso-height-relative:margin" coordorigin="-186" coordsize="66385,9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">
                <o:lock v:ext="edit" aspectratio="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8" o:spid="_x0000_s1027" type="#_x0000_t34" style="position:absolute;left:10502;top:63586;width:1942;height:207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" strokecolor="#4579b8 [3044]" strokeweight="1.5pt">
                  <v:stroke dashstyle="3 1"/>
                  <o:lock v:ext="edit" shapetype="f"/>
                </v:shape>
                <v:shape id="Elbow Connector 97" o:spid="_x0000_s1028" type="#_x0000_t34" style="position:absolute;left:10502;top:53332;width:1741;height:272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" strokecolor="#4579b8 [3044]" strokeweight="1.5pt">
                  <v:stroke dashstyle="3 1"/>
                  <o:lock v:ext="edit" shapetype="f"/>
                </v:shape>
                <v:line id="Straight Connector 115" o:spid="_x0000_s1029" style="position:absolute;flip:x;visibility:visible;mso-wrap-style:square" from="28395,90405" to="30699,9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" strokecolor="#4579b8 [3044]" strokeweight="1.5pt">
                  <o:lock v:ext="edit" shapetype="f"/>
                </v:line>
                <v:line id="Straight Connector 121" o:spid="_x0000_s1030" style="position:absolute;flip:x;visibility:visible;mso-wrap-style:square" from="20537,78244" to="20544,79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" strokecolor="#4579b8 [3044]" strokeweight="1.5pt">
                  <o:lock v:ext="edit" shapetype="f"/>
                </v:line>
                <v:shape id="Elbow Connector 65" o:spid="_x0000_s1031" type="#_x0000_t34" style="position:absolute;left:10548;top:90442;width:1647;height:472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" strokecolor="#4579b8 [3044]" strokeweight="1.5pt">
                  <v:stroke dashstyle="3 1"/>
                  <o:lock v:ext="edit" shapetype="f"/>
                </v:shape>
                <v:shape id="Elbow Connector 179" o:spid="_x0000_s1032" type="#_x0000_t34" style="position:absolute;left:10502;top:90277;width:1693;height:1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" strokecolor="#4579b8 [3044]" strokeweight="1.5pt">
                  <v:stroke dashstyle="3 1"/>
                  <o:lock v:ext="edit" shapetype="f"/>
                </v:shape>
                <v:shape id="Elbow Connector 182" o:spid="_x0000_s1033" type="#_x0000_t34" style="position:absolute;left:10611;top:85426;width:1584;height:501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" strokecolor="#4579b8 [3044]" strokeweight="1.5pt">
                  <v:stroke dashstyle="3 1"/>
                  <o:lock v:ext="edit" shapetype="f"/>
                </v:shape>
                <v:shape id="Elbow Connector 185" o:spid="_x0000_s1034" type="#_x0000_t34" style="position:absolute;left:10502;top:60976;width:1942;height:261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" strokecolor="#4579b8 [3044]" strokeweight="1.5pt">
                  <v:stroke dashstyle="3 1"/>
                  <o:lock v:ext="edit" shapetype="f"/>
                </v:shape>
                <v:shape id="Elbow Connector 191" o:spid="_x0000_s1035" type="#_x0000_t34" style="position:absolute;left:10502;top:70724;width:1942;height:387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" strokecolor="#4579b8 [3044]" strokeweight="1.5pt">
                  <v:stroke dashstyle="3 1"/>
                  <o:lock v:ext="edit" shapetype="f"/>
                </v:shape>
                <v:shape id="Elbow Connector 194" o:spid="_x0000_s1036" type="#_x0000_t34" style="position:absolute;left:10502;top:74594;width:1942;height:127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" strokecolor="#4579b8 [3044]" strokeweight="1.5pt">
                  <v:stroke dashstyle="3 1"/>
                  <o:lock v:ext="edit" shapetype="f"/>
                </v:shape>
                <v:shape id="Elbow Connector 197" o:spid="_x0000_s1037" type="#_x0000_t34" style="position:absolute;left:10579;top:74594;width:1865;height:609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" strokecolor="#4579b8 [3044]" strokeweight="1.5pt">
                  <v:stroke dashstyle="3 1"/>
                  <o:lock v:ext="edit" shapetype="f"/>
                </v:shape>
                <v:shape id="Elbow Connector 200" o:spid="_x0000_s1038" type="#_x0000_t34" style="position:absolute;left:10502;top:51367;width:1741;height:19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" strokecolor="#4579b8 [3044]" strokeweight="1.5pt">
                  <v:stroke dashstyle="3 1"/>
                  <o:lock v:ext="edit" shapetype="f"/>
                </v:shape>
                <v:shape id="Elbow Connector 209" o:spid="_x0000_s1039" type="#_x0000_t34" style="position:absolute;left:28644;top:60616;width:1444;height:1397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" strokecolor="#4579b8 [3044]" strokeweight="1.5pt">
                  <o:lock v:ext="edit" shapetype="f"/>
                </v:shape>
                <v:shape id="Elbow Connector 212" o:spid="_x0000_s1040" type="#_x0000_t34" style="position:absolute;left:28644;top:64972;width:1444;height:962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" strokecolor="#4579b8 [3044]" strokeweight="1.5pt">
                  <o:lock v:ext="edit" shapetype="f"/>
                </v:shape>
                <v:shape id="Elbow Connector 215" o:spid="_x0000_s1041" type="#_x0000_t34" style="position:absolute;left:28644;top:69329;width:1444;height:526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" strokecolor="#4579b8 [3044]" strokeweight="1.5pt">
                  <o:lock v:ext="edit" shapetype="f"/>
                </v:shape>
                <v:shape id="Elbow Connector 218" o:spid="_x0000_s1042" type="#_x0000_t34" style="position:absolute;left:28644;top:73685;width:1444;height:90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" strokecolor="#4579b8 [3044]" strokeweight="1.5pt">
                  <o:lock v:ext="edit" shapetype="f"/>
                </v:shape>
                <v:shape id="Elbow Connector 221" o:spid="_x0000_s1043" type="#_x0000_t34" style="position:absolute;left:28644;top:74594;width:1444;height:344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" strokecolor="#4579b8 [3044]" strokeweight="1.5pt">
                  <o:lock v:ext="edit" shapetype="f"/>
                </v:shape>
                <v:shape id="Elbow Connector 287" o:spid="_x0000_s1044" type="#_x0000_t34" style="position:absolute;left:28644;top:74594;width:1444;height:780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" strokecolor="#4579b8 [3044]" strokeweight="1.5pt">
                  <o:lock v:ext="edit" shapetype="f"/>
                </v:shape>
                <v:line id="Straight Connector 308" o:spid="_x0000_s1045" style="position:absolute;flip:x;visibility:visible;mso-wrap-style:square" from="10502,11997" to="12444,1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" strokecolor="#4579b8 [3044]" strokeweight="1.5pt">
                  <v:stroke dashstyle="3 1"/>
                </v:line>
                <v:line id="Straight Connector 311" o:spid="_x0000_s1046" style="position:absolute;flip:x;visibility:visible;mso-wrap-style:square" from="10502,17106" to="12444,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" strokecolor="#4579b8 [3044]" strokeweight="1.5pt">
                  <v:stroke dashstyle="3 1"/>
                </v:line>
                <v:line id="Straight Connector 314" o:spid="_x0000_s1047" style="position:absolute;flip:x;visibility:visible;mso-wrap-style:square" from="10502,22102" to="12444,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" strokecolor="#4579b8 [3044]" strokeweight="1.5pt">
                  <v:stroke dashstyle="3 1"/>
                  <o:lock v:ext="edit" shapetype="f"/>
                </v:line>
                <v:shape id="Elbow Connector 321" o:spid="_x0000_s1048" type="#_x0000_t34" style="position:absolute;left:46684;top:6840;width:5329;height:1633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" strokecolor="#76923c [2406]" strokeweight="1.5pt">
                  <v:stroke dashstyle="3 1"/>
                  <o:lock v:ext="edit" shapetype="f"/>
                </v:shape>
                <v:shapetype id="_x0000_t33" coordsize="21600,21600" o:spt="33" o:oned="t" path="m,l21600,r,21600e" filled="f">
                  <v:stroke joinstyle="miter"/>
                  <v:path arrowok="t" fillok="f" o:connecttype="none"/>
                  <o:lock v:ext="edit" shapetype="t"/>
                </v:shapetype>
                <v:shape id="Elbow Connector 319" o:spid="_x0000_s1049" type="#_x0000_t33" style="position:absolute;left:49678;top:11506;width:7646;height:17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" strokecolor="#4579b8 [3044]" strokeweight="1.5pt"/>
                <v:shape id="Elbow Connector 157" o:spid="_x0000_s1050" type="#_x0000_t33" style="position:absolute;left:51902;top:9366;width:3198;height:17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" strokecolor="#4579b8 [3044]" strokeweight="1.5pt"/>
                <v:line id="Straight Connector 155" o:spid="_x0000_s1051" style="position:absolute;flip:y;visibility:visible;mso-wrap-style:square" from="58098,3599" to="58098,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" strokecolor="#4579b8 [3044]" strokeweight="1.5pt"/>
                <v:line id="Straight Connector 305" o:spid="_x0000_s1052" style="position:absolute;flip:x y;visibility:visible;mso-wrap-style:square" from="28644,11997" to="30700,1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" strokecolor="#4579b8 [3044]" strokeweight="1.5pt">
                  <o:lock v:ext="edit" shapetype="f"/>
                </v:line>
                <v:line id="Straight Connector 307" o:spid="_x0000_s1053" style="position:absolute;flip:x;visibility:visible;mso-wrap-style:square" from="28644,17090" to="30699,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" strokecolor="#4579b8 [3044]" strokeweight="1.5pt">
                  <o:lock v:ext="edit" shapetype="f"/>
                </v:line>
                <v:shape id="Elbow Connector 297" o:spid="_x0000_s1054" type="#_x0000_t34" style="position:absolute;left:29231;top:36083;width:1065;height: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" strokecolor="#4579b8 [3044]" strokeweight="1.5pt">
                  <o:lock v:ext="edit" shapetype="f"/>
                </v:shape>
                <v:shape id="Elbow Connector 299" o:spid="_x0000_s1055" type="#_x0000_t34" style="position:absolute;left:28644;top:36092;width:1942;height:85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" strokecolor="#4579b8 [3044]" strokeweight="1.5pt">
                  <o:lock v:ext="edit" shapetype="f"/>
                </v:shape>
                <v:line id="Straight Connector 293" o:spid="_x0000_s1056" style="position:absolute;flip:x;visibility:visible;mso-wrap-style:square" from="10502,46424" to="12444,4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" strokecolor="#4579b8 [3044]" strokeweight="1.5pt">
                  <v:stroke dashstyle="3 1"/>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57" type="#_x0000_t176" style="position:absolute;left:62;top:5040;width:466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" fillcolor="#4f81bd [3204]" strokecolor="white [3201]" strokeweight="1pt">
                  <v:shadow on="t" color="black" opacity="24903f" origin=",.5" offset="0,.55556mm"/>
                  <v:textbox inset=",0,,0">
                    <w:txbxContent>
                      <w:p w:rsidR="003A38DC" w:rsidRPr="000B4D40" w:rsidRDefault="003A38DC" w:rsidP="003A38DC">
                        <w:pPr>
                          <w:pStyle w:val="NormalWeb"/>
                          <w:spacing w:before="0" w:beforeAutospacing="0" w:after="0" w:afterAutospacing="0"/>
                          <w:jc w:val="center"/>
                          <w:textAlignment w:val="baseline"/>
                        </w:pPr>
                        <w:r w:rsidRPr="000B4D40">
                          <w:rPr>
                            <w:rFonts w:asciiTheme="minorHAnsi" w:hAnsi="Calibri" w:cstheme="minorBidi"/>
                            <w:b/>
                            <w:bCs/>
                            <w:color w:val="FFFFFF" w:themeColor="background1"/>
                            <w:kern w:val="24"/>
                            <w:sz w:val="28"/>
                            <w:szCs w:val="28"/>
                          </w:rPr>
                          <w:t>Comité des transports intérieurs</w:t>
                        </w:r>
                      </w:p>
                    </w:txbxContent>
                  </v:textbox>
                </v:shape>
                <v:group id="Group 11" o:spid="_x0000_s1058" style="position:absolute;left:62;top:67560;width:11123;height:15423" coordorigin="62,67560" coordsize="11123,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lowchart: Alternate Process 93" o:spid="_x0000_s1059" type="#_x0000_t176" style="position:absolute;left:62;top:67560;width:11064;height:5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" fillcolor="#d99594 [1941]" strokecolor="white [3201]" strokeweight="1pt">
                    <v:shadow on="t" color="black" opacity="24903f" origin=",.5" offset="0,.55556mm"/>
                    <v:textbox inset="1.5mm,0,1mm,0">
                      <w:txbxContent>
                        <w:p w:rsidR="003A38DC" w:rsidRPr="005C5F03"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AC.1</w:t>
                          </w:r>
                          <w:r w:rsidRPr="00F8093B">
                            <w:rPr>
                              <w:rFonts w:ascii="Calibri" w:hAnsi="Calibri" w:cs="Calibri"/>
                              <w:bCs/>
                              <w:color w:val="262626" w:themeColor="text1" w:themeTint="D9"/>
                              <w:kern w:val="24"/>
                              <w:sz w:val="16"/>
                              <w:szCs w:val="16"/>
                            </w:rPr>
                            <w:t xml:space="preserve"> </w:t>
                          </w:r>
                          <w:r w:rsidRPr="005C5F03">
                            <w:rPr>
                              <w:rFonts w:ascii="Calibri" w:hAnsi="Calibri" w:cs="Calibri"/>
                              <w:color w:val="262626" w:themeColor="text1" w:themeTint="D9"/>
                              <w:kern w:val="24"/>
                              <w:sz w:val="15"/>
                              <w:szCs w:val="15"/>
                            </w:rPr>
                            <w:t>Prescriptions </w:t>
                          </w:r>
                          <w:r w:rsidRPr="005C5F03">
                            <w:rPr>
                              <w:rFonts w:ascii="Calibri" w:hAnsi="Calibri" w:cs="Calibri"/>
                              <w:color w:val="262626" w:themeColor="text1" w:themeTint="D9"/>
                              <w:kern w:val="24"/>
                              <w:sz w:val="15"/>
                              <w:szCs w:val="15"/>
                            </w:rPr>
                            <w:br/>
                            <w:t xml:space="preserve">techniques uniformes </w:t>
                          </w:r>
                        </w:p>
                        <w:p w:rsidR="003A38DC" w:rsidRPr="005C5F03" w:rsidRDefault="003A38DC" w:rsidP="003A38DC">
                          <w:pPr>
                            <w:pStyle w:val="NormalWeb"/>
                            <w:spacing w:before="0" w:beforeAutospacing="0" w:after="0" w:afterAutospacing="0"/>
                            <w:textAlignment w:val="baseline"/>
                            <w:rPr>
                              <w:sz w:val="15"/>
                              <w:szCs w:val="15"/>
                            </w:rPr>
                          </w:pPr>
                          <w:r w:rsidRPr="005C5F03">
                            <w:rPr>
                              <w:rFonts w:ascii="Calibri" w:hAnsi="Calibri" w:cs="Calibri"/>
                              <w:color w:val="262626" w:themeColor="text1" w:themeTint="D9"/>
                              <w:kern w:val="24"/>
                              <w:sz w:val="15"/>
                              <w:szCs w:val="15"/>
                            </w:rPr>
                            <w:t xml:space="preserve">Accord de 1958 </w:t>
                          </w:r>
                        </w:p>
                      </w:txbxContent>
                    </v:textbox>
                  </v:shape>
                  <v:shape id="Flowchart: Alternate Process 94" o:spid="_x0000_s1060" type="#_x0000_t176" style="position:absolute;left:121;top:73073;width:1106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" fillcolor="#d99594 [1941]" strokecolor="white [3201]" strokeweight="1pt">
                    <v:shadow on="t" color="black" opacity="24903f" origin=",.5" offset="0,.55556mm"/>
                    <v:textbox inset="1.5mm,0,1mm,0">
                      <w:txbxContent>
                        <w:p w:rsidR="003A38DC" w:rsidRPr="004D4704"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AC.3</w:t>
                          </w:r>
                          <w:r>
                            <w:rPr>
                              <w:rFonts w:ascii="Calibri" w:hAnsi="Calibri" w:cs="Calibri"/>
                              <w:b/>
                              <w:bCs/>
                              <w:color w:val="262626" w:themeColor="text1" w:themeTint="D9"/>
                              <w:kern w:val="24"/>
                              <w:sz w:val="16"/>
                              <w:szCs w:val="16"/>
                            </w:rPr>
                            <w:t xml:space="preserve"> </w:t>
                          </w:r>
                          <w:r w:rsidRPr="004D4704">
                            <w:rPr>
                              <w:rFonts w:ascii="Calibri" w:hAnsi="Calibri" w:cs="Calibri"/>
                              <w:color w:val="262626" w:themeColor="text1" w:themeTint="D9"/>
                              <w:kern w:val="24"/>
                              <w:sz w:val="15"/>
                              <w:szCs w:val="15"/>
                            </w:rPr>
                            <w:t>Règlements techniques mondiaux</w:t>
                          </w:r>
                        </w:p>
                        <w:p w:rsidR="003A38DC" w:rsidRPr="004D4704" w:rsidRDefault="003A38DC" w:rsidP="003A38DC">
                          <w:pPr>
                            <w:pStyle w:val="NormalWeb"/>
                            <w:spacing w:before="0" w:beforeAutospacing="0" w:after="0" w:afterAutospacing="0"/>
                            <w:textAlignment w:val="baseline"/>
                            <w:rPr>
                              <w:sz w:val="15"/>
                              <w:szCs w:val="15"/>
                            </w:rPr>
                          </w:pPr>
                          <w:r w:rsidRPr="004D4704">
                            <w:rPr>
                              <w:rFonts w:ascii="Calibri" w:hAnsi="Calibri" w:cs="Calibri"/>
                              <w:color w:val="262626" w:themeColor="text1" w:themeTint="D9"/>
                              <w:kern w:val="24"/>
                              <w:sz w:val="15"/>
                              <w:szCs w:val="15"/>
                            </w:rPr>
                            <w:t>Accord de 1998</w:t>
                          </w:r>
                        </w:p>
                      </w:txbxContent>
                    </v:textbox>
                  </v:shape>
                  <v:shape id="Flowchart: Alternate Process 95" o:spid="_x0000_s1061" type="#_x0000_t176" style="position:absolute;left:80;top:78327;width:11064;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" fillcolor="#d99594 [1941]" strokecolor="white [3201]" strokeweight="1pt">
                    <v:shadow on="t" color="black" opacity="24903f" origin=",.5" offset="0,.55556mm"/>
                    <v:textbox inset="1.5mm,0,1mm,0">
                      <w:txbxContent>
                        <w:p w:rsidR="003A38DC" w:rsidRPr="004D4704"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AC.4</w:t>
                          </w:r>
                          <w:r>
                            <w:rPr>
                              <w:rFonts w:ascii="Calibri" w:hAnsi="Calibri" w:cs="Calibri"/>
                              <w:color w:val="262626" w:themeColor="text1" w:themeTint="D9"/>
                              <w:kern w:val="24"/>
                              <w:sz w:val="16"/>
                              <w:szCs w:val="16"/>
                            </w:rPr>
                            <w:t xml:space="preserve"> </w:t>
                          </w:r>
                          <w:r w:rsidRPr="004D4704">
                            <w:rPr>
                              <w:rFonts w:ascii="Calibri" w:hAnsi="Calibri" w:cs="Calibri"/>
                              <w:color w:val="262626" w:themeColor="text1" w:themeTint="D9"/>
                              <w:kern w:val="24"/>
                              <w:sz w:val="15"/>
                              <w:szCs w:val="15"/>
                            </w:rPr>
                            <w:t>Contrôle technique périodique</w:t>
                          </w:r>
                        </w:p>
                        <w:p w:rsidR="003A38DC" w:rsidRPr="004D4704" w:rsidRDefault="003A38DC" w:rsidP="003A38DC">
                          <w:pPr>
                            <w:pStyle w:val="NormalWeb"/>
                            <w:spacing w:before="0" w:beforeAutospacing="0" w:after="0" w:afterAutospacing="0"/>
                            <w:textAlignment w:val="baseline"/>
                            <w:rPr>
                              <w:sz w:val="15"/>
                              <w:szCs w:val="15"/>
                            </w:rPr>
                          </w:pPr>
                          <w:r w:rsidRPr="004D4704">
                            <w:rPr>
                              <w:rFonts w:ascii="Calibri" w:hAnsi="Calibri" w:cs="Calibri"/>
                              <w:color w:val="262626" w:themeColor="text1" w:themeTint="D9"/>
                              <w:kern w:val="24"/>
                              <w:sz w:val="15"/>
                              <w:szCs w:val="15"/>
                            </w:rPr>
                            <w:t>Accord de 1997</w:t>
                          </w:r>
                        </w:p>
                      </w:txbxContent>
                    </v:textbox>
                  </v:shape>
                </v:group>
                <v:shape id="Flowchart: Alternate Process 12" o:spid="_x0000_s1062" type="#_x0000_t176" href="" style="position:absolute;left:30087;top:58814;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GRE</w:t>
                        </w:r>
                        <w:r w:rsidRPr="000B4D40">
                          <w:rPr>
                            <w:rFonts w:ascii="Calibri" w:hAnsi="Calibri" w:cs="Calibri"/>
                            <w:b/>
                            <w:bCs/>
                            <w:color w:val="FFFFFF" w:themeColor="background1"/>
                            <w:kern w:val="24"/>
                            <w:sz w:val="21"/>
                            <w:szCs w:val="21"/>
                          </w:rPr>
                          <w:tab/>
                        </w:r>
                        <w:r>
                          <w:rPr>
                            <w:rFonts w:asciiTheme="minorHAnsi" w:hAnsi="Calibri" w:cstheme="minorBidi"/>
                            <w:color w:val="4F6228" w:themeColor="accent3" w:themeShade="80"/>
                            <w:kern w:val="24"/>
                            <w:sz w:val="16"/>
                            <w:szCs w:val="16"/>
                          </w:rPr>
                          <w:t>É</w:t>
                        </w:r>
                        <w:r w:rsidRPr="000B4D40">
                          <w:rPr>
                            <w:rFonts w:asciiTheme="minorHAnsi" w:hAnsi="Calibri" w:cstheme="minorBidi"/>
                            <w:color w:val="4F6228" w:themeColor="accent3" w:themeShade="80"/>
                            <w:kern w:val="24"/>
                            <w:sz w:val="16"/>
                            <w:szCs w:val="16"/>
                          </w:rPr>
                          <w:t>clairage et signalisation</w:t>
                        </w:r>
                        <w:r w:rsidRPr="000B4D40">
                          <w:rPr>
                            <w:rFonts w:asciiTheme="minorHAnsi" w:hAnsi="Calibri" w:cstheme="minorBidi"/>
                            <w:color w:val="4F6228" w:themeColor="accent3" w:themeShade="80"/>
                            <w:kern w:val="24"/>
                            <w:sz w:val="16"/>
                            <w:szCs w:val="16"/>
                          </w:rPr>
                          <w:br/>
                        </w:r>
                        <w:r w:rsidRPr="000B4D40">
                          <w:rPr>
                            <w:rFonts w:asciiTheme="minorHAnsi" w:hAnsi="Calibri" w:cstheme="minorBidi"/>
                            <w:color w:val="4F6228" w:themeColor="accent3" w:themeShade="80"/>
                            <w:kern w:val="24"/>
                            <w:sz w:val="16"/>
                            <w:szCs w:val="16"/>
                          </w:rPr>
                          <w:tab/>
                          <w:t>lumineuse</w:t>
                        </w:r>
                      </w:p>
                    </w:txbxContent>
                  </v:textbox>
                </v:shape>
                <v:shape id="Flowchart: Alternate Process 13" o:spid="_x0000_s1063" type="#_x0000_t176" href="" style="position:absolute;left:30087;top:63170;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GRVA</w:t>
                        </w:r>
                        <w:r w:rsidRPr="000B4D40">
                          <w:rPr>
                            <w:rFonts w:ascii="Calibri" w:hAnsi="Calibri" w:cs="Calibri"/>
                            <w:b/>
                            <w:bCs/>
                            <w:color w:val="4F6228" w:themeColor="accent3" w:themeShade="80"/>
                            <w:kern w:val="24"/>
                            <w:sz w:val="16"/>
                            <w:szCs w:val="16"/>
                          </w:rPr>
                          <w:tab/>
                        </w:r>
                        <w:r w:rsidRPr="000B4D40">
                          <w:rPr>
                            <w:rFonts w:asciiTheme="minorHAnsi" w:hAnsi="Calibri" w:cstheme="minorBidi"/>
                            <w:color w:val="4F6228" w:themeColor="accent3" w:themeShade="80"/>
                            <w:kern w:val="24"/>
                            <w:sz w:val="16"/>
                            <w:szCs w:val="16"/>
                          </w:rPr>
                          <w:t xml:space="preserve">Véhicules automatisés/ </w:t>
                        </w:r>
                        <w:r w:rsidRPr="000B4D40">
                          <w:rPr>
                            <w:rFonts w:asciiTheme="minorHAnsi" w:hAnsi="Calibri" w:cstheme="minorBidi"/>
                            <w:color w:val="4F6228" w:themeColor="accent3" w:themeShade="80"/>
                            <w:kern w:val="24"/>
                            <w:sz w:val="16"/>
                            <w:szCs w:val="16"/>
                          </w:rPr>
                          <w:tab/>
                          <w:t xml:space="preserve">autonomes et connectés </w:t>
                        </w:r>
                      </w:p>
                    </w:txbxContent>
                  </v:textbox>
                </v:shape>
                <v:shape id="Flowchart: Alternate Process 14" o:spid="_x0000_s1064" type="#_x0000_t176" href="" style="position:absolute;left:30087;top:67527;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GRB</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Bruit</w:t>
                        </w:r>
                      </w:p>
                    </w:txbxContent>
                  </v:textbox>
                </v:shape>
                <v:shape id="Flowchart: Alternate Process 15" o:spid="_x0000_s1065" type="#_x0000_t176" href="" style="position:absolute;left:30087;top:71883;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GRPE</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Pollution et énergie</w:t>
                        </w:r>
                      </w:p>
                    </w:txbxContent>
                  </v:textbox>
                </v:shape>
                <v:shape id="Flowchart: Alternate Process 16" o:spid="_x0000_s1066" type="#_x0000_t176" href="" style="position:absolute;left:30087;top:76239;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GRSG</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Dispositions générales</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de sécurité</w:t>
                        </w:r>
                      </w:p>
                    </w:txbxContent>
                  </v:textbox>
                </v:shape>
                <v:shape id="Flowchart: Alternate Process 17" o:spid="_x0000_s1067" type="#_x0000_t176" href="" style="position:absolute;left:30087;top:80595;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GRSP</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Sécurité passive</w:t>
                        </w:r>
                      </w:p>
                    </w:txbxContent>
                  </v:textbox>
                </v:shape>
                <v:shape id="Flowchart: Alternate Process 10" o:spid="_x0000_s1068" type="#_x0000_t176" style="position:absolute;left:12037;top:70192;width:17099;height:8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" fillcolor="#76923c [2406]" strokecolor="white [3201]" strokeweight="1p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WP.29</w:t>
                        </w:r>
                        <w:r w:rsidRPr="000B4D40">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Forum mondial</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 l'harmonisation</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des Règlements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concernant</w:t>
                        </w:r>
                      </w:p>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Theme="minorHAnsi" w:hAnsi="Calibri" w:cstheme="minorBidi"/>
                            <w:color w:val="FFFFFF" w:themeColor="light1"/>
                            <w:kern w:val="24"/>
                            <w:sz w:val="18"/>
                            <w:szCs w:val="18"/>
                          </w:rPr>
                          <w:tab/>
                          <w:t>les véhicules</w:t>
                        </w:r>
                      </w:p>
                    </w:txbxContent>
                  </v:textbox>
                </v:shape>
                <v:shape id="Flowchart: Alternate Process 229" o:spid="_x0000_s1069" type="#_x0000_t176" href="" style="position:absolute;left:11599;top:10196;width:1786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" o:button="t" fillcolor="#76923c [2406]" strokecolor="white [3201]" strokeweight="1pt">
                  <v:fill o:detectmouseclick="t"/>
                  <v:shadow on="t" color="black" opacity="24903f" origin=",.5" offset="0,.55556mm"/>
                  <v:textbox inset="1.5mm,,1.5mm">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SC.1</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 routier</w:t>
                        </w:r>
                      </w:p>
                    </w:txbxContent>
                  </v:textbox>
                </v:shape>
                <v:shape id="Flowchart: Alternate Process 231" o:spid="_x0000_s1070" type="#_x0000_t176" href="" style="position:absolute;left:11599;top:15305;width:1786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" o:button="t" fillcolor="#76923c [2406]" strokecolor="white [3201]" strokeweight="1pt">
                  <v:fill o:detectmouseclick="t"/>
                  <v:shadow on="t" color="black" opacity="24903f" origin=",.5" offset="0,.55556mm"/>
                  <v:textbox inset="1.5mm,,1.5mm">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SC.2</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 ferroviaire</w:t>
                        </w:r>
                      </w:p>
                    </w:txbxContent>
                  </v:textbox>
                </v:shape>
                <v:shape id="Flowchart: Alternate Process 233" o:spid="_x0000_s1071" type="#_x0000_t176" href="" style="position:absolute;left:12037;top:34019;width:17194;height:4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60" w:lineRule="exact"/>
                          <w:textAlignment w:val="baseline"/>
                        </w:pPr>
                        <w:r w:rsidRPr="000B4D40">
                          <w:rPr>
                            <w:rFonts w:ascii="Calibri" w:hAnsi="Calibri" w:cs="Calibri"/>
                            <w:b/>
                            <w:bCs/>
                            <w:color w:val="FFFFFF" w:themeColor="background1"/>
                            <w:kern w:val="24"/>
                            <w:sz w:val="22"/>
                            <w:szCs w:val="22"/>
                          </w:rPr>
                          <w:t>WP.5</w:t>
                        </w:r>
                        <w:r w:rsidRPr="000B4D40">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 xml:space="preserve">Tendances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 xml:space="preserve">et économie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des transports</w:t>
                        </w:r>
                      </w:p>
                    </w:txbxContent>
                  </v:textbox>
                </v:shape>
                <v:shape id="Flowchart: Alternate Process 234" o:spid="_x0000_s1072" type="#_x0000_t176" style="position:absolute;left:12037;top:39602;width:1719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" fillcolor="#76923c [2406]" strokecolor="white [3201]" strokeweight="1p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WP.6</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 xml:space="preserve">Statistiques </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t>des transports</w:t>
                        </w:r>
                      </w:p>
                    </w:txbxContent>
                  </v:textbox>
                </v:shape>
                <v:shape id="Flowchart: Alternate Process 235" o:spid="_x0000_s1073" type="#_x0000_t176" href="" style="position:absolute;left:12037;top:44620;width:17135;height:4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WP.11</w:t>
                        </w:r>
                        <w:r>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Transport des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denrées périssables </w:t>
                        </w:r>
                      </w:p>
                    </w:txbxContent>
                  </v:textbox>
                </v:shape>
                <v:shape id="Flowchart: Alternate Process 239" o:spid="_x0000_s1074" type="#_x0000_t176" href="" style="position:absolute;left:12195;top:87798;width:17154;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WP.30</w:t>
                        </w:r>
                        <w:r w:rsidRPr="000B4D40">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 xml:space="preserve">Franchissement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 xml:space="preserve">des frontières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et problèmes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 xml:space="preserve">douaniers </w:t>
                        </w:r>
                        <w:r w:rsidRPr="000B4D40">
                          <w:rPr>
                            <w:rFonts w:ascii="Calibri" w:hAnsi="Calibri" w:cs="Calibri"/>
                            <w:color w:val="FFFFFF" w:themeColor="background1"/>
                            <w:kern w:val="24"/>
                            <w:sz w:val="18"/>
                            <w:szCs w:val="18"/>
                          </w:rPr>
                          <w:t>(TIR)</w:t>
                        </w:r>
                      </w:p>
                    </w:txbxContent>
                  </v:textbox>
                </v:shape>
                <v:group id="Group 18" o:spid="_x0000_s1075" style="position:absolute;left:-186;top:83186;width:11184;height:14576" coordorigin="-186,83186" coordsize="11185,1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lowchart: Alternate Process 247" o:spid="_x0000_s1076" type="#_x0000_t176" style="position:absolute;left:-65;top:83186;width:11063;height: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" fillcolor="#d99594 [1941]" strokecolor="white [3201]" strokeweight="1pt">
                    <v:shadow on="t" color="black" opacity="24903f" origin=",.5" offset="0,.55556mm"/>
                    <v:textbox inset="1.5mm,0,1mm,0">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AC.2</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Convention TIR, 1975</w:t>
                          </w:r>
                        </w:p>
                      </w:txbxContent>
                    </v:textbox>
                  </v:shape>
                  <v:shape id="Flowchart: Alternate Process 248" o:spid="_x0000_s1077" type="#_x0000_t176" style="position:absolute;left:-174;top:87007;width:11064;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" fillcolor="#d99594 [1941]" strokecolor="white [3201]" strokeweight="1pt">
                    <v:shadow on="t" color="black" opacity="24903f" origin=",.5" offset="0,.55556mm"/>
                    <v:textbox inset="1.5mm,0,1mm,0">
                      <w:txbxContent>
                        <w:p w:rsidR="003A38DC" w:rsidRPr="000B4D40" w:rsidRDefault="003A38DC" w:rsidP="003A38DC">
                          <w:pPr>
                            <w:pStyle w:val="NormalWeb"/>
                            <w:spacing w:before="0" w:beforeAutospacing="0" w:after="0" w:afterAutospacing="0" w:line="180" w:lineRule="exact"/>
                            <w:textAlignment w:val="baseline"/>
                          </w:pPr>
                          <w:r w:rsidRPr="000B4D40">
                            <w:rPr>
                              <w:rFonts w:ascii="Calibri" w:hAnsi="Calibri" w:cs="Calibri"/>
                              <w:b/>
                              <w:bCs/>
                              <w:color w:val="262626" w:themeColor="text1" w:themeTint="D9"/>
                              <w:kern w:val="24"/>
                              <w:sz w:val="16"/>
                              <w:szCs w:val="16"/>
                            </w:rPr>
                            <w:t>AC.3</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Harmonisation des contrôles des marchandises aux frontières, 1982</w:t>
                          </w:r>
                        </w:p>
                      </w:txbxContent>
                    </v:textbox>
                  </v:shape>
                  <v:shape id="Flowchart: Alternate Process 249" o:spid="_x0000_s1078" type="#_x0000_t176" style="position:absolute;left:-186;top:93136;width:11063;height:4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" fillcolor="#d99594 [1941]" strokecolor="white [3201]" strokeweight="1pt">
                    <v:shadow on="t" color="black" opacity="24903f" origin=",.5" offset="0,.55556mm"/>
                    <v:textbox inset="1.5mm,0,1mm,0">
                      <w:txbxContent>
                        <w:p w:rsidR="003A38DC" w:rsidRPr="00B31D29"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AC.4</w:t>
                          </w:r>
                          <w:r w:rsidRPr="000B4D40">
                            <w:rPr>
                              <w:rFonts w:ascii="Calibri" w:hAnsi="Calibri" w:cs="Calibri"/>
                              <w:color w:val="262626" w:themeColor="text1" w:themeTint="D9"/>
                              <w:kern w:val="24"/>
                              <w:sz w:val="16"/>
                              <w:szCs w:val="16"/>
                            </w:rPr>
                            <w:t xml:space="preserve">  </w:t>
                          </w:r>
                          <w:r w:rsidRPr="000B4D40">
                            <w:rPr>
                              <w:rFonts w:asciiTheme="minorHAnsi" w:hAnsi="Calibri" w:cstheme="minorBidi"/>
                              <w:color w:val="FFFFFF" w:themeColor="light1"/>
                              <w:kern w:val="24"/>
                              <w:sz w:val="16"/>
                              <w:szCs w:val="16"/>
                            </w:rPr>
                            <w:t xml:space="preserve"> </w:t>
                          </w:r>
                          <w:r w:rsidRPr="00B31D29">
                            <w:rPr>
                              <w:rFonts w:asciiTheme="minorHAnsi" w:hAnsi="Calibri" w:cstheme="minorBidi"/>
                              <w:color w:val="000000" w:themeColor="text1"/>
                              <w:kern w:val="24"/>
                              <w:sz w:val="15"/>
                              <w:szCs w:val="15"/>
                            </w:rPr>
                            <w:t>Régime douanier des conteneurs</w:t>
                          </w:r>
                          <w:r w:rsidRPr="00B31D29">
                            <w:rPr>
                              <w:rFonts w:ascii="Calibri" w:hAnsi="Calibri" w:cs="Calibri"/>
                              <w:color w:val="000000" w:themeColor="text1"/>
                              <w:kern w:val="24"/>
                              <w:sz w:val="15"/>
                              <w:szCs w:val="15"/>
                            </w:rPr>
                            <w:t>, 1994</w:t>
                          </w:r>
                        </w:p>
                      </w:txbxContent>
                    </v:textbox>
                  </v:shape>
                </v:group>
                <v:shape id="Flowchart: Alternate Process 70" o:spid="_x0000_s1079" type="#_x0000_t176" href="" style="position:absolute;left:52132;top:19001;width:13127;height:8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" o:button="t" fillcolor="#e5dfec [663]" strokecolor="white [3201]" strokeweight="3pt">
                  <v:fill o:detectmouseclick="t"/>
                  <v:shadow on="t" color="black" opacity="24903f" origin=",.5" offset="0,.55556mm"/>
                  <v:path arrowok="t"/>
                  <v:textbox inset="1.93564mm,.96786mm,1.93564mm,.96786mm">
                    <w:txbxContent>
                      <w:p w:rsidR="003A38DC" w:rsidRPr="000B4D40" w:rsidRDefault="003A38DC" w:rsidP="003A38DC">
                        <w:pPr>
                          <w:pStyle w:val="NormalWeb"/>
                          <w:spacing w:before="0" w:beforeAutospacing="0" w:after="0" w:afterAutospacing="0"/>
                          <w:jc w:val="center"/>
                        </w:pPr>
                        <w:r w:rsidRPr="000B4D40">
                          <w:rPr>
                            <w:rFonts w:ascii="Calibri" w:hAnsi="Calibri" w:cstheme="minorBidi"/>
                            <w:b/>
                            <w:bCs/>
                            <w:color w:val="4F6228" w:themeColor="accent3" w:themeShade="80"/>
                            <w:kern w:val="24"/>
                            <w:sz w:val="18"/>
                            <w:szCs w:val="18"/>
                          </w:rPr>
                          <w:t xml:space="preserve">Programme paneuropéen </w:t>
                        </w:r>
                        <w:r w:rsidRPr="000B4D40">
                          <w:rPr>
                            <w:rFonts w:ascii="Calibri" w:hAnsi="Calibri" w:cstheme="minorBidi"/>
                            <w:b/>
                            <w:bCs/>
                            <w:color w:val="4F6228" w:themeColor="accent3" w:themeShade="80"/>
                            <w:kern w:val="24"/>
                            <w:sz w:val="18"/>
                            <w:szCs w:val="18"/>
                          </w:rPr>
                          <w:br/>
                          <w:t xml:space="preserve">sur les transports, </w:t>
                        </w:r>
                        <w:r w:rsidRPr="000B4D40">
                          <w:rPr>
                            <w:rFonts w:ascii="Calibri" w:hAnsi="Calibri" w:cstheme="minorBidi"/>
                            <w:b/>
                            <w:bCs/>
                            <w:color w:val="4F6228" w:themeColor="accent3" w:themeShade="80"/>
                            <w:kern w:val="24"/>
                            <w:sz w:val="18"/>
                            <w:szCs w:val="18"/>
                          </w:rPr>
                          <w:br/>
                          <w:t xml:space="preserve">la santé </w:t>
                        </w:r>
                        <w:r w:rsidRPr="000B4D40">
                          <w:rPr>
                            <w:rFonts w:ascii="Calibri" w:hAnsi="Calibri" w:cstheme="minorBidi"/>
                            <w:b/>
                            <w:bCs/>
                            <w:color w:val="4F6228" w:themeColor="accent3" w:themeShade="80"/>
                            <w:kern w:val="24"/>
                            <w:sz w:val="18"/>
                            <w:szCs w:val="18"/>
                          </w:rPr>
                          <w:br/>
                          <w:t>et l</w:t>
                        </w:r>
                        <w:r>
                          <w:rPr>
                            <w:rFonts w:ascii="Calibri" w:hAnsi="Calibri" w:cstheme="minorBidi"/>
                            <w:b/>
                            <w:bCs/>
                            <w:color w:val="4F6228" w:themeColor="accent3" w:themeShade="80"/>
                            <w:kern w:val="24"/>
                            <w:sz w:val="18"/>
                            <w:szCs w:val="18"/>
                          </w:rPr>
                          <w:t>’</w:t>
                        </w:r>
                        <w:r w:rsidRPr="000B4D40">
                          <w:rPr>
                            <w:rFonts w:ascii="Calibri" w:hAnsi="Calibri" w:cstheme="minorBidi"/>
                            <w:b/>
                            <w:bCs/>
                            <w:color w:val="4F6228" w:themeColor="accent3" w:themeShade="80"/>
                            <w:kern w:val="24"/>
                            <w:sz w:val="18"/>
                            <w:szCs w:val="18"/>
                          </w:rPr>
                          <w:t xml:space="preserve">environnement  </w:t>
                        </w:r>
                      </w:p>
                      <w:p w:rsidR="003A38DC" w:rsidRPr="000B4D40" w:rsidRDefault="003A38DC" w:rsidP="003A38DC">
                        <w:pPr>
                          <w:pStyle w:val="NormalWeb"/>
                          <w:spacing w:before="0" w:beforeAutospacing="0" w:after="0" w:afterAutospacing="0"/>
                          <w:jc w:val="center"/>
                        </w:pPr>
                        <w:r w:rsidRPr="000B4D40">
                          <w:rPr>
                            <w:rFonts w:ascii="Calibri" w:hAnsi="Calibri" w:cstheme="minorBidi"/>
                            <w:b/>
                            <w:bCs/>
                            <w:color w:val="4F6228" w:themeColor="accent3" w:themeShade="80"/>
                            <w:kern w:val="24"/>
                            <w:sz w:val="18"/>
                            <w:szCs w:val="18"/>
                          </w:rPr>
                          <w:t>(PPE-TSE)</w:t>
                        </w:r>
                      </w:p>
                    </w:txbxContent>
                  </v:textbox>
                </v:shape>
                <v:line id="Straight Connector 27" o:spid="_x0000_s1080" style="position:absolute;flip:y;visibility:visible;mso-wrap-style:square" from="28644,22071" to="30469,2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" strokecolor="#4579b8 [3044]" strokeweight="1.5pt">
                  <o:lock v:ext="edit" shapetype="f"/>
                </v:line>
                <v:shape id="Flowchart: Alternate Process 232" o:spid="_x0000_s1081" type="#_x0000_t176" href="" style="position:absolute;left:11599;top:20302;width:17869;height:4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60" w:lineRule="exact"/>
                          <w:textAlignment w:val="baseline"/>
                        </w:pPr>
                        <w:r w:rsidRPr="000B4D40">
                          <w:rPr>
                            <w:rFonts w:ascii="Calibri" w:hAnsi="Calibri" w:cs="Calibri"/>
                            <w:b/>
                            <w:bCs/>
                            <w:color w:val="FFFFFF" w:themeColor="background1"/>
                            <w:kern w:val="24"/>
                            <w:sz w:val="22"/>
                            <w:szCs w:val="22"/>
                          </w:rPr>
                          <w:t>C.3</w:t>
                        </w:r>
                        <w:r>
                          <w:rPr>
                            <w:rFonts w:ascii="Calibri" w:hAnsi="Calibri" w:cs="Calibri"/>
                            <w:b/>
                            <w:bCs/>
                            <w:color w:val="FFFFFF" w:themeColor="background1"/>
                            <w:kern w:val="24"/>
                            <w:sz w:val="22"/>
                            <w:szCs w:val="22"/>
                          </w:rPr>
                          <w:tab/>
                        </w:r>
                        <w:r w:rsidRPr="000B4D40">
                          <w:rPr>
                            <w:rFonts w:asciiTheme="minorHAnsi" w:hAnsi="Calibri" w:cstheme="minorBidi"/>
                            <w:color w:val="FFFFFF" w:themeColor="light1"/>
                            <w:kern w:val="24"/>
                            <w:sz w:val="18"/>
                            <w:szCs w:val="18"/>
                          </w:rPr>
                          <w:t>Transport par voies</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de navigation</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intérieures</w:t>
                        </w:r>
                      </w:p>
                    </w:txbxContent>
                  </v:textbox>
                </v:shape>
                <v:shape id="Flowchart: Alternate Process 242" o:spid="_x0000_s1082" type="#_x0000_t176" style="position:absolute;left:30468;top:19267;width:18301;height:6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" fillcolor="#c2d69b [1942]" strokecolor="white [3201]" strokeweight="1pt">
                  <v:shadow on="t" color="black" opacity="24903f" origin=",.5" offset="0,.55556mm"/>
                  <v:textbox inset="1.5mm,0,1.5mm,0">
                    <w:txbxContent>
                      <w:p w:rsidR="003A38DC" w:rsidRDefault="003A38DC" w:rsidP="003A38DC">
                        <w:pPr>
                          <w:pStyle w:val="NormalWeb"/>
                          <w:tabs>
                            <w:tab w:val="left" w:pos="570"/>
                          </w:tabs>
                          <w:spacing w:before="0" w:beforeAutospacing="0" w:after="0" w:afterAutospacing="0" w:line="180" w:lineRule="exact"/>
                          <w:textAlignment w:val="baseline"/>
                          <w:rPr>
                            <w:rFonts w:ascii="Calibri" w:hAnsi="Calibri" w:cs="Calibri"/>
                            <w:b/>
                            <w:bCs/>
                            <w:color w:val="4F6228" w:themeColor="accent3" w:themeShade="80"/>
                            <w:kern w:val="24"/>
                            <w:sz w:val="16"/>
                            <w:szCs w:val="16"/>
                          </w:rPr>
                        </w:pPr>
                        <w:r w:rsidRPr="000B4D40">
                          <w:rPr>
                            <w:rFonts w:ascii="Calibri" w:hAnsi="Calibri" w:cs="Calibri"/>
                            <w:b/>
                            <w:bCs/>
                            <w:color w:val="4F6228" w:themeColor="accent3" w:themeShade="80"/>
                            <w:kern w:val="24"/>
                            <w:sz w:val="16"/>
                            <w:szCs w:val="16"/>
                          </w:rPr>
                          <w:t>WP.3</w:t>
                        </w:r>
                        <w:r w:rsidRPr="000B4D40">
                          <w:rPr>
                            <w:rFonts w:ascii="Calibri" w:hAnsi="Calibri" w:cs="Calibri"/>
                            <w:b/>
                            <w:bCs/>
                            <w:color w:val="4F6228" w:themeColor="accent3" w:themeShade="80"/>
                            <w:kern w:val="24"/>
                            <w:sz w:val="16"/>
                            <w:szCs w:val="16"/>
                          </w:rPr>
                          <w:tab/>
                        </w:r>
                        <w:r w:rsidRPr="000B4D40">
                          <w:rPr>
                            <w:rFonts w:asciiTheme="minorHAnsi" w:hAnsi="Calibri" w:cstheme="minorBidi"/>
                            <w:b/>
                            <w:bCs/>
                            <w:color w:val="FFFFFF" w:themeColor="light1"/>
                            <w:kern w:val="24"/>
                            <w:sz w:val="16"/>
                            <w:szCs w:val="16"/>
                          </w:rPr>
                          <w:t xml:space="preserve"> </w:t>
                        </w:r>
                        <w:r w:rsidRPr="000B4D40">
                          <w:rPr>
                            <w:rFonts w:asciiTheme="minorHAnsi" w:hAnsi="Calibri" w:cstheme="minorBidi"/>
                            <w:b/>
                            <w:bCs/>
                            <w:color w:val="4F6228" w:themeColor="accent3" w:themeShade="80"/>
                            <w:kern w:val="24"/>
                            <w:sz w:val="16"/>
                            <w:szCs w:val="16"/>
                          </w:rPr>
                          <w:t>U</w:t>
                        </w:r>
                        <w:r w:rsidRPr="000B4D40">
                          <w:rPr>
                            <w:rFonts w:ascii="Calibri" w:hAnsi="Calibri" w:cs="Calibri"/>
                            <w:b/>
                            <w:bCs/>
                            <w:color w:val="4F6228" w:themeColor="accent3" w:themeShade="80"/>
                            <w:kern w:val="24"/>
                            <w:sz w:val="16"/>
                            <w:szCs w:val="16"/>
                          </w:rPr>
                          <w:t xml:space="preserve">nification </w:t>
                        </w:r>
                      </w:p>
                      <w:p w:rsidR="003A38DC" w:rsidRPr="000B4D40" w:rsidRDefault="003A38DC" w:rsidP="003A38DC">
                        <w:pPr>
                          <w:pStyle w:val="NormalWeb"/>
                          <w:tabs>
                            <w:tab w:val="left" w:pos="570"/>
                          </w:tabs>
                          <w:spacing w:before="0" w:beforeAutospacing="0" w:after="0" w:afterAutospacing="0" w:line="180" w:lineRule="exact"/>
                          <w:textAlignment w:val="baseline"/>
                        </w:pPr>
                        <w:r>
                          <w:rPr>
                            <w:rFonts w:ascii="Calibri" w:hAnsi="Calibri" w:cs="Calibri"/>
                            <w:b/>
                            <w:bCs/>
                            <w:color w:val="4F6228" w:themeColor="accent3" w:themeShade="80"/>
                            <w:kern w:val="24"/>
                            <w:sz w:val="16"/>
                            <w:szCs w:val="16"/>
                          </w:rPr>
                          <w:tab/>
                        </w:r>
                        <w:r w:rsidRPr="000B4D40">
                          <w:rPr>
                            <w:rFonts w:ascii="Calibri" w:hAnsi="Calibri" w:cs="Calibri"/>
                            <w:b/>
                            <w:bCs/>
                            <w:color w:val="4F6228" w:themeColor="accent3" w:themeShade="80"/>
                            <w:kern w:val="24"/>
                            <w:sz w:val="16"/>
                            <w:szCs w:val="16"/>
                          </w:rPr>
                          <w:t xml:space="preserve">des prescriptions </w:t>
                        </w:r>
                        <w:r>
                          <w:rPr>
                            <w:rFonts w:ascii="Calibri" w:hAnsi="Calibri" w:cs="Calibri"/>
                            <w:b/>
                            <w:bCs/>
                            <w:color w:val="4F6228" w:themeColor="accent3" w:themeShade="80"/>
                            <w:kern w:val="24"/>
                            <w:sz w:val="16"/>
                            <w:szCs w:val="16"/>
                          </w:rPr>
                          <w:br/>
                        </w:r>
                        <w:r>
                          <w:rPr>
                            <w:rFonts w:ascii="Calibri" w:hAnsi="Calibri" w:cs="Calibri"/>
                            <w:b/>
                            <w:bCs/>
                            <w:color w:val="4F6228" w:themeColor="accent3" w:themeShade="80"/>
                            <w:kern w:val="24"/>
                            <w:sz w:val="16"/>
                            <w:szCs w:val="16"/>
                          </w:rPr>
                          <w:tab/>
                        </w:r>
                        <w:r w:rsidRPr="000B4D40">
                          <w:rPr>
                            <w:rFonts w:ascii="Calibri" w:hAnsi="Calibri" w:cs="Calibri"/>
                            <w:b/>
                            <w:bCs/>
                            <w:color w:val="4F6228" w:themeColor="accent3" w:themeShade="80"/>
                            <w:kern w:val="24"/>
                            <w:sz w:val="16"/>
                            <w:szCs w:val="16"/>
                          </w:rPr>
                          <w:t xml:space="preserve">techniques et de sécurité </w:t>
                        </w:r>
                        <w:r>
                          <w:rPr>
                            <w:rFonts w:ascii="Calibri" w:hAnsi="Calibri" w:cs="Calibri"/>
                            <w:b/>
                            <w:bCs/>
                            <w:color w:val="4F6228" w:themeColor="accent3" w:themeShade="80"/>
                            <w:kern w:val="24"/>
                            <w:sz w:val="16"/>
                            <w:szCs w:val="16"/>
                          </w:rPr>
                          <w:br/>
                        </w:r>
                        <w:r>
                          <w:rPr>
                            <w:rFonts w:ascii="Calibri" w:hAnsi="Calibri" w:cs="Calibri"/>
                            <w:b/>
                            <w:bCs/>
                            <w:color w:val="4F6228" w:themeColor="accent3" w:themeShade="80"/>
                            <w:kern w:val="24"/>
                            <w:sz w:val="16"/>
                            <w:szCs w:val="16"/>
                          </w:rPr>
                          <w:tab/>
                        </w:r>
                        <w:r w:rsidRPr="000B4D40">
                          <w:rPr>
                            <w:rFonts w:ascii="Calibri" w:hAnsi="Calibri" w:cs="Calibri"/>
                            <w:b/>
                            <w:bCs/>
                            <w:color w:val="4F6228" w:themeColor="accent3" w:themeShade="80"/>
                            <w:kern w:val="24"/>
                            <w:sz w:val="16"/>
                            <w:szCs w:val="16"/>
                          </w:rPr>
                          <w:t>en navigation intérieure</w:t>
                        </w:r>
                      </w:p>
                    </w:txbxContent>
                  </v:textbox>
                </v:shape>
                <v:shape id="Flowchart: Alternate Process 103" o:spid="_x0000_s1083" type="#_x0000_t176" href="" style="position:absolute;left:30699;top:10218;width:1805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" o:button="t" fillcolor="#f2dbdb [661]" strokecolor="white [3201]" strokeweight="1pt">
                  <v:fill o:detectmouseclick="t"/>
                  <v:shadow on="t" color="black" opacity="24903f" origin=",.5" offset="0,.55556mm"/>
                  <v:textbox inset="1.5mm,,1.5mm">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Groupe d’experts de l’AETR</w:t>
                        </w:r>
                      </w:p>
                    </w:txbxContent>
                  </v:textbox>
                </v:shape>
                <v:shape id="Flowchart: Alternate Process 107" o:spid="_x0000_s1084" type="#_x0000_t176" href="" style="position:absolute;left:30699;top:15075;width:18057;height:4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" o:button="t" fillcolor="#f2dbdb [661]"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line="180" w:lineRule="exact"/>
                          <w:textAlignment w:val="baseline"/>
                        </w:pPr>
                        <w:r w:rsidRPr="000B4D40">
                          <w:rPr>
                            <w:rFonts w:ascii="Calibri" w:hAnsi="Calibri" w:cs="Calibri"/>
                            <w:b/>
                            <w:bCs/>
                            <w:color w:val="4F6228" w:themeColor="accent3" w:themeShade="80"/>
                            <w:kern w:val="24"/>
                            <w:sz w:val="16"/>
                            <w:szCs w:val="16"/>
                          </w:rPr>
                          <w:t>Groupe d’experts pour l'uniformisation du droit ferroviaire</w:t>
                        </w:r>
                      </w:p>
                    </w:txbxContent>
                  </v:textbox>
                </v:shape>
                <v:group id="Group 49" o:spid="_x0000_s1085" style="position:absolute;left:30225;top:32054;width:17465;height:16787" coordorigin="30208,32054" coordsize="18277,1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lowchart: Alternate Process 108" o:spid="_x0000_s1086" type="#_x0000_t176" href="" style="position:absolute;left:30208;top:32054;width:18273;height:9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" o:button="t" fillcolor="#f2dbdb [661]"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d’experts chargé d’étudier les effets des changements climatiques sur les réseaux et nœuds de transport internationaux et l’adaptation</w:t>
                          </w:r>
                          <w:r>
                            <w:rPr>
                              <w:rFonts w:asciiTheme="minorHAnsi" w:hAnsi="Calibri" w:cstheme="minorBidi"/>
                              <w:b/>
                              <w:bCs/>
                              <w:color w:val="4F6228" w:themeColor="accent3" w:themeShade="80"/>
                              <w:kern w:val="24"/>
                              <w:sz w:val="16"/>
                              <w:szCs w:val="16"/>
                            </w:rPr>
                            <w:br/>
                          </w:r>
                          <w:r w:rsidRPr="000B4D40">
                            <w:rPr>
                              <w:rFonts w:asciiTheme="minorHAnsi" w:hAnsi="Calibri" w:cstheme="minorBidi"/>
                              <w:b/>
                              <w:bCs/>
                              <w:color w:val="4F6228" w:themeColor="accent3" w:themeShade="80"/>
                              <w:kern w:val="24"/>
                              <w:sz w:val="16"/>
                              <w:szCs w:val="16"/>
                            </w:rPr>
                            <w:t>à ces changements</w:t>
                          </w:r>
                        </w:p>
                      </w:txbxContent>
                    </v:textbox>
                  </v:shape>
                  <v:shape id="Flowchart: Alternate Process 109" o:spid="_x0000_s1087" type="#_x0000_t176" href="" style="position:absolute;left:30213;top:42227;width:18273;height:6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" o:button="t" fillcolor="#f2dbdb [661]"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w:t>
                          </w:r>
                          <w:r>
                            <w:rPr>
                              <w:rFonts w:asciiTheme="minorHAnsi" w:hAnsi="Calibri" w:cstheme="minorBidi"/>
                              <w:b/>
                              <w:bCs/>
                              <w:color w:val="4F6228" w:themeColor="accent3" w:themeShade="80"/>
                              <w:kern w:val="24"/>
                              <w:sz w:val="16"/>
                              <w:szCs w:val="16"/>
                            </w:rPr>
                            <w:t>’</w:t>
                          </w:r>
                          <w:r w:rsidRPr="000B4D40">
                            <w:rPr>
                              <w:rFonts w:asciiTheme="minorHAnsi" w:hAnsi="Calibri" w:cstheme="minorBidi"/>
                              <w:b/>
                              <w:bCs/>
                              <w:color w:val="4F6228" w:themeColor="accent3" w:themeShade="80"/>
                              <w:kern w:val="24"/>
                              <w:sz w:val="16"/>
                              <w:szCs w:val="16"/>
                            </w:rPr>
                            <w:t>experts</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de l’évaluation comparative des coûts de construction</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des infrastructures de transport</w:t>
                          </w:r>
                        </w:p>
                      </w:txbxContent>
                    </v:textbox>
                  </v:shape>
                </v:group>
                <v:shape id="Flowchart: Alternate Process 124" o:spid="_x0000_s1088" type="#_x0000_t176" href="" style="position:absolute;left:53194;top:10037;width:12954;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423"/>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C.3</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Sous-comité</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d’experts du TMD</w:t>
                        </w:r>
                      </w:p>
                    </w:txbxContent>
                  </v:textbox>
                </v:shape>
                <v:shape id="Flowchart: Alternate Process 125" o:spid="_x0000_s1089" type="#_x0000_t176" href="" style="position:absolute;left:53252;top:14401;width:12896;height:3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423"/>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C.4</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Sous-comité</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d’experts du SGH</w:t>
                        </w:r>
                      </w:p>
                    </w:txbxContent>
                  </v:textbox>
                </v:shape>
                <v:shape id="Flowchart: Alternate Process 128" o:spid="_x0000_s1090" type="#_x0000_t176" href="" style="position:absolute;left:49998;top:4956;width:16200;height:4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AC.10</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 xml:space="preserve">Comité d’experts </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r>
                        <w:r w:rsidRPr="000B4D40">
                          <w:rPr>
                            <w:rFonts w:asciiTheme="minorHAnsi" w:hAnsi="Calibri" w:cstheme="minorBidi"/>
                            <w:color w:val="FFFFFF" w:themeColor="light1"/>
                            <w:kern w:val="24"/>
                            <w:sz w:val="18"/>
                            <w:szCs w:val="18"/>
                          </w:rPr>
                          <w:t>du TMD et du SGH</w:t>
                        </w:r>
                      </w:p>
                    </w:txbxContent>
                  </v:textbox>
                </v:shape>
                <v:shape id="Flowchart: Alternate Process 129" o:spid="_x0000_s1091" type="#_x0000_t176" style="position:absolute;left:39112;width:27086;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" fillcolor="#17365d [2415]" strokecolor="white [3201]" strokeweight="1pt">
                  <v:shadow on="t" color="black" opacity="24903f" origin=",.5" offset="0,.55556mm"/>
                  <v:textbox inset=",0,,0">
                    <w:txbxContent>
                      <w:p w:rsidR="003A38DC" w:rsidRPr="000B4D40" w:rsidRDefault="003A38DC" w:rsidP="003A38DC">
                        <w:pPr>
                          <w:pStyle w:val="NormalWeb"/>
                          <w:spacing w:before="0" w:beforeAutospacing="0" w:after="0" w:afterAutospacing="0"/>
                          <w:jc w:val="center"/>
                          <w:textAlignment w:val="baseline"/>
                        </w:pPr>
                        <w:r w:rsidRPr="000B4D40">
                          <w:rPr>
                            <w:rFonts w:asciiTheme="minorHAnsi" w:hAnsi="Calibri" w:cstheme="minorBidi"/>
                            <w:b/>
                            <w:bCs/>
                            <w:color w:val="FFFFFF" w:themeColor="background1"/>
                            <w:kern w:val="24"/>
                            <w:sz w:val="28"/>
                            <w:szCs w:val="28"/>
                          </w:rPr>
                          <w:t>Conseil économique et social</w:t>
                        </w:r>
                      </w:p>
                    </w:txbxContent>
                  </v:textbox>
                </v:shape>
                <v:shape id="Flowchart: Alternate Process 237" o:spid="_x0000_s1092" type="#_x0000_t176" href="" style="position:absolute;left:12037;top:60549;width:17099;height:5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WP.24</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r>
                        <w:r w:rsidRPr="000B4D40">
                          <w:rPr>
                            <w:rFonts w:asciiTheme="minorHAnsi" w:hAnsi="Calibri" w:cstheme="minorBidi"/>
                            <w:color w:val="FFFFFF" w:themeColor="light1"/>
                            <w:kern w:val="24"/>
                            <w:sz w:val="18"/>
                            <w:szCs w:val="18"/>
                          </w:rPr>
                          <w:t>intermodal </w:t>
                        </w:r>
                        <w:r w:rsidRPr="000B4D40">
                          <w:rPr>
                            <w:rFonts w:asciiTheme="minorHAnsi" w:hAnsi="Calibri" w:cstheme="minorBidi"/>
                            <w:color w:val="FFFFFF" w:themeColor="light1"/>
                            <w:kern w:val="24"/>
                            <w:sz w:val="18"/>
                            <w:szCs w:val="18"/>
                          </w:rPr>
                          <w:br/>
                        </w:r>
                        <w:r w:rsidRPr="000B4D40">
                          <w:rPr>
                            <w:rFonts w:asciiTheme="minorHAnsi" w:hAnsi="Calibri" w:cstheme="minorBidi"/>
                            <w:color w:val="FFFFFF" w:themeColor="light1"/>
                            <w:kern w:val="24"/>
                            <w:sz w:val="18"/>
                            <w:szCs w:val="18"/>
                          </w:rPr>
                          <w:tab/>
                          <w:t>et logistique</w:t>
                        </w:r>
                      </w:p>
                    </w:txbxContent>
                  </v:textbox>
                </v:shape>
                <v:group id="Group 136" o:spid="_x0000_s1093" style="position:absolute;left:62;top:58620;width:11064;height:8624" coordorigin="62,58620" coordsize="11064,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lowchart: Alternate Process 137" o:spid="_x0000_s1094" type="#_x0000_t176" style="position:absolute;left:62;top:58620;width:11064;height:3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" fillcolor="#d99594 [1941]" strokecolor="white [3201]" strokeweight="1pt">
                    <v:shadow on="t" color="black" opacity="24903f" origin=",.5" offset="0,.55556mm"/>
                    <v:textbox inset="1.5mm,,1mm">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Accord AGTC</w:t>
                          </w:r>
                        </w:p>
                      </w:txbxContent>
                    </v:textbox>
                  </v:shape>
                  <v:shape id="Flowchart: Alternate Process 139" o:spid="_x0000_s1095" type="#_x0000_t176" style="position:absolute;left:62;top:62351;width:11064;height:4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" fillcolor="#d99594 [1941]" strokecolor="white [3201]" strokeweight="1pt">
                    <v:shadow on="t" color="black" opacity="24903f" origin=",.5" offset="0,.55556mm"/>
                    <v:textbox inset="1.5mm,0,1mm,0">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 xml:space="preserve">Protocole </w:t>
                          </w:r>
                          <w:r w:rsidRPr="00F11D07">
                            <w:rPr>
                              <w:rFonts w:ascii="Calibri" w:hAnsi="Calibri" w:cs="Calibri"/>
                              <w:color w:val="000000" w:themeColor="text1"/>
                              <w:kern w:val="24"/>
                              <w:sz w:val="15"/>
                              <w:szCs w:val="15"/>
                            </w:rPr>
                            <w:t xml:space="preserve">AGTC </w:t>
                          </w:r>
                          <w:r w:rsidRPr="00F11D07">
                            <w:rPr>
                              <w:rFonts w:ascii="Calibri" w:hAnsi="Calibri" w:cs="Calibri"/>
                              <w:color w:val="262626" w:themeColor="text1" w:themeTint="D9"/>
                              <w:kern w:val="24"/>
                              <w:sz w:val="15"/>
                              <w:szCs w:val="15"/>
                            </w:rPr>
                            <w:t>voies de navigation</w:t>
                          </w:r>
                          <w:r w:rsidRPr="000B4D40">
                            <w:rPr>
                              <w:rFonts w:ascii="Calibri" w:hAnsi="Calibri" w:cs="Calibri"/>
                              <w:color w:val="262626" w:themeColor="text1" w:themeTint="D9"/>
                              <w:kern w:val="24"/>
                              <w:sz w:val="16"/>
                              <w:szCs w:val="16"/>
                            </w:rPr>
                            <w:t xml:space="preserve"> </w:t>
                          </w:r>
                          <w:r w:rsidRPr="005F2BF1">
                            <w:rPr>
                              <w:rFonts w:ascii="Calibri" w:hAnsi="Calibri" w:cs="Calibri"/>
                              <w:color w:val="262626" w:themeColor="text1" w:themeTint="D9"/>
                              <w:kern w:val="24"/>
                              <w:sz w:val="15"/>
                              <w:szCs w:val="15"/>
                            </w:rPr>
                            <w:t>intérieures</w:t>
                          </w:r>
                        </w:p>
                      </w:txbxContent>
                    </v:textbox>
                  </v:shape>
                </v:group>
                <v:shape id="Flowchart: Alternate Process 143" o:spid="_x0000_s1096" type="#_x0000_t176" style="position:absolute;left:62;top:44261;width:11064;height:3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" fillcolor="#d99594 [1941]" strokecolor="white [3201]" strokeweight="1pt">
                  <v:shadow on="t" color="black" opacity="24903f" origin=",.5" offset="0,.55556mm"/>
                  <v:textbox inset="1.5mm,,1mm">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000000" w:themeColor="text1"/>
                            <w:kern w:val="24"/>
                            <w:sz w:val="15"/>
                            <w:szCs w:val="15"/>
                          </w:rPr>
                          <w:t>ATP (art. 18.1)</w:t>
                        </w:r>
                      </w:p>
                    </w:txbxContent>
                  </v:textbox>
                </v:shape>
                <v:shape id="Flowchart: Alternate Process 146" o:spid="_x0000_s1097" type="#_x0000_t176" style="position:absolute;left:62;top:19944;width:1044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" fillcolor="#d99594 [1941]" strokecolor="white [3201]" strokeweight="1pt">
                  <v:shadow on="t" color="black" opacity="24903f" origin=",.5" offset="0,.55556mm"/>
                  <v:textbox inset="1.5mm,,1mm">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Accord  </w:t>
                        </w:r>
                        <w:r w:rsidRPr="000B4D40">
                          <w:rPr>
                            <w:rFonts w:ascii="Calibri" w:hAnsi="Calibri" w:cs="Calibri"/>
                            <w:color w:val="000000" w:themeColor="text1"/>
                            <w:kern w:val="24"/>
                            <w:sz w:val="16"/>
                            <w:szCs w:val="16"/>
                          </w:rPr>
                          <w:t>AGN</w:t>
                        </w:r>
                      </w:p>
                    </w:txbxContent>
                  </v:textbox>
                </v:shape>
                <v:shape id="Flowchart: Alternate Process 147" o:spid="_x0000_s1098" type="#_x0000_t176" style="position:absolute;left:62;top:14946;width:1044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" fillcolor="#d99594 [1941]" strokecolor="white [3201]" strokeweight="1pt">
                  <v:shadow on="t" color="black" opacity="24903f" origin=",.5" offset="0,.55556mm"/>
                  <v:textbox inset="1.5mm,,1mm">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Accord </w:t>
                        </w:r>
                        <w:r w:rsidRPr="000B4D40">
                          <w:rPr>
                            <w:rFonts w:ascii="Calibri" w:hAnsi="Calibri" w:cs="Calibri"/>
                            <w:color w:val="000000" w:themeColor="text1"/>
                            <w:kern w:val="24"/>
                            <w:sz w:val="16"/>
                            <w:szCs w:val="16"/>
                          </w:rPr>
                          <w:t>AGC</w:t>
                        </w:r>
                      </w:p>
                    </w:txbxContent>
                  </v:textbox>
                </v:shape>
                <v:shape id="Flowchart: Alternate Process 148" o:spid="_x0000_s1099" type="#_x0000_t176" style="position:absolute;left:62;top:9859;width:1044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" fillcolor="#d99594 [1941]" strokecolor="white [3201]" strokeweight="1pt">
                  <v:shadow on="t" color="black" opacity="24903f" origin=",.5" offset="0,.55556mm"/>
                  <v:textbox inset="1.5mm,,1mm">
                    <w:txbxContent>
                      <w:p w:rsidR="003A38DC" w:rsidRPr="000B4D40" w:rsidRDefault="003A38DC" w:rsidP="003A38DC">
                        <w:pPr>
                          <w:pStyle w:val="NormalWeb"/>
                          <w:spacing w:before="0" w:beforeAutospacing="0" w:after="0" w:afterAutospacing="0"/>
                          <w:textAlignment w:val="baseline"/>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Accord </w:t>
                        </w:r>
                        <w:r w:rsidRPr="000B4D40">
                          <w:rPr>
                            <w:rFonts w:ascii="Calibri" w:hAnsi="Calibri" w:cs="Calibri"/>
                            <w:color w:val="000000" w:themeColor="text1"/>
                            <w:kern w:val="24"/>
                            <w:sz w:val="16"/>
                            <w:szCs w:val="16"/>
                          </w:rPr>
                          <w:t>AGR</w:t>
                        </w:r>
                      </w:p>
                    </w:txbxContent>
                  </v:textbox>
                </v:shape>
                <v:shape id="Flowchart: Alternate Process 142" o:spid="_x0000_s1100" type="#_x0000_t176" style="position:absolute;left:62;top:48496;width:11064;height:5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" fillcolor="#d99594 [1941]" strokecolor="white [3201]" strokeweight="1pt">
                  <v:shadow on="t" color="black" opacity="24903f" origin=",.5" offset="0,.55556mm"/>
                  <v:textbox inset="1.5mm,0,1mm,0">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000000" w:themeColor="text1"/>
                            <w:kern w:val="24"/>
                            <w:sz w:val="15"/>
                            <w:szCs w:val="15"/>
                          </w:rPr>
                          <w:t xml:space="preserve">ADR (Protocole de 1993 une fois </w:t>
                        </w:r>
                        <w:r w:rsidRPr="00F11D07">
                          <w:rPr>
                            <w:rFonts w:ascii="Calibri" w:hAnsi="Calibri" w:cs="Calibri"/>
                            <w:color w:val="000000" w:themeColor="text1"/>
                            <w:kern w:val="24"/>
                            <w:sz w:val="15"/>
                            <w:szCs w:val="15"/>
                          </w:rPr>
                          <w:br/>
                          <w:t>en vigueur)</w:t>
                        </w:r>
                      </w:p>
                    </w:txbxContent>
                  </v:textbox>
                </v:shape>
                <v:shape id="Flowchart: Alternate Process 163" o:spid="_x0000_s1101" type="#_x0000_t176" style="position:absolute;left:62;top:53899;width:11183;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" fillcolor="#d99594 [1941]" strokecolor="white [3201]" strokeweight="1pt">
                  <v:shadow on="t" color="black" opacity="24903f" origin=",.5" offset="0,.55556mm"/>
                  <v:textbox inset="1.5mm,,1mm">
                    <w:txbxContent>
                      <w:p w:rsidR="003A38DC" w:rsidRPr="00F11D07" w:rsidRDefault="003A38DC" w:rsidP="003A38DC">
                        <w:pPr>
                          <w:pStyle w:val="NormalWeb"/>
                          <w:spacing w:before="0" w:beforeAutospacing="0" w:after="0" w:afterAutospacing="0"/>
                          <w:textAlignment w:val="baseline"/>
                          <w:rPr>
                            <w:sz w:val="15"/>
                            <w:szCs w:val="15"/>
                          </w:rPr>
                        </w:pPr>
                        <w:r w:rsidRPr="000B4D40">
                          <w:rPr>
                            <w:rFonts w:ascii="Calibri" w:hAnsi="Calibri" w:cs="Calibri"/>
                            <w:b/>
                            <w:bCs/>
                            <w:color w:val="262626" w:themeColor="text1" w:themeTint="D9"/>
                            <w:kern w:val="24"/>
                            <w:sz w:val="16"/>
                            <w:szCs w:val="16"/>
                          </w:rPr>
                          <w:t>AC</w:t>
                        </w:r>
                        <w:r w:rsidRPr="000B4D40">
                          <w:rPr>
                            <w:rFonts w:ascii="Calibri" w:hAnsi="Calibri" w:cs="Calibri"/>
                            <w:color w:val="262626" w:themeColor="text1" w:themeTint="D9"/>
                            <w:kern w:val="24"/>
                            <w:sz w:val="16"/>
                            <w:szCs w:val="16"/>
                          </w:rPr>
                          <w:t xml:space="preserve">. </w:t>
                        </w:r>
                        <w:r w:rsidRPr="00F11D07">
                          <w:rPr>
                            <w:rFonts w:ascii="Calibri" w:hAnsi="Calibri" w:cs="Calibri"/>
                            <w:color w:val="262626" w:themeColor="text1" w:themeTint="D9"/>
                            <w:kern w:val="24"/>
                            <w:sz w:val="15"/>
                            <w:szCs w:val="15"/>
                          </w:rPr>
                          <w:t xml:space="preserve">Accord </w:t>
                        </w:r>
                        <w:r w:rsidRPr="00F11D07">
                          <w:rPr>
                            <w:rFonts w:ascii="Calibri" w:hAnsi="Calibri" w:cs="Calibri"/>
                            <w:color w:val="000000" w:themeColor="text1"/>
                            <w:kern w:val="24"/>
                            <w:sz w:val="15"/>
                            <w:szCs w:val="15"/>
                          </w:rPr>
                          <w:t>ADN</w:t>
                        </w:r>
                      </w:p>
                    </w:txbxContent>
                  </v:textbox>
                </v:shape>
                <v:group id="Group 8" o:spid="_x0000_s1102" style="position:absolute;left:49898;top:75544;width:15176;height:21022" coordorigin="49898,75544" coordsize="15176,2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1" o:spid="_x0000_s1103" style="position:absolute;left:49898;top:75544;width:15176;height:2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" fillcolor="#cbcbcb" stroked="f" strokeweight="3pt">
                    <v:shadow on="t" color="black" opacity="24903f" origin=",.5" offset="0,.55556mm"/>
                    <v:textbox inset="3mm,0,3mm,0">
                      <w:txbxContent>
                        <w:p w:rsidR="003A38DC" w:rsidRPr="000B4D40" w:rsidRDefault="003A38DC" w:rsidP="003A38DC">
                          <w:pPr>
                            <w:pStyle w:val="NormalWeb"/>
                            <w:spacing w:before="0" w:beforeAutospacing="0" w:after="0" w:afterAutospacing="0"/>
                            <w:jc w:val="center"/>
                          </w:pPr>
                          <w:r w:rsidRPr="000B4D40">
                            <w:rPr>
                              <w:rFonts w:asciiTheme="minorHAnsi" w:hAnsi="Calibri" w:cstheme="minorBidi"/>
                              <w:b/>
                              <w:bCs/>
                              <w:color w:val="FFFFFF" w:themeColor="background1"/>
                              <w:kern w:val="24"/>
                              <w:sz w:val="28"/>
                              <w:szCs w:val="28"/>
                            </w:rPr>
                            <w:t>LÉGENDE</w:t>
                          </w:r>
                        </w:p>
                      </w:txbxContent>
                    </v:textbox>
                  </v:rect>
                  <v:shape id="Flowchart: Alternate Process 324" o:spid="_x0000_s1104" type="#_x0000_t176" style="position:absolute;left:50253;top:92953;width:14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" fillcolor="#d99594 [1941]" strokecolor="white [3201]" strokeweight="1pt">
                    <v:shadow on="t" color="black" opacity="24903f" origin=",.5" offset="0,.55556mm"/>
                    <v:textbox inset="1.5mm,0,1mm,0">
                      <w:txbxContent>
                        <w:p w:rsidR="003A38DC" w:rsidRPr="000B4D40" w:rsidRDefault="003A38DC" w:rsidP="003A38DC">
                          <w:pPr>
                            <w:pStyle w:val="NormalWeb"/>
                            <w:spacing w:before="0" w:beforeAutospacing="0" w:after="0" w:afterAutospacing="0" w:line="200" w:lineRule="exact"/>
                            <w:textAlignment w:val="baseline"/>
                          </w:pPr>
                          <w:r w:rsidRPr="000B4D40">
                            <w:rPr>
                              <w:rFonts w:ascii="Calibri" w:hAnsi="Calibri" w:cs="Calibri"/>
                              <w:color w:val="000000" w:themeColor="text1"/>
                              <w:kern w:val="24"/>
                              <w:sz w:val="18"/>
                              <w:szCs w:val="18"/>
                            </w:rPr>
                            <w:t xml:space="preserve">Organe conventionnel </w:t>
                          </w:r>
                        </w:p>
                        <w:p w:rsidR="003A38DC" w:rsidRPr="000B4D40" w:rsidRDefault="003A38DC" w:rsidP="003A38DC">
                          <w:pPr>
                            <w:pStyle w:val="NormalWeb"/>
                            <w:spacing w:before="0" w:beforeAutospacing="0" w:after="0" w:afterAutospacing="0" w:line="200" w:lineRule="exact"/>
                            <w:textAlignment w:val="baseline"/>
                          </w:pPr>
                          <w:r w:rsidRPr="000B4D40">
                            <w:rPr>
                              <w:rFonts w:ascii="Calibri" w:hAnsi="Calibri" w:cs="Calibri"/>
                              <w:color w:val="000000" w:themeColor="text1"/>
                              <w:kern w:val="24"/>
                              <w:sz w:val="18"/>
                              <w:szCs w:val="18"/>
                            </w:rPr>
                            <w:t>(A.C : Comité de gestion)</w:t>
                          </w:r>
                        </w:p>
                      </w:txbxContent>
                    </v:textbox>
                  </v:shape>
                  <v:shape id="Flowchart: Alternate Process 325" o:spid="_x0000_s1105" type="#_x0000_t176" style="position:absolute;left:50154;top:78580;width:14400;height:4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" fillcolor="#76923c [2406]" strokecolor="white [3201]" strokeweight="1p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18"/>
                              <w:szCs w:val="18"/>
                            </w:rPr>
                            <w:t xml:space="preserve">Groupe de travail (WP) </w:t>
                          </w:r>
                          <w:r w:rsidRPr="000B4D40">
                            <w:rPr>
                              <w:rFonts w:ascii="Calibri" w:hAnsi="Calibri" w:cs="Calibri"/>
                              <w:b/>
                              <w:bCs/>
                              <w:color w:val="FFFFFF" w:themeColor="background1"/>
                              <w:kern w:val="24"/>
                              <w:sz w:val="18"/>
                              <w:szCs w:val="18"/>
                            </w:rPr>
                            <w:br/>
                            <w:t>ou Comité directeur (SC)</w:t>
                          </w:r>
                        </w:p>
                      </w:txbxContent>
                    </v:textbox>
                  </v:shape>
                  <v:shape id="Flowchart: Alternate Process 326" o:spid="_x0000_s1106" type="#_x0000_t176" href="" style="position:absolute;left:50251;top:83108;width:14400;height:5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200" w:lineRule="exact"/>
                            <w:textAlignment w:val="baseline"/>
                          </w:pPr>
                          <w:r w:rsidRPr="000B4D40">
                            <w:rPr>
                              <w:rFonts w:ascii="Calibri" w:hAnsi="Calibri" w:cs="Calibri"/>
                              <w:b/>
                              <w:bCs/>
                              <w:color w:val="FFFFFF" w:themeColor="background1"/>
                              <w:kern w:val="24"/>
                              <w:sz w:val="18"/>
                              <w:szCs w:val="18"/>
                            </w:rPr>
                            <w:t xml:space="preserve">Groupe de travail dépendant </w:t>
                          </w:r>
                          <w:r w:rsidRPr="000B4D40">
                            <w:rPr>
                              <w:rFonts w:ascii="Calibri" w:hAnsi="Calibri" w:cs="Calibri"/>
                              <w:b/>
                              <w:bCs/>
                              <w:color w:val="FFFFFF" w:themeColor="background1"/>
                              <w:kern w:val="24"/>
                              <w:sz w:val="18"/>
                              <w:szCs w:val="18"/>
                            </w:rPr>
                            <w:br/>
                            <w:t>d’un autre organe</w:t>
                          </w:r>
                        </w:p>
                      </w:txbxContent>
                    </v:textbox>
                  </v:shape>
                  <v:shape id="Flowchart: Alternate Process 327" o:spid="_x0000_s1107" type="#_x0000_t176" href="" style="position:absolute;left:50253;top:88759;width:14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" o:button="t" fillcolor="#f2dbdb [661]" strokecolor="white [3201]" strokeweight="1pt">
                    <v:fill o:detectmouseclick="t"/>
                    <v:shadow on="t" color="black" opacity="24903f" origin=",.5" offset="0,.55556mm"/>
                    <v:textbox inset="1.5mm,,1.5mm">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8"/>
                              <w:szCs w:val="18"/>
                            </w:rPr>
                            <w:t>Équipe de spécialistes</w:t>
                          </w:r>
                        </w:p>
                      </w:txbxContent>
                    </v:textbox>
                  </v:shape>
                </v:group>
                <v:shape id="Flowchart: Alternate Process 99" o:spid="_x0000_s1108" type="#_x0000_t176" href="" style="position:absolute;left:30059;top:87653;width:18045;height:5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" o:button="t" fillcolor="#f2dbdb [661]"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d’experts</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des</w:t>
                        </w:r>
                        <w:r>
                          <w:rPr>
                            <w:rFonts w:asciiTheme="minorHAnsi" w:hAnsi="Calibri" w:cstheme="minorBidi"/>
                            <w:b/>
                            <w:bCs/>
                            <w:color w:val="4F6228" w:themeColor="accent3" w:themeShade="80"/>
                            <w:kern w:val="24"/>
                            <w:sz w:val="16"/>
                            <w:szCs w:val="16"/>
                          </w:rPr>
                          <w:t xml:space="preserve"> </w:t>
                        </w:r>
                        <w:r w:rsidRPr="000B4D40">
                          <w:rPr>
                            <w:rFonts w:asciiTheme="minorHAnsi" w:hAnsi="Calibri" w:cstheme="minorBidi"/>
                            <w:b/>
                            <w:bCs/>
                            <w:color w:val="4F6228" w:themeColor="accent3" w:themeShade="80"/>
                            <w:kern w:val="24"/>
                            <w:sz w:val="16"/>
                            <w:szCs w:val="16"/>
                          </w:rPr>
                          <w:t>aspects </w:t>
                        </w:r>
                        <w:r w:rsidRPr="000B4D40">
                          <w:rPr>
                            <w:rFonts w:asciiTheme="minorHAnsi" w:hAnsi="Calibri" w:cstheme="minorBidi"/>
                            <w:b/>
                            <w:bCs/>
                            <w:color w:val="4F6228" w:themeColor="accent3" w:themeShade="80"/>
                            <w:kern w:val="24"/>
                            <w:sz w:val="16"/>
                            <w:szCs w:val="16"/>
                          </w:rPr>
                          <w:br/>
                          <w:t xml:space="preserve">juridiques de l'informatisation </w:t>
                        </w:r>
                        <w:r w:rsidRPr="000B4D40">
                          <w:rPr>
                            <w:rFonts w:asciiTheme="minorHAnsi" w:hAnsi="Calibri" w:cstheme="minorBidi"/>
                            <w:b/>
                            <w:bCs/>
                            <w:color w:val="4F6228" w:themeColor="accent3" w:themeShade="80"/>
                            <w:kern w:val="24"/>
                            <w:sz w:val="16"/>
                            <w:szCs w:val="16"/>
                          </w:rPr>
                          <w:br/>
                          <w:t>du régime TIR </w:t>
                        </w:r>
                      </w:p>
                    </w:txbxContent>
                  </v:textbox>
                </v:shape>
                <v:shape id="Elbow Connector 110" o:spid="_x0000_s1109" type="#_x0000_t34" style="position:absolute;left:28536;top:51613;width:1444;height:202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" adj="9375" strokecolor="#4579b8 [3044]" strokeweight="1.5pt"/>
                <v:shape id="Elbow Connector 111" o:spid="_x0000_s1110" type="#_x0000_t34" style="position:absolute;left:28644;top:53645;width:1444;height:241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" strokecolor="#4579b8 [3044]" strokeweight="1.5pt"/>
                <v:line id="Straight Connector 112" o:spid="_x0000_s1111" style="position:absolute;visibility:visible;mso-wrap-style:square" from="10502,56059" to="30088,5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" strokecolor="#4579b8 [3044]" strokeweight="1.5pt">
                  <v:stroke dashstyle="3 1"/>
                </v:line>
                <v:shape id="Flowchart: Alternate Process 113" o:spid="_x0000_s1112" type="#_x0000_t176" href="" style="position:absolute;left:29979;top:49812;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AC.2</w:t>
                        </w:r>
                        <w:r w:rsidRPr="000B4D40">
                          <w:rPr>
                            <w:rFonts w:ascii="Calibri" w:hAnsi="Calibri" w:cs="Calibri"/>
                            <w:b/>
                            <w:bCs/>
                            <w:color w:val="4F6228" w:themeColor="accent3" w:themeShade="80"/>
                            <w:kern w:val="24"/>
                            <w:sz w:val="16"/>
                            <w:szCs w:val="16"/>
                          </w:rPr>
                          <w:tab/>
                        </w:r>
                        <w:r w:rsidRPr="000B4D40">
                          <w:rPr>
                            <w:rFonts w:asciiTheme="minorHAnsi" w:hAnsi="Calibri" w:cstheme="minorBidi"/>
                            <w:color w:val="4F6228" w:themeColor="accent3" w:themeShade="80"/>
                            <w:kern w:val="24"/>
                            <w:sz w:val="16"/>
                            <w:szCs w:val="16"/>
                          </w:rPr>
                          <w:t>Réunion commune</w:t>
                        </w:r>
                        <w:r w:rsidRPr="000B4D40">
                          <w:rPr>
                            <w:rFonts w:asciiTheme="minorHAnsi" w:hAnsi="Calibri" w:cstheme="minorBidi"/>
                            <w:color w:val="4F6228" w:themeColor="accent3" w:themeShade="80"/>
                            <w:kern w:val="24"/>
                            <w:sz w:val="16"/>
                            <w:szCs w:val="16"/>
                          </w:rPr>
                          <w:br/>
                        </w:r>
                        <w:r w:rsidRPr="000B4D40">
                          <w:rPr>
                            <w:rFonts w:asciiTheme="minorHAnsi" w:hAnsi="Calibri" w:cstheme="minorBidi"/>
                            <w:color w:val="4F6228" w:themeColor="accent3" w:themeShade="80"/>
                            <w:kern w:val="24"/>
                            <w:sz w:val="16"/>
                            <w:szCs w:val="16"/>
                          </w:rPr>
                          <w:tab/>
                          <w:t>experts ADN</w:t>
                        </w:r>
                      </w:p>
                    </w:txbxContent>
                  </v:textbox>
                </v:shape>
                <v:shape id="Flowchart: Alternate Process 114" o:spid="_x0000_s1113" type="#_x0000_t176" href="" style="position:absolute;left:30087;top:54258;width:177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" o:button="t" fillcolor="#c2d69b [1942]"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AC.1</w:t>
                        </w:r>
                        <w:r w:rsidRPr="000B4D40">
                          <w:rPr>
                            <w:rFonts w:ascii="Calibri" w:hAnsi="Calibri" w:cs="Calibri"/>
                            <w:b/>
                            <w:bCs/>
                            <w:color w:val="4F6228" w:themeColor="accent3" w:themeShade="80"/>
                            <w:kern w:val="24"/>
                            <w:sz w:val="16"/>
                            <w:szCs w:val="16"/>
                          </w:rPr>
                          <w:tab/>
                        </w:r>
                        <w:r w:rsidRPr="000B4D40">
                          <w:rPr>
                            <w:rFonts w:asciiTheme="minorHAnsi" w:hAnsi="Calibri" w:cstheme="minorBidi"/>
                            <w:color w:val="4F6228" w:themeColor="accent3" w:themeShade="80"/>
                            <w:kern w:val="24"/>
                            <w:sz w:val="16"/>
                            <w:szCs w:val="16"/>
                          </w:rPr>
                          <w:t>Réunion commune</w:t>
                        </w:r>
                        <w:r w:rsidRPr="000B4D40">
                          <w:rPr>
                            <w:rFonts w:asciiTheme="minorHAnsi" w:hAnsi="Calibri" w:cstheme="minorBidi"/>
                            <w:color w:val="4F6228" w:themeColor="accent3" w:themeShade="80"/>
                            <w:kern w:val="24"/>
                            <w:sz w:val="16"/>
                            <w:szCs w:val="16"/>
                          </w:rPr>
                          <w:br/>
                        </w:r>
                        <w:r w:rsidRPr="000B4D40">
                          <w:rPr>
                            <w:rFonts w:asciiTheme="minorHAnsi" w:hAnsi="Calibri" w:cstheme="minorBidi"/>
                            <w:color w:val="4F6228" w:themeColor="accent3" w:themeShade="80"/>
                            <w:kern w:val="24"/>
                            <w:sz w:val="16"/>
                            <w:szCs w:val="16"/>
                          </w:rPr>
                          <w:tab/>
                        </w:r>
                        <w:r w:rsidRPr="000B4D40">
                          <w:rPr>
                            <w:rFonts w:ascii="Calibri" w:hAnsi="Calibri" w:cs="Calibri"/>
                            <w:color w:val="4F6228" w:themeColor="accent3" w:themeShade="80"/>
                            <w:kern w:val="24"/>
                            <w:sz w:val="16"/>
                            <w:szCs w:val="16"/>
                          </w:rPr>
                          <w:t>RID/ADR/ADN</w:t>
                        </w:r>
                      </w:p>
                    </w:txbxContent>
                  </v:textbox>
                </v:shape>
                <v:shape id="Flowchart: Alternate Process 120" o:spid="_x0000_s1114" type="#_x0000_t176" href="" style="position:absolute;left:13934;top:79206;width:13205;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" o:button="t" fillcolor="white [3212]" strokecolor="gray [1629]" strokeweight="1pt">
                  <v:fill o:detectmouseclick="t"/>
                  <v:shadow on="t" color="black" opacity="24903f" origin=",.5" offset="0,.55556mm"/>
                  <v:textbox inset="1.5mm,,1.5mm">
                    <w:txbxContent>
                      <w:p w:rsidR="003A38DC" w:rsidRPr="000B4D40" w:rsidRDefault="003A38DC" w:rsidP="003A38DC">
                        <w:pPr>
                          <w:pStyle w:val="NormalWeb"/>
                          <w:tabs>
                            <w:tab w:val="left" w:pos="420"/>
                          </w:tabs>
                          <w:spacing w:before="0" w:beforeAutospacing="0" w:after="0" w:afterAutospacing="0"/>
                          <w:textAlignment w:val="baseline"/>
                        </w:pPr>
                        <w:r w:rsidRPr="000B4D40">
                          <w:rPr>
                            <w:rFonts w:ascii="Calibri" w:hAnsi="Calibri" w:cs="Calibri"/>
                            <w:b/>
                            <w:bCs/>
                            <w:color w:val="4F6228" w:themeColor="accent3" w:themeShade="80"/>
                            <w:kern w:val="24"/>
                            <w:sz w:val="16"/>
                            <w:szCs w:val="16"/>
                          </w:rPr>
                          <w:t>AC.2</w:t>
                        </w:r>
                        <w:r w:rsidRPr="000B4D40">
                          <w:rPr>
                            <w:rFonts w:ascii="Calibri" w:hAnsi="Calibri" w:cs="Calibri"/>
                            <w:b/>
                            <w:bCs/>
                            <w:color w:val="4F6228" w:themeColor="accent3" w:themeShade="80"/>
                            <w:kern w:val="24"/>
                            <w:sz w:val="16"/>
                            <w:szCs w:val="16"/>
                          </w:rPr>
                          <w:tab/>
                        </w:r>
                        <w:r w:rsidRPr="000B4D40">
                          <w:rPr>
                            <w:rFonts w:ascii="Calibri" w:hAnsi="Calibri" w:cs="Calibri"/>
                            <w:color w:val="4F6228" w:themeColor="accent3" w:themeShade="80"/>
                            <w:kern w:val="24"/>
                            <w:sz w:val="16"/>
                            <w:szCs w:val="16"/>
                          </w:rPr>
                          <w:t xml:space="preserve">Comité </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 xml:space="preserve">de coordination </w:t>
                        </w:r>
                        <w:r w:rsidRPr="000B4D40">
                          <w:rPr>
                            <w:rFonts w:ascii="Calibri" w:hAnsi="Calibri" w:cs="Calibri"/>
                            <w:color w:val="4F6228" w:themeColor="accent3" w:themeShade="80"/>
                            <w:kern w:val="24"/>
                            <w:sz w:val="16"/>
                            <w:szCs w:val="16"/>
                          </w:rPr>
                          <w:br/>
                        </w:r>
                        <w:r w:rsidRPr="000B4D40">
                          <w:rPr>
                            <w:rFonts w:ascii="Calibri" w:hAnsi="Calibri" w:cs="Calibri"/>
                            <w:color w:val="4F6228" w:themeColor="accent3" w:themeShade="80"/>
                            <w:kern w:val="24"/>
                            <w:sz w:val="16"/>
                            <w:szCs w:val="16"/>
                          </w:rPr>
                          <w:tab/>
                          <w:t>du WP.29</w:t>
                        </w:r>
                      </w:p>
                    </w:txbxContent>
                  </v:textbox>
                </v:shape>
                <v:shape id="Flowchart: Alternate Process 236" o:spid="_x0000_s1115" type="#_x0000_t176" href="" style="position:absolute;left:11836;top:50672;width:17099;height:4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" o:button="t" fillcolor="#76923c [2406]"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705"/>
                          </w:tabs>
                          <w:spacing w:before="0" w:beforeAutospacing="0" w:after="0" w:afterAutospacing="0" w:line="180" w:lineRule="exact"/>
                          <w:textAlignment w:val="baseline"/>
                        </w:pPr>
                        <w:r w:rsidRPr="000B4D40">
                          <w:rPr>
                            <w:rFonts w:ascii="Calibri" w:hAnsi="Calibri" w:cs="Calibri"/>
                            <w:b/>
                            <w:bCs/>
                            <w:color w:val="FFFFFF" w:themeColor="background1"/>
                            <w:kern w:val="24"/>
                            <w:sz w:val="22"/>
                            <w:szCs w:val="22"/>
                          </w:rPr>
                          <w:t>WP.15</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Transport des</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t>marchandises</w:t>
                        </w:r>
                        <w:r w:rsidRPr="000B4D40">
                          <w:rPr>
                            <w:rFonts w:ascii="Calibri" w:hAnsi="Calibri" w:cs="Calibri"/>
                            <w:color w:val="FFFFFF" w:themeColor="background1"/>
                            <w:kern w:val="24"/>
                            <w:sz w:val="18"/>
                            <w:szCs w:val="18"/>
                          </w:rPr>
                          <w:br/>
                        </w:r>
                        <w:r w:rsidRPr="000B4D40">
                          <w:rPr>
                            <w:rFonts w:ascii="Calibri" w:hAnsi="Calibri" w:cs="Calibri"/>
                            <w:color w:val="FFFFFF" w:themeColor="background1"/>
                            <w:kern w:val="24"/>
                            <w:sz w:val="18"/>
                            <w:szCs w:val="18"/>
                          </w:rPr>
                          <w:tab/>
                          <w:t>dangereuses</w:t>
                        </w:r>
                      </w:p>
                    </w:txbxContent>
                  </v:textbox>
                </v:shape>
                <v:shape id="Flowchart: Alternate Process 105" o:spid="_x0000_s1116" type="#_x0000_t176" href="" style="position:absolute;left:30296;top:27871;width:1780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" o:button="t" fillcolor="#f2dbdb [661]" strokecolor="white [3201]" strokeweight="1pt">
                  <v:fill o:detectmouseclick="t"/>
                  <v:shadow on="t" color="black" opacity="24903f" origin=",.5" offset="0,.55556mm"/>
                  <v:textbox inset="1.5mm,0,1.5mm,0">
                    <w:txbxContent>
                      <w:p w:rsidR="003A38DC" w:rsidRPr="000B4D40" w:rsidRDefault="003A38DC" w:rsidP="003A38DC">
                        <w:pPr>
                          <w:pStyle w:val="NormalWeb"/>
                          <w:tabs>
                            <w:tab w:val="left" w:pos="570"/>
                          </w:tabs>
                          <w:spacing w:before="0" w:beforeAutospacing="0" w:after="0" w:afterAutospacing="0"/>
                          <w:textAlignment w:val="baseline"/>
                        </w:pPr>
                        <w:r w:rsidRPr="000B4D40">
                          <w:rPr>
                            <w:rFonts w:asciiTheme="minorHAnsi" w:hAnsi="Calibri" w:cstheme="minorBidi"/>
                            <w:b/>
                            <w:bCs/>
                            <w:color w:val="4F6228" w:themeColor="accent3" w:themeShade="80"/>
                            <w:kern w:val="24"/>
                            <w:sz w:val="16"/>
                            <w:szCs w:val="16"/>
                          </w:rPr>
                          <w:t>Groupe d’experts de la signalisation routière </w:t>
                        </w:r>
                      </w:p>
                    </w:txbxContent>
                  </v:textbox>
                </v:shape>
                <v:shape id="Flowchart: Alternate Process 230" o:spid="_x0000_s1117" type="#_x0000_t176" href="" style="position:absolute;left:12037;top:28127;width:1719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" o:button="t" fillcolor="#76923c [2406]" strokecolor="white [3201]" strokeweight="1pt">
                  <v:fill o:detectmouseclick="t"/>
                  <v:shadow on="t" color="black" opacity="24903f" origin=",.5" offset="0,.55556mm"/>
                  <v:textbox inset="1.5mm,,1.5mm">
                    <w:txbxContent>
                      <w:p w:rsidR="003A38DC" w:rsidRPr="000B4D40" w:rsidRDefault="003A38DC" w:rsidP="003A38DC">
                        <w:pPr>
                          <w:pStyle w:val="NormalWeb"/>
                          <w:tabs>
                            <w:tab w:val="left" w:pos="705"/>
                          </w:tabs>
                          <w:spacing w:before="0" w:beforeAutospacing="0" w:after="0" w:afterAutospacing="0"/>
                          <w:textAlignment w:val="baseline"/>
                        </w:pPr>
                        <w:r w:rsidRPr="000B4D40">
                          <w:rPr>
                            <w:rFonts w:ascii="Calibri" w:hAnsi="Calibri" w:cs="Calibri"/>
                            <w:b/>
                            <w:bCs/>
                            <w:color w:val="FFFFFF" w:themeColor="background1"/>
                            <w:kern w:val="24"/>
                            <w:sz w:val="22"/>
                            <w:szCs w:val="22"/>
                          </w:rPr>
                          <w:t>WP.1</w:t>
                        </w:r>
                        <w:r w:rsidRPr="000B4D40">
                          <w:rPr>
                            <w:rFonts w:ascii="Calibri" w:hAnsi="Calibri" w:cs="Calibri"/>
                            <w:b/>
                            <w:bCs/>
                            <w:color w:val="FFFFFF" w:themeColor="background1"/>
                            <w:kern w:val="24"/>
                            <w:sz w:val="22"/>
                            <w:szCs w:val="22"/>
                          </w:rPr>
                          <w:tab/>
                        </w:r>
                        <w:r w:rsidRPr="000B4D40">
                          <w:rPr>
                            <w:rFonts w:ascii="Calibri" w:hAnsi="Calibri" w:cs="Calibri"/>
                            <w:color w:val="FFFFFF" w:themeColor="background1"/>
                            <w:kern w:val="24"/>
                            <w:sz w:val="18"/>
                            <w:szCs w:val="18"/>
                          </w:rPr>
                          <w:t>Sécurité routière</w:t>
                        </w:r>
                      </w:p>
                    </w:txbxContent>
                  </v:textbox>
                </v:shape>
              </v:group>
            </w:pict>
          </mc:Fallback>
        </mc:AlternateContent>
      </w:r>
    </w:p>
    <w:p w:rsidR="003A38DC" w:rsidRDefault="003A38DC" w:rsidP="003A38DC">
      <w:pPr>
        <w:pStyle w:val="SingleTxtG"/>
        <w:ind w:left="0" w:right="0"/>
        <w:rPr>
          <w:lang w:val="fr-FR"/>
        </w:rPr>
      </w:pPr>
    </w:p>
    <w:p w:rsidR="003A38DC" w:rsidRPr="00244AF5" w:rsidRDefault="003A38DC" w:rsidP="003A38DC">
      <w:pPr>
        <w:pStyle w:val="SingleTxtG"/>
        <w:rPr>
          <w:lang w:val="fr-FR"/>
        </w:rPr>
      </w:pPr>
    </w:p>
    <w:p w:rsidR="003A38DC" w:rsidRPr="00E919A1" w:rsidRDefault="003A38DC" w:rsidP="003A38DC">
      <w:pPr>
        <w:pStyle w:val="HChG"/>
        <w:ind w:left="0" w:firstLine="0"/>
        <w:rPr>
          <w:lang w:val="fr-FR"/>
        </w:rPr>
      </w:pPr>
      <w:r w:rsidRPr="00E23ED4">
        <w:rPr>
          <w:noProof/>
        </w:rPr>
        <mc:AlternateContent>
          <mc:Choice Requires="wpg">
            <w:drawing>
              <wp:anchor distT="0" distB="0" distL="114300" distR="114300" simplePos="0" relativeHeight="251664384" behindDoc="0" locked="0" layoutInCell="1" allowOverlap="1" wp14:anchorId="3BAF9C32" wp14:editId="5B08044D">
                <wp:simplePos x="0" y="0"/>
                <wp:positionH relativeFrom="column">
                  <wp:posOffset>4629785</wp:posOffset>
                </wp:positionH>
                <wp:positionV relativeFrom="paragraph">
                  <wp:posOffset>3364230</wp:posOffset>
                </wp:positionV>
                <wp:extent cx="1295400" cy="1109345"/>
                <wp:effectExtent l="76200" t="57150" r="76200" b="90805"/>
                <wp:wrapNone/>
                <wp:docPr id="103" name="Group 10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95400" cy="1109345"/>
                          <a:chOff x="123489" y="96231"/>
                          <a:chExt cx="1296000" cy="1109739"/>
                        </a:xfrm>
                      </wpg:grpSpPr>
                      <wps:wsp>
                        <wps:cNvPr id="104" name="Straight Connector 104">
                          <a:extLst/>
                        </wps:cNvPr>
                        <wps:cNvCnPr>
                          <a:cxnSpLocks/>
                        </wps:cNvCnPr>
                        <wps:spPr>
                          <a:xfrm>
                            <a:off x="771489" y="703238"/>
                            <a:ext cx="0" cy="14273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05" name="Flowchart: Alternate Process 106">
                          <a:hlinkClick r:id="" action="ppaction://noaction"/>
                          <a:extLst/>
                        </wps:cNvPr>
                        <wps:cNvSpPr>
                          <a:spLocks/>
                        </wps:cNvSpPr>
                        <wps:spPr>
                          <a:xfrm>
                            <a:off x="123489" y="96231"/>
                            <a:ext cx="1296000" cy="647930"/>
                          </a:xfrm>
                          <a:prstGeom prst="flowChartAlternateProcess">
                            <a:avLst/>
                          </a:prstGeom>
                          <a:solidFill>
                            <a:schemeClr val="tx2">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rsidR="003A38DC" w:rsidRDefault="003A38DC" w:rsidP="003A38DC">
                              <w:pPr>
                                <w:pStyle w:val="NormalWeb"/>
                                <w:spacing w:before="0" w:beforeAutospacing="0" w:after="0" w:afterAutospacing="0" w:line="180" w:lineRule="exact"/>
                                <w:jc w:val="center"/>
                              </w:pPr>
                              <w:r>
                                <w:rPr>
                                  <w:rFonts w:asciiTheme="minorHAnsi" w:hAnsi="Calibri" w:cstheme="minorBidi"/>
                                  <w:b/>
                                  <w:bCs/>
                                  <w:color w:val="FFFFFF" w:themeColor="background1"/>
                                  <w:kern w:val="24"/>
                                  <w:sz w:val="18"/>
                                  <w:szCs w:val="18"/>
                                  <w:lang w:val="fr-FR"/>
                                </w:rPr>
                                <w:t xml:space="preserve">Fonds d’affectation spéciale </w:t>
                              </w:r>
                              <w:r>
                                <w:rPr>
                                  <w:rFonts w:asciiTheme="minorHAnsi" w:hAnsi="Calibri" w:cstheme="minorBidi"/>
                                  <w:b/>
                                  <w:bCs/>
                                  <w:color w:val="FFFFFF" w:themeColor="background1"/>
                                  <w:kern w:val="24"/>
                                  <w:sz w:val="18"/>
                                  <w:szCs w:val="18"/>
                                  <w:lang w:val="fr-FR"/>
                                </w:rPr>
                                <w:br/>
                                <w:t xml:space="preserve">des Nations Unies pour la sécurité routière </w:t>
                              </w:r>
                            </w:p>
                          </w:txbxContent>
                        </wps:txbx>
                        <wps:bodyPr lIns="69683" tIns="0" rIns="69683" bIns="0" anchor="ctr"/>
                      </wps:wsp>
                      <wps:wsp>
                        <wps:cNvPr id="106" name="Flowchart: Alternate Process 116">
                          <a:hlinkClick r:id="" action="ppaction://noaction"/>
                          <a:extLst/>
                        </wps:cNvPr>
                        <wps:cNvSpPr>
                          <a:spLocks/>
                        </wps:cNvSpPr>
                        <wps:spPr>
                          <a:xfrm>
                            <a:off x="123489" y="845969"/>
                            <a:ext cx="1296000" cy="360001"/>
                          </a:xfrm>
                          <a:prstGeom prst="flowChartAlternateProcess">
                            <a:avLst/>
                          </a:prstGeom>
                          <a:solidFill>
                            <a:schemeClr val="tx2">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rsidR="003A38DC" w:rsidRPr="00F154CA" w:rsidRDefault="003A38DC" w:rsidP="003A38DC">
                              <w:pPr>
                                <w:pStyle w:val="NormalWeb"/>
                                <w:spacing w:before="0" w:beforeAutospacing="0" w:after="0" w:afterAutospacing="0"/>
                                <w:jc w:val="center"/>
                              </w:pPr>
                              <w:r w:rsidRPr="00F154CA">
                                <w:rPr>
                                  <w:rFonts w:asciiTheme="minorHAnsi" w:hAnsi="Calibri" w:cstheme="minorBidi"/>
                                  <w:b/>
                                  <w:bCs/>
                                  <w:color w:val="FFFFFF" w:themeColor="background1"/>
                                  <w:kern w:val="24"/>
                                  <w:sz w:val="18"/>
                                  <w:szCs w:val="18"/>
                                </w:rPr>
                                <w:t>Secrétariat</w:t>
                              </w:r>
                            </w:p>
                          </w:txbxContent>
                        </wps:txbx>
                        <wps:bodyPr lIns="69683" tIns="34843" rIns="69683" bIns="34843" anchor="ctr"/>
                      </wps:wsp>
                    </wpg:wgp>
                  </a:graphicData>
                </a:graphic>
              </wp:anchor>
            </w:drawing>
          </mc:Choice>
          <mc:Fallback>
            <w:pict>
              <v:group w14:anchorId="3BAF9C32" id="Group 101" o:spid="_x0000_s1118" style="position:absolute;margin-left:364.55pt;margin-top:264.9pt;width:102pt;height:87.35pt;z-index:251664384" coordorigin="1234,962" coordsize="12960,1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">
                <v:line id="Straight Connector 104" o:spid="_x0000_s1119" style="position:absolute;visibility:visible;mso-wrap-style:square" from="7714,7032" to="7714,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" strokecolor="#4579b8 [3044]" strokeweight="1.5pt">
                  <o:lock v:ext="edit" shapetype="f"/>
                </v:line>
                <v:shape id="Flowchart: Alternate Process 106" o:spid="_x0000_s1120" type="#_x0000_t176" href="" style="position:absolute;left:1234;top:962;width:12960;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" o:button="t" fillcolor="#8db3e2 [1311]" strokecolor="white [3201]" strokeweight="3pt">
                  <v:fill o:detectmouseclick="t"/>
                  <v:shadow on="t" color="black" opacity="24903f" origin=",.5" offset="0,.55556mm"/>
                  <v:path arrowok="t"/>
                  <v:textbox inset="1.93564mm,0,1.93564mm,0">
                    <w:txbxContent>
                      <w:p w:rsidR="003A38DC" w:rsidRDefault="003A38DC" w:rsidP="003A38DC">
                        <w:pPr>
                          <w:pStyle w:val="NormalWeb"/>
                          <w:spacing w:before="0" w:beforeAutospacing="0" w:after="0" w:afterAutospacing="0" w:line="180" w:lineRule="exact"/>
                          <w:jc w:val="center"/>
                        </w:pPr>
                        <w:r>
                          <w:rPr>
                            <w:rFonts w:asciiTheme="minorHAnsi" w:hAnsi="Calibri" w:cstheme="minorBidi"/>
                            <w:b/>
                            <w:bCs/>
                            <w:color w:val="FFFFFF" w:themeColor="background1"/>
                            <w:kern w:val="24"/>
                            <w:sz w:val="18"/>
                            <w:szCs w:val="18"/>
                            <w:lang w:val="fr-FR"/>
                          </w:rPr>
                          <w:t xml:space="preserve">Fonds d’affectation spéciale </w:t>
                        </w:r>
                        <w:r>
                          <w:rPr>
                            <w:rFonts w:asciiTheme="minorHAnsi" w:hAnsi="Calibri" w:cstheme="minorBidi"/>
                            <w:b/>
                            <w:bCs/>
                            <w:color w:val="FFFFFF" w:themeColor="background1"/>
                            <w:kern w:val="24"/>
                            <w:sz w:val="18"/>
                            <w:szCs w:val="18"/>
                            <w:lang w:val="fr-FR"/>
                          </w:rPr>
                          <w:br/>
                          <w:t xml:space="preserve">des Nations Unies pour la sécurité routière </w:t>
                        </w:r>
                      </w:p>
                    </w:txbxContent>
                  </v:textbox>
                </v:shape>
                <v:shape id="Flowchart: Alternate Process 116" o:spid="_x0000_s1121" type="#_x0000_t176" href="" style="position:absolute;left:1234;top:8459;width:129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" o:button="t" fillcolor="#8db3e2 [1311]" strokecolor="white [3201]" strokeweight="3pt">
                  <v:fill o:detectmouseclick="t"/>
                  <v:shadow on="t" color="black" opacity="24903f" origin=",.5" offset="0,.55556mm"/>
                  <v:path arrowok="t"/>
                  <v:textbox inset="1.93564mm,.96786mm,1.93564mm,.96786mm">
                    <w:txbxContent>
                      <w:p w:rsidR="003A38DC" w:rsidRPr="00F154CA" w:rsidRDefault="003A38DC" w:rsidP="003A38DC">
                        <w:pPr>
                          <w:pStyle w:val="NormalWeb"/>
                          <w:spacing w:before="0" w:beforeAutospacing="0" w:after="0" w:afterAutospacing="0"/>
                          <w:jc w:val="center"/>
                        </w:pPr>
                        <w:r w:rsidRPr="00F154CA">
                          <w:rPr>
                            <w:rFonts w:asciiTheme="minorHAnsi" w:hAnsi="Calibri" w:cstheme="minorBidi"/>
                            <w:b/>
                            <w:bCs/>
                            <w:color w:val="FFFFFF" w:themeColor="background1"/>
                            <w:kern w:val="24"/>
                            <w:sz w:val="18"/>
                            <w:szCs w:val="18"/>
                          </w:rPr>
                          <w:t>Secrétariat</w:t>
                        </w:r>
                      </w:p>
                    </w:txbxContent>
                  </v:textbox>
                </v:shape>
              </v:group>
            </w:pict>
          </mc:Fallback>
        </mc:AlternateContent>
      </w:r>
      <w:r w:rsidRPr="00E23ED4">
        <w:rPr>
          <w:noProof/>
        </w:rPr>
        <mc:AlternateContent>
          <mc:Choice Requires="wps">
            <w:drawing>
              <wp:anchor distT="0" distB="0" distL="114300" distR="114300" simplePos="0" relativeHeight="251663360" behindDoc="0" locked="0" layoutInCell="1" allowOverlap="1" wp14:anchorId="5D99EB84" wp14:editId="74ED1638">
                <wp:simplePos x="0" y="0"/>
                <wp:positionH relativeFrom="column">
                  <wp:posOffset>4612278</wp:posOffset>
                </wp:positionH>
                <wp:positionV relativeFrom="paragraph">
                  <wp:posOffset>3154044</wp:posOffset>
                </wp:positionV>
                <wp:extent cx="1312545" cy="1531892"/>
                <wp:effectExtent l="61913" t="33337" r="63817" b="82868"/>
                <wp:wrapNone/>
                <wp:docPr id="102" name="Rectangle: Top Corners Rounded 100">
                  <a:extLst xmlns:a="http://schemas.openxmlformats.org/drawingml/2006/main"/>
                </wp:docPr>
                <wp:cNvGraphicFramePr/>
                <a:graphic xmlns:a="http://schemas.openxmlformats.org/drawingml/2006/main">
                  <a:graphicData uri="http://schemas.microsoft.com/office/word/2010/wordprocessingShape">
                    <wps:wsp>
                      <wps:cNvSpPr/>
                      <wps:spPr bwMode="auto">
                        <a:xfrm rot="16200000">
                          <a:off x="0" y="0"/>
                          <a:ext cx="1312545" cy="1531892"/>
                        </a:xfrm>
                        <a:prstGeom prst="round2SameRect">
                          <a:avLst/>
                        </a:prstGeom>
                        <a:solidFill>
                          <a:schemeClr val="accent1">
                            <a:lumMod val="20000"/>
                            <a:lumOff val="80000"/>
                          </a:schemeClr>
                        </a:solidFill>
                        <a:ln>
                          <a:noFill/>
                        </a:ln>
                      </wps:spPr>
                      <wps:style>
                        <a:lnRef idx="3">
                          <a:schemeClr val="lt1"/>
                        </a:lnRef>
                        <a:fillRef idx="1">
                          <a:schemeClr val="accent1"/>
                        </a:fillRef>
                        <a:effectRef idx="1">
                          <a:schemeClr val="accent1"/>
                        </a:effectRef>
                        <a:fontRef idx="minor">
                          <a:schemeClr val="lt1"/>
                        </a:fontRef>
                      </wps:style>
                      <wps:bodyPr lIns="108000" tIns="36000" rIns="108000" bIns="36000" rtlCol="0" anchor="t" anchorCtr="0"/>
                    </wps:wsp>
                  </a:graphicData>
                </a:graphic>
                <wp14:sizeRelV relativeFrom="margin">
                  <wp14:pctHeight>0</wp14:pctHeight>
                </wp14:sizeRelV>
              </wp:anchor>
            </w:drawing>
          </mc:Choice>
          <mc:Fallback>
            <w:pict>
              <v:shape w14:anchorId="7F26539D" id="Rectangle: Top Corners Rounded 100" o:spid="_x0000_s1026" style="position:absolute;margin-left:363.15pt;margin-top:248.35pt;width:103.35pt;height:120.6p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12545,153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" path="m218762,r875021,c1214602,,1312545,97943,1312545,218762r,1313130l1312545,1531892,,1531892r,l,218762c,97943,97943,,218762,xe" fillcolor="#dbe5f1 [660]" stroked="f" strokeweight="3pt">
                <v:shadow on="t" color="black" opacity="24903f" origin=",.5" offset="0,.55556mm"/>
                <v:path arrowok="t" o:connecttype="custom" o:connectlocs="218762,0;1093783,0;1312545,218762;1312545,1531892;1312545,1531892;0,1531892;0,1531892;0,218762;218762,0" o:connectangles="0,0,0,0,0,0,0,0,0"/>
              </v:shape>
            </w:pict>
          </mc:Fallback>
        </mc:AlternateContent>
      </w:r>
      <w:r w:rsidRPr="00C722FA">
        <w:rPr>
          <w:noProof/>
        </w:rPr>
        <mc:AlternateContent>
          <mc:Choice Requires="wpg">
            <w:drawing>
              <wp:anchor distT="0" distB="0" distL="114300" distR="114300" simplePos="0" relativeHeight="251662336" behindDoc="0" locked="0" layoutInCell="1" allowOverlap="1" wp14:anchorId="467A586E" wp14:editId="5E9F57FD">
                <wp:simplePos x="0" y="0"/>
                <wp:positionH relativeFrom="column">
                  <wp:posOffset>4678680</wp:posOffset>
                </wp:positionH>
                <wp:positionV relativeFrom="paragraph">
                  <wp:posOffset>2040527</wp:posOffset>
                </wp:positionV>
                <wp:extent cx="1295400" cy="1059180"/>
                <wp:effectExtent l="76200" t="57150" r="76200" b="102870"/>
                <wp:wrapNone/>
                <wp:docPr id="97" name="Group 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95400" cy="1059180"/>
                          <a:chOff x="123489" y="0"/>
                          <a:chExt cx="1296000" cy="1059180"/>
                        </a:xfrm>
                      </wpg:grpSpPr>
                      <wps:wsp>
                        <wps:cNvPr id="98" name="Straight Connector 20">
                          <a:extLst/>
                        </wps:cNvPr>
                        <wps:cNvCnPr>
                          <a:cxnSpLocks/>
                        </wps:cNvCnPr>
                        <wps:spPr>
                          <a:xfrm>
                            <a:off x="771489" y="627134"/>
                            <a:ext cx="0" cy="72047"/>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99" name="Flowchart: Alternate Process 118">
                          <a:hlinkClick r:id="" action="ppaction://noaction"/>
                          <a:extLst/>
                        </wps:cNvPr>
                        <wps:cNvSpPr>
                          <a:spLocks/>
                        </wps:cNvSpPr>
                        <wps:spPr>
                          <a:xfrm>
                            <a:off x="123489" y="0"/>
                            <a:ext cx="1296000" cy="696686"/>
                          </a:xfrm>
                          <a:prstGeom prst="flowChartAlternateProcess">
                            <a:avLst/>
                          </a:prstGeom>
                          <a:solidFill>
                            <a:schemeClr val="tx2">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rsidR="003A38DC" w:rsidRDefault="003A38DC" w:rsidP="003A38DC">
                              <w:pPr>
                                <w:pStyle w:val="NormalWeb"/>
                                <w:spacing w:before="0" w:beforeAutospacing="0" w:after="0" w:afterAutospacing="0"/>
                                <w:jc w:val="center"/>
                              </w:pPr>
                              <w:r>
                                <w:rPr>
                                  <w:rFonts w:asciiTheme="minorHAnsi" w:hAnsi="Calibri" w:cstheme="minorBidi"/>
                                  <w:b/>
                                  <w:bCs/>
                                  <w:color w:val="FFFFFF" w:themeColor="background1"/>
                                  <w:kern w:val="24"/>
                                  <w:sz w:val="18"/>
                                  <w:szCs w:val="18"/>
                                  <w:lang w:val="fr-FR"/>
                                </w:rPr>
                                <w:t>Envoyé spécial du Secrétaire général de l’ONU pour la sécurité routière</w:t>
                              </w:r>
                              <w:r>
                                <w:rPr>
                                  <w:rFonts w:asciiTheme="minorHAnsi" w:hAnsi="Calibri" w:cstheme="minorBidi"/>
                                  <w:color w:val="FFFFFF" w:themeColor="light1"/>
                                  <w:kern w:val="24"/>
                                  <w:sz w:val="18"/>
                                  <w:szCs w:val="18"/>
                                  <w:lang w:val="fr-FR"/>
                                </w:rPr>
                                <w:t xml:space="preserve"> </w:t>
                              </w:r>
                              <w:r w:rsidRPr="00C722FA">
                                <w:rPr>
                                  <w:rFonts w:asciiTheme="minorHAnsi" w:hAnsi="Calibri" w:cstheme="minorBidi"/>
                                  <w:b/>
                                  <w:bCs/>
                                  <w:color w:val="FFFFFF" w:themeColor="background1"/>
                                  <w:kern w:val="24"/>
                                  <w:sz w:val="18"/>
                                  <w:szCs w:val="18"/>
                                </w:rPr>
                                <w:t xml:space="preserve"> </w:t>
                              </w:r>
                            </w:p>
                          </w:txbxContent>
                        </wps:txbx>
                        <wps:bodyPr lIns="69683" tIns="0" rIns="69683" bIns="0" anchor="ctr"/>
                      </wps:wsp>
                      <wps:wsp>
                        <wps:cNvPr id="100" name="Flowchart: Alternate Process 102">
                          <a:hlinkClick r:id="" action="ppaction://noaction"/>
                          <a:extLst/>
                        </wps:cNvPr>
                        <wps:cNvSpPr>
                          <a:spLocks/>
                        </wps:cNvSpPr>
                        <wps:spPr>
                          <a:xfrm>
                            <a:off x="123489" y="745672"/>
                            <a:ext cx="1296000" cy="313508"/>
                          </a:xfrm>
                          <a:prstGeom prst="flowChartAlternateProcess">
                            <a:avLst/>
                          </a:prstGeom>
                          <a:solidFill>
                            <a:schemeClr val="tx2">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rsidR="003A38DC" w:rsidRDefault="003A38DC" w:rsidP="003A38DC">
                              <w:pPr>
                                <w:pStyle w:val="NormalWeb"/>
                                <w:spacing w:before="0" w:beforeAutospacing="0" w:after="0" w:afterAutospacing="0"/>
                                <w:jc w:val="center"/>
                              </w:pPr>
                              <w:r w:rsidRPr="006255E9">
                                <w:rPr>
                                  <w:rFonts w:asciiTheme="minorHAnsi" w:hAnsi="Calibri" w:cstheme="minorBidi"/>
                                  <w:b/>
                                  <w:bCs/>
                                  <w:color w:val="FFFFFF" w:themeColor="background1"/>
                                  <w:kern w:val="24"/>
                                  <w:sz w:val="18"/>
                                  <w:szCs w:val="18"/>
                                </w:rPr>
                                <w:t>Secrétariat</w:t>
                              </w:r>
                            </w:p>
                          </w:txbxContent>
                        </wps:txbx>
                        <wps:bodyPr lIns="69683" tIns="0" rIns="69683" bIns="0" anchor="ctr"/>
                      </wps:wsp>
                    </wpg:wgp>
                  </a:graphicData>
                </a:graphic>
              </wp:anchor>
            </w:drawing>
          </mc:Choice>
          <mc:Fallback>
            <w:pict>
              <v:group w14:anchorId="467A586E" id="Group 2" o:spid="_x0000_s1122" style="position:absolute;margin-left:368.4pt;margin-top:160.65pt;width:102pt;height:83.4pt;z-index:251662336" coordorigin="1234" coordsize="12960,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">
                <v:line id="Straight Connector 20" o:spid="_x0000_s1123" style="position:absolute;visibility:visible;mso-wrap-style:square" from="7714,6271" to="771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" strokecolor="#4579b8 [3044]" strokeweight="1.5pt">
                  <o:lock v:ext="edit" shapetype="f"/>
                </v:line>
                <v:shape id="Flowchart: Alternate Process 118" o:spid="_x0000_s1124" type="#_x0000_t176" href="" style="position:absolute;left:1234;width:12960;height:6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" o:button="t" fillcolor="#8db3e2 [1311]" strokecolor="white [3201]" strokeweight="3pt">
                  <v:fill o:detectmouseclick="t"/>
                  <v:shadow on="t" color="black" opacity="24903f" origin=",.5" offset="0,.55556mm"/>
                  <v:path arrowok="t"/>
                  <v:textbox inset="1.93564mm,0,1.93564mm,0">
                    <w:txbxContent>
                      <w:p w:rsidR="003A38DC" w:rsidRDefault="003A38DC" w:rsidP="003A38DC">
                        <w:pPr>
                          <w:pStyle w:val="NormalWeb"/>
                          <w:spacing w:before="0" w:beforeAutospacing="0" w:after="0" w:afterAutospacing="0"/>
                          <w:jc w:val="center"/>
                        </w:pPr>
                        <w:r>
                          <w:rPr>
                            <w:rFonts w:asciiTheme="minorHAnsi" w:hAnsi="Calibri" w:cstheme="minorBidi"/>
                            <w:b/>
                            <w:bCs/>
                            <w:color w:val="FFFFFF" w:themeColor="background1"/>
                            <w:kern w:val="24"/>
                            <w:sz w:val="18"/>
                            <w:szCs w:val="18"/>
                            <w:lang w:val="fr-FR"/>
                          </w:rPr>
                          <w:t>Envoyé spécial du Secrétaire général de l’ONU pour la sécurité routière</w:t>
                        </w:r>
                        <w:r>
                          <w:rPr>
                            <w:rFonts w:asciiTheme="minorHAnsi" w:hAnsi="Calibri" w:cstheme="minorBidi"/>
                            <w:color w:val="FFFFFF" w:themeColor="light1"/>
                            <w:kern w:val="24"/>
                            <w:sz w:val="18"/>
                            <w:szCs w:val="18"/>
                            <w:lang w:val="fr-FR"/>
                          </w:rPr>
                          <w:t xml:space="preserve"> </w:t>
                        </w:r>
                        <w:r w:rsidRPr="00C722FA">
                          <w:rPr>
                            <w:rFonts w:asciiTheme="minorHAnsi" w:hAnsi="Calibri" w:cstheme="minorBidi"/>
                            <w:b/>
                            <w:bCs/>
                            <w:color w:val="FFFFFF" w:themeColor="background1"/>
                            <w:kern w:val="24"/>
                            <w:sz w:val="18"/>
                            <w:szCs w:val="18"/>
                          </w:rPr>
                          <w:t xml:space="preserve"> </w:t>
                        </w:r>
                      </w:p>
                    </w:txbxContent>
                  </v:textbox>
                </v:shape>
                <v:shape id="Flowchart: Alternate Process 102" o:spid="_x0000_s1125" type="#_x0000_t176" href="" style="position:absolute;left:1234;top:7456;width:12960;height: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" o:button="t" fillcolor="#8db3e2 [1311]" strokecolor="white [3201]" strokeweight="3pt">
                  <v:fill o:detectmouseclick="t"/>
                  <v:shadow on="t" color="black" opacity="24903f" origin=",.5" offset="0,.55556mm"/>
                  <v:path arrowok="t"/>
                  <v:textbox inset="1.93564mm,0,1.93564mm,0">
                    <w:txbxContent>
                      <w:p w:rsidR="003A38DC" w:rsidRDefault="003A38DC" w:rsidP="003A38DC">
                        <w:pPr>
                          <w:pStyle w:val="NormalWeb"/>
                          <w:spacing w:before="0" w:beforeAutospacing="0" w:after="0" w:afterAutospacing="0"/>
                          <w:jc w:val="center"/>
                        </w:pPr>
                        <w:r w:rsidRPr="006255E9">
                          <w:rPr>
                            <w:rFonts w:asciiTheme="minorHAnsi" w:hAnsi="Calibri" w:cstheme="minorBidi"/>
                            <w:b/>
                            <w:bCs/>
                            <w:color w:val="FFFFFF" w:themeColor="background1"/>
                            <w:kern w:val="24"/>
                            <w:sz w:val="18"/>
                            <w:szCs w:val="18"/>
                          </w:rPr>
                          <w:t>Secrétariat</w:t>
                        </w:r>
                      </w:p>
                    </w:txbxContent>
                  </v:textbox>
                </v:shape>
              </v:group>
            </w:pict>
          </mc:Fallback>
        </mc:AlternateContent>
      </w:r>
      <w:r w:rsidRPr="006255E9">
        <w:rPr>
          <w:noProof/>
        </w:rPr>
        <mc:AlternateContent>
          <mc:Choice Requires="wps">
            <w:drawing>
              <wp:anchor distT="0" distB="0" distL="114300" distR="114300" simplePos="0" relativeHeight="251661312" behindDoc="0" locked="0" layoutInCell="1" allowOverlap="1" wp14:anchorId="21FF718F" wp14:editId="5FB43CF6">
                <wp:simplePos x="0" y="0"/>
                <wp:positionH relativeFrom="column">
                  <wp:posOffset>4609946</wp:posOffset>
                </wp:positionH>
                <wp:positionV relativeFrom="paragraph">
                  <wp:posOffset>1790219</wp:posOffset>
                </wp:positionV>
                <wp:extent cx="1312545" cy="1521242"/>
                <wp:effectExtent l="48260" t="46990" r="50165" b="69215"/>
                <wp:wrapNone/>
                <wp:docPr id="101" name="Rectangle: Top Corners Rounded 100">
                  <a:extLst xmlns:a="http://schemas.openxmlformats.org/drawingml/2006/main">
                    <a:ext uri="{FF2B5EF4-FFF2-40B4-BE49-F238E27FC236}">
                      <a16:creationId xmlns:a16="http://schemas.microsoft.com/office/drawing/2014/main" id="{499A0E62-968B-4801-940D-344966D71894}"/>
                    </a:ext>
                  </a:extLst>
                </wp:docPr>
                <wp:cNvGraphicFramePr/>
                <a:graphic xmlns:a="http://schemas.openxmlformats.org/drawingml/2006/main">
                  <a:graphicData uri="http://schemas.microsoft.com/office/word/2010/wordprocessingShape">
                    <wps:wsp>
                      <wps:cNvSpPr/>
                      <wps:spPr bwMode="auto">
                        <a:xfrm rot="16200000">
                          <a:off x="0" y="0"/>
                          <a:ext cx="1312545" cy="1521242"/>
                        </a:xfrm>
                        <a:prstGeom prst="round2SameRect">
                          <a:avLst/>
                        </a:prstGeom>
                        <a:solidFill>
                          <a:schemeClr val="accent1">
                            <a:lumMod val="20000"/>
                            <a:lumOff val="80000"/>
                          </a:schemeClr>
                        </a:solidFill>
                        <a:ln>
                          <a:noFill/>
                        </a:ln>
                      </wps:spPr>
                      <wps:style>
                        <a:lnRef idx="3">
                          <a:schemeClr val="lt1"/>
                        </a:lnRef>
                        <a:fillRef idx="1">
                          <a:schemeClr val="accent1"/>
                        </a:fillRef>
                        <a:effectRef idx="1">
                          <a:schemeClr val="accent1"/>
                        </a:effectRef>
                        <a:fontRef idx="minor">
                          <a:schemeClr val="lt1"/>
                        </a:fontRef>
                      </wps:style>
                      <wps:bodyPr lIns="108000" tIns="36000" rIns="108000" bIns="36000" rtlCol="0" anchor="t" anchorCtr="0"/>
                    </wps:wsp>
                  </a:graphicData>
                </a:graphic>
                <wp14:sizeRelV relativeFrom="margin">
                  <wp14:pctHeight>0</wp14:pctHeight>
                </wp14:sizeRelV>
              </wp:anchor>
            </w:drawing>
          </mc:Choice>
          <mc:Fallback>
            <w:pict>
              <v:shape w14:anchorId="398D6B9C" id="Rectangle: Top Corners Rounded 100" o:spid="_x0000_s1026" style="position:absolute;margin-left:363pt;margin-top:140.95pt;width:103.35pt;height:119.8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12545,152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" path="m218762,r875021,c1214602,,1312545,97943,1312545,218762r,1302480l1312545,1521242,,1521242r,l,218762c,97943,97943,,218762,xe" fillcolor="#dbe5f1 [660]" stroked="f" strokeweight="3pt">
                <v:shadow on="t" color="black" opacity="24903f" origin=",.5" offset="0,.55556mm"/>
                <v:path arrowok="t" o:connecttype="custom" o:connectlocs="218762,0;1093783,0;1312545,218762;1312545,1521242;1312545,1521242;0,1521242;0,1521242;0,218762;218762,0" o:connectangles="0,0,0,0,0,0,0,0,0"/>
              </v:shape>
            </w:pict>
          </mc:Fallback>
        </mc:AlternateContent>
      </w:r>
      <w:r w:rsidRPr="006255E9">
        <w:rPr>
          <w:b w:val="0"/>
          <w:noProof/>
          <w:sz w:val="20"/>
        </w:rPr>
        <w:t xml:space="preserve"> </w:t>
      </w:r>
      <w:r w:rsidRPr="00C722FA">
        <w:t xml:space="preserve"> </w:t>
      </w:r>
      <w:r w:rsidRPr="00E23ED4">
        <w:t xml:space="preserve"> </w:t>
      </w:r>
      <w:r>
        <w:rPr>
          <w:noProof/>
        </w:rPr>
        <mc:AlternateContent>
          <mc:Choice Requires="wps">
            <w:drawing>
              <wp:anchor distT="0" distB="0" distL="114300" distR="114300" simplePos="0" relativeHeight="251660288" behindDoc="0" locked="0" layoutInCell="1" allowOverlap="1" wp14:anchorId="2093842F" wp14:editId="5642B83E">
                <wp:simplePos x="0" y="0"/>
                <wp:positionH relativeFrom="column">
                  <wp:posOffset>2654844</wp:posOffset>
                </wp:positionH>
                <wp:positionV relativeFrom="paragraph">
                  <wp:posOffset>1954620</wp:posOffset>
                </wp:positionV>
                <wp:extent cx="141514" cy="2903"/>
                <wp:effectExtent l="0" t="0" r="30480" b="35560"/>
                <wp:wrapNone/>
                <wp:docPr id="96"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1514" cy="290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E398C" id="Straight Connector 2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05pt,153.9pt" to="220.2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" strokecolor="#4579b8 [3044]" strokeweight="1.5pt">
                <o:lock v:ext="edit" shapetype="f"/>
              </v:line>
            </w:pict>
          </mc:Fallback>
        </mc:AlternateContent>
      </w:r>
      <w:r w:rsidRPr="005937D7">
        <w:rPr>
          <w:lang w:val="fr-FR"/>
        </w:rPr>
        <w:br w:type="page"/>
      </w:r>
      <w:bookmarkStart w:id="10" w:name="_Hlk508281052"/>
      <w:bookmarkStart w:id="11" w:name="_Hlk512442498"/>
      <w:bookmarkEnd w:id="9"/>
      <w:r w:rsidRPr="00E919A1">
        <w:rPr>
          <w:lang w:val="fr-FR"/>
        </w:rPr>
        <w:lastRenderedPageBreak/>
        <w:t>Annexe VII</w:t>
      </w:r>
    </w:p>
    <w:p w:rsidR="003A38DC" w:rsidRPr="00E919A1" w:rsidRDefault="003A38DC" w:rsidP="003A38DC">
      <w:pPr>
        <w:pStyle w:val="HChG"/>
        <w:rPr>
          <w:lang w:val="fr-FR"/>
        </w:rPr>
      </w:pPr>
      <w:r>
        <w:rPr>
          <w:lang w:val="fr-FR"/>
        </w:rPr>
        <w:tab/>
      </w:r>
      <w:r>
        <w:rPr>
          <w:lang w:val="fr-FR"/>
        </w:rPr>
        <w:tab/>
      </w:r>
      <w:r w:rsidRPr="00E919A1">
        <w:rPr>
          <w:lang w:val="fr-FR"/>
        </w:rPr>
        <w:t>Ressources allouées pour l</w:t>
      </w:r>
      <w:r>
        <w:rPr>
          <w:lang w:val="fr-FR"/>
        </w:rPr>
        <w:t>’</w:t>
      </w:r>
      <w:r w:rsidRPr="00E919A1">
        <w:rPr>
          <w:lang w:val="fr-FR"/>
        </w:rPr>
        <w:t xml:space="preserve">exercice biennal 2016-2017 </w:t>
      </w:r>
    </w:p>
    <w:tbl>
      <w:tblPr>
        <w:tblW w:w="9637" w:type="dxa"/>
        <w:tblLayout w:type="fixed"/>
        <w:tblCellMar>
          <w:left w:w="0" w:type="dxa"/>
          <w:right w:w="0" w:type="dxa"/>
        </w:tblCellMar>
        <w:tblLook w:val="04A0" w:firstRow="1" w:lastRow="0" w:firstColumn="1" w:lastColumn="0" w:noHBand="0" w:noVBand="1"/>
      </w:tblPr>
      <w:tblGrid>
        <w:gridCol w:w="3750"/>
        <w:gridCol w:w="1353"/>
        <w:gridCol w:w="1418"/>
        <w:gridCol w:w="709"/>
        <w:gridCol w:w="708"/>
        <w:gridCol w:w="1699"/>
      </w:tblGrid>
      <w:tr w:rsidR="003A38DC" w:rsidRPr="00C320C2" w:rsidTr="00826F40">
        <w:trPr>
          <w:tblHeader/>
        </w:trPr>
        <w:tc>
          <w:tcPr>
            <w:tcW w:w="6521" w:type="dxa"/>
            <w:gridSpan w:val="3"/>
            <w:tcBorders>
              <w:top w:val="single" w:sz="4" w:space="0" w:color="auto"/>
              <w:bottom w:val="single" w:sz="12" w:space="0" w:color="auto"/>
            </w:tcBorders>
            <w:shd w:val="clear" w:color="auto" w:fill="auto"/>
            <w:vAlign w:val="bottom"/>
            <w:hideMark/>
          </w:tcPr>
          <w:p w:rsidR="003A38DC" w:rsidRPr="00C320C2" w:rsidRDefault="003A38DC" w:rsidP="00826F40">
            <w:pPr>
              <w:suppressAutoHyphens w:val="0"/>
              <w:spacing w:before="80" w:after="80" w:line="200" w:lineRule="exact"/>
              <w:rPr>
                <w:bCs/>
                <w:i/>
                <w:sz w:val="16"/>
              </w:rPr>
            </w:pPr>
            <w:r w:rsidRPr="00C320C2">
              <w:rPr>
                <w:i/>
                <w:sz w:val="16"/>
                <w:lang w:val="fr-FR"/>
              </w:rPr>
              <w:t>Sous-programme 2 : Transports</w:t>
            </w:r>
          </w:p>
        </w:tc>
        <w:tc>
          <w:tcPr>
            <w:tcW w:w="1417" w:type="dxa"/>
            <w:gridSpan w:val="2"/>
            <w:tcBorders>
              <w:top w:val="single" w:sz="4" w:space="0" w:color="auto"/>
              <w:bottom w:val="single" w:sz="12" w:space="0" w:color="auto"/>
            </w:tcBorders>
            <w:shd w:val="clear" w:color="auto" w:fill="auto"/>
            <w:noWrap/>
            <w:vAlign w:val="bottom"/>
            <w:hideMark/>
          </w:tcPr>
          <w:p w:rsidR="003A38DC" w:rsidRPr="00C320C2" w:rsidRDefault="003A38DC" w:rsidP="00826F40">
            <w:pPr>
              <w:suppressAutoHyphens w:val="0"/>
              <w:spacing w:before="80" w:after="80" w:line="200" w:lineRule="exact"/>
              <w:jc w:val="right"/>
              <w:rPr>
                <w:bCs/>
                <w:i/>
                <w:sz w:val="16"/>
                <w:u w:val="single"/>
                <w:lang w:eastAsia="zh-CN"/>
              </w:rPr>
            </w:pPr>
          </w:p>
        </w:tc>
        <w:tc>
          <w:tcPr>
            <w:tcW w:w="1699" w:type="dxa"/>
            <w:tcBorders>
              <w:top w:val="single" w:sz="4" w:space="0" w:color="auto"/>
              <w:bottom w:val="single" w:sz="12" w:space="0" w:color="auto"/>
            </w:tcBorders>
            <w:shd w:val="clear" w:color="auto" w:fill="auto"/>
            <w:noWrap/>
            <w:vAlign w:val="bottom"/>
            <w:hideMark/>
          </w:tcPr>
          <w:p w:rsidR="003A38DC" w:rsidRPr="00C320C2" w:rsidRDefault="003A38DC" w:rsidP="00826F40">
            <w:pPr>
              <w:suppressAutoHyphens w:val="0"/>
              <w:spacing w:before="80" w:after="80" w:line="200" w:lineRule="exact"/>
              <w:jc w:val="right"/>
              <w:rPr>
                <w:i/>
                <w:sz w:val="16"/>
                <w:lang w:eastAsia="zh-CN"/>
              </w:rPr>
            </w:pPr>
          </w:p>
        </w:tc>
      </w:tr>
      <w:tr w:rsidR="003A38DC" w:rsidRPr="00C320C2" w:rsidTr="00826F40">
        <w:trPr>
          <w:trHeight w:hRule="exact" w:val="113"/>
        </w:trPr>
        <w:tc>
          <w:tcPr>
            <w:tcW w:w="6521" w:type="dxa"/>
            <w:gridSpan w:val="3"/>
            <w:tcBorders>
              <w:top w:val="single" w:sz="12" w:space="0" w:color="auto"/>
            </w:tcBorders>
            <w:shd w:val="clear" w:color="auto" w:fill="auto"/>
            <w:hideMark/>
          </w:tcPr>
          <w:p w:rsidR="003A38DC" w:rsidRPr="00C320C2" w:rsidRDefault="003A38DC" w:rsidP="00826F40">
            <w:pPr>
              <w:suppressAutoHyphens w:val="0"/>
              <w:spacing w:before="40" w:after="40" w:line="220" w:lineRule="exact"/>
              <w:rPr>
                <w:sz w:val="18"/>
                <w:lang w:eastAsia="zh-CN"/>
              </w:rPr>
            </w:pPr>
          </w:p>
        </w:tc>
        <w:tc>
          <w:tcPr>
            <w:tcW w:w="1417" w:type="dxa"/>
            <w:gridSpan w:val="2"/>
            <w:tcBorders>
              <w:top w:val="single" w:sz="12" w:space="0" w:color="auto"/>
            </w:tcBorders>
            <w:shd w:val="clear" w:color="auto" w:fill="auto"/>
            <w:noWrap/>
            <w:vAlign w:val="bottom"/>
            <w:hideMark/>
          </w:tcPr>
          <w:p w:rsidR="003A38DC" w:rsidRPr="00C320C2" w:rsidRDefault="003A38DC" w:rsidP="00826F40">
            <w:pPr>
              <w:suppressAutoHyphens w:val="0"/>
              <w:spacing w:before="40" w:after="40" w:line="220" w:lineRule="exact"/>
              <w:jc w:val="right"/>
              <w:rPr>
                <w:sz w:val="18"/>
                <w:lang w:eastAsia="zh-CN"/>
              </w:rPr>
            </w:pPr>
          </w:p>
        </w:tc>
        <w:tc>
          <w:tcPr>
            <w:tcW w:w="1699" w:type="dxa"/>
            <w:tcBorders>
              <w:top w:val="single" w:sz="12" w:space="0" w:color="auto"/>
            </w:tcBorders>
            <w:shd w:val="clear" w:color="auto" w:fill="auto"/>
            <w:noWrap/>
            <w:vAlign w:val="bottom"/>
            <w:hideMark/>
          </w:tcPr>
          <w:p w:rsidR="003A38DC" w:rsidRPr="00C320C2" w:rsidRDefault="003A38DC" w:rsidP="00826F40">
            <w:pPr>
              <w:suppressAutoHyphens w:val="0"/>
              <w:spacing w:before="40" w:after="40" w:line="220" w:lineRule="exact"/>
              <w:jc w:val="right"/>
              <w:rPr>
                <w:sz w:val="18"/>
                <w:lang w:eastAsia="zh-CN"/>
              </w:rPr>
            </w:pPr>
          </w:p>
        </w:tc>
      </w:tr>
      <w:tr w:rsidR="003A38DC" w:rsidRPr="00C320C2" w:rsidTr="00826F40">
        <w:tc>
          <w:tcPr>
            <w:tcW w:w="9637" w:type="dxa"/>
            <w:gridSpan w:val="6"/>
            <w:tcBorders>
              <w:bottom w:val="single" w:sz="4" w:space="0" w:color="auto"/>
            </w:tcBorders>
            <w:shd w:val="clear" w:color="auto" w:fill="auto"/>
            <w:hideMark/>
          </w:tcPr>
          <w:p w:rsidR="003A38DC" w:rsidRPr="00C320C2" w:rsidRDefault="003A38DC" w:rsidP="00826F40">
            <w:pPr>
              <w:suppressAutoHyphens w:val="0"/>
              <w:spacing w:before="40" w:after="40" w:line="220" w:lineRule="exact"/>
              <w:rPr>
                <w:sz w:val="18"/>
                <w:lang w:val="fr-FR" w:eastAsia="zh-CN"/>
              </w:rPr>
            </w:pPr>
            <w:r w:rsidRPr="00C320C2">
              <w:rPr>
                <w:b/>
                <w:bCs/>
                <w:sz w:val="18"/>
                <w:lang w:val="fr-FR"/>
              </w:rPr>
              <w:t>Personnels de catégorie P (effectif total) : 33 (BO = 26 ;</w:t>
            </w:r>
            <w:r w:rsidRPr="00C320C2">
              <w:rPr>
                <w:sz w:val="18"/>
                <w:lang w:val="fr-FR"/>
              </w:rPr>
              <w:t xml:space="preserve"> </w:t>
            </w:r>
            <w:r w:rsidRPr="00C320C2">
              <w:rPr>
                <w:b/>
                <w:bCs/>
                <w:sz w:val="18"/>
                <w:lang w:val="fr-FR"/>
              </w:rPr>
              <w:t xml:space="preserve">FE = 7) (D non compris) </w:t>
            </w:r>
            <w:r>
              <w:rPr>
                <w:b/>
                <w:bCs/>
                <w:sz w:val="18"/>
                <w:lang w:val="fr-FR"/>
              </w:rPr>
              <w:br/>
            </w:r>
            <w:r w:rsidRPr="00C320C2">
              <w:rPr>
                <w:b/>
                <w:bCs/>
                <w:sz w:val="18"/>
                <w:lang w:val="fr-FR"/>
              </w:rPr>
              <w:t>Personnels de catégorie G (effectif total) : 15 (BO = 12 ;</w:t>
            </w:r>
            <w:r w:rsidRPr="00C320C2">
              <w:rPr>
                <w:sz w:val="18"/>
                <w:lang w:val="fr-FR"/>
              </w:rPr>
              <w:t xml:space="preserve"> </w:t>
            </w:r>
            <w:r w:rsidRPr="00C320C2">
              <w:rPr>
                <w:b/>
                <w:bCs/>
                <w:sz w:val="18"/>
                <w:lang w:val="fr-FR"/>
              </w:rPr>
              <w:t>FE = 3)</w:t>
            </w:r>
          </w:p>
        </w:tc>
      </w:tr>
      <w:tr w:rsidR="003A38DC" w:rsidRPr="00C320C2" w:rsidTr="00826F40">
        <w:trPr>
          <w:tblHeader/>
        </w:trPr>
        <w:tc>
          <w:tcPr>
            <w:tcW w:w="3750" w:type="dxa"/>
            <w:tcBorders>
              <w:top w:val="single" w:sz="4" w:space="0" w:color="auto"/>
              <w:bottom w:val="single" w:sz="12" w:space="0" w:color="auto"/>
            </w:tcBorders>
            <w:shd w:val="clear" w:color="auto" w:fill="auto"/>
            <w:vAlign w:val="bottom"/>
            <w:hideMark/>
          </w:tcPr>
          <w:p w:rsidR="003A38DC" w:rsidRPr="00F70B31" w:rsidRDefault="003A38DC" w:rsidP="00826F40">
            <w:pPr>
              <w:suppressAutoHyphens w:val="0"/>
              <w:spacing w:before="80" w:after="80" w:line="200" w:lineRule="exact"/>
              <w:rPr>
                <w:bCs/>
                <w:i/>
                <w:sz w:val="16"/>
                <w:szCs w:val="16"/>
              </w:rPr>
            </w:pPr>
            <w:r w:rsidRPr="00F70B31">
              <w:rPr>
                <w:i/>
                <w:sz w:val="16"/>
                <w:szCs w:val="16"/>
                <w:lang w:val="fr-FR"/>
              </w:rPr>
              <w:t>Modules d’activités</w:t>
            </w:r>
          </w:p>
        </w:tc>
        <w:tc>
          <w:tcPr>
            <w:tcW w:w="1353" w:type="dxa"/>
            <w:tcBorders>
              <w:top w:val="single" w:sz="4" w:space="0" w:color="auto"/>
              <w:bottom w:val="single" w:sz="12" w:space="0" w:color="auto"/>
            </w:tcBorders>
            <w:shd w:val="clear" w:color="auto" w:fill="auto"/>
            <w:hideMark/>
          </w:tcPr>
          <w:p w:rsidR="003A38DC" w:rsidRPr="00F70B31" w:rsidRDefault="003A38DC" w:rsidP="00826F40">
            <w:pPr>
              <w:suppressAutoHyphens w:val="0"/>
              <w:spacing w:before="80" w:after="80" w:line="200" w:lineRule="exact"/>
              <w:jc w:val="right"/>
              <w:rPr>
                <w:bCs/>
                <w:i/>
                <w:sz w:val="16"/>
                <w:szCs w:val="16"/>
                <w:lang w:val="fr-FR"/>
              </w:rPr>
            </w:pPr>
            <w:r w:rsidRPr="00F70B31">
              <w:rPr>
                <w:i/>
                <w:sz w:val="16"/>
                <w:szCs w:val="16"/>
                <w:lang w:val="fr-FR"/>
              </w:rPr>
              <w:t xml:space="preserve">Nombre de postes </w:t>
            </w:r>
            <w:r>
              <w:rPr>
                <w:i/>
                <w:sz w:val="16"/>
                <w:szCs w:val="16"/>
                <w:lang w:val="fr-FR"/>
              </w:rPr>
              <w:br/>
            </w:r>
            <w:r w:rsidRPr="00F70B31">
              <w:rPr>
                <w:i/>
                <w:sz w:val="16"/>
                <w:szCs w:val="16"/>
                <w:lang w:val="fr-FR"/>
              </w:rPr>
              <w:t>de catégorie P</w:t>
            </w:r>
          </w:p>
        </w:tc>
        <w:tc>
          <w:tcPr>
            <w:tcW w:w="1418" w:type="dxa"/>
            <w:tcBorders>
              <w:top w:val="single" w:sz="4" w:space="0" w:color="auto"/>
              <w:bottom w:val="single" w:sz="12" w:space="0" w:color="auto"/>
            </w:tcBorders>
            <w:shd w:val="clear" w:color="auto" w:fill="auto"/>
            <w:hideMark/>
          </w:tcPr>
          <w:p w:rsidR="003A38DC" w:rsidRPr="00F70B31" w:rsidRDefault="003A38DC" w:rsidP="00826F40">
            <w:pPr>
              <w:suppressAutoHyphens w:val="0"/>
              <w:spacing w:before="80" w:after="80" w:line="200" w:lineRule="exact"/>
              <w:jc w:val="right"/>
              <w:rPr>
                <w:bCs/>
                <w:i/>
                <w:sz w:val="16"/>
                <w:szCs w:val="16"/>
                <w:lang w:val="fr-FR"/>
              </w:rPr>
            </w:pPr>
            <w:r w:rsidRPr="00F70B31">
              <w:rPr>
                <w:i/>
                <w:sz w:val="16"/>
                <w:szCs w:val="16"/>
                <w:lang w:val="fr-FR"/>
              </w:rPr>
              <w:t xml:space="preserve">Nombre de postes </w:t>
            </w:r>
            <w:r>
              <w:rPr>
                <w:i/>
                <w:sz w:val="16"/>
                <w:szCs w:val="16"/>
                <w:lang w:val="fr-FR"/>
              </w:rPr>
              <w:br/>
            </w:r>
            <w:r w:rsidRPr="00F70B31">
              <w:rPr>
                <w:i/>
                <w:sz w:val="16"/>
                <w:szCs w:val="16"/>
                <w:lang w:val="fr-FR"/>
              </w:rPr>
              <w:t>de catégorie G</w:t>
            </w:r>
          </w:p>
        </w:tc>
        <w:tc>
          <w:tcPr>
            <w:tcW w:w="709" w:type="dxa"/>
            <w:tcBorders>
              <w:top w:val="single" w:sz="4" w:space="0" w:color="auto"/>
              <w:bottom w:val="single" w:sz="12" w:space="0" w:color="auto"/>
            </w:tcBorders>
            <w:shd w:val="clear" w:color="auto" w:fill="auto"/>
            <w:vAlign w:val="bottom"/>
            <w:hideMark/>
          </w:tcPr>
          <w:p w:rsidR="003A38DC" w:rsidRPr="00F70B31" w:rsidRDefault="003A38DC" w:rsidP="00826F40">
            <w:pPr>
              <w:suppressAutoHyphens w:val="0"/>
              <w:spacing w:before="80" w:after="80" w:line="200" w:lineRule="exact"/>
              <w:jc w:val="right"/>
              <w:rPr>
                <w:bCs/>
                <w:i/>
                <w:sz w:val="16"/>
                <w:szCs w:val="16"/>
              </w:rPr>
            </w:pPr>
            <w:r>
              <w:rPr>
                <w:i/>
                <w:sz w:val="16"/>
                <w:szCs w:val="16"/>
                <w:lang w:val="fr-FR"/>
              </w:rPr>
              <w:t>%</w:t>
            </w:r>
            <w:r w:rsidRPr="00F70B31">
              <w:rPr>
                <w:i/>
                <w:sz w:val="16"/>
                <w:szCs w:val="16"/>
                <w:lang w:val="fr-FR"/>
              </w:rPr>
              <w:t xml:space="preserve"> P</w:t>
            </w:r>
          </w:p>
        </w:tc>
        <w:tc>
          <w:tcPr>
            <w:tcW w:w="708" w:type="dxa"/>
            <w:tcBorders>
              <w:top w:val="single" w:sz="4" w:space="0" w:color="auto"/>
              <w:bottom w:val="single" w:sz="12" w:space="0" w:color="auto"/>
            </w:tcBorders>
            <w:shd w:val="clear" w:color="auto" w:fill="auto"/>
            <w:vAlign w:val="bottom"/>
            <w:hideMark/>
          </w:tcPr>
          <w:p w:rsidR="003A38DC" w:rsidRPr="00F70B31" w:rsidRDefault="003A38DC" w:rsidP="00826F40">
            <w:pPr>
              <w:suppressAutoHyphens w:val="0"/>
              <w:spacing w:before="80" w:after="80" w:line="200" w:lineRule="exact"/>
              <w:jc w:val="right"/>
              <w:rPr>
                <w:bCs/>
                <w:i/>
                <w:sz w:val="16"/>
                <w:szCs w:val="16"/>
              </w:rPr>
            </w:pPr>
            <w:r w:rsidRPr="00F70B31">
              <w:rPr>
                <w:i/>
                <w:sz w:val="16"/>
                <w:szCs w:val="16"/>
                <w:lang w:val="fr-FR"/>
              </w:rPr>
              <w:t>% G</w:t>
            </w:r>
          </w:p>
        </w:tc>
        <w:tc>
          <w:tcPr>
            <w:tcW w:w="1699" w:type="dxa"/>
            <w:tcBorders>
              <w:top w:val="single" w:sz="4" w:space="0" w:color="auto"/>
              <w:bottom w:val="single" w:sz="12" w:space="0" w:color="auto"/>
            </w:tcBorders>
            <w:shd w:val="clear" w:color="auto" w:fill="auto"/>
            <w:vAlign w:val="bottom"/>
            <w:hideMark/>
          </w:tcPr>
          <w:p w:rsidR="003A38DC" w:rsidRPr="00F70B31" w:rsidRDefault="003A38DC" w:rsidP="00826F40">
            <w:pPr>
              <w:suppressAutoHyphens w:val="0"/>
              <w:spacing w:before="80" w:after="80" w:line="200" w:lineRule="exact"/>
              <w:jc w:val="right"/>
              <w:rPr>
                <w:bCs/>
                <w:i/>
                <w:sz w:val="16"/>
                <w:szCs w:val="16"/>
              </w:rPr>
            </w:pPr>
            <w:r w:rsidRPr="00F70B31">
              <w:rPr>
                <w:i/>
                <w:sz w:val="16"/>
                <w:szCs w:val="16"/>
                <w:lang w:val="fr-FR"/>
              </w:rPr>
              <w:t>Observations</w:t>
            </w:r>
          </w:p>
        </w:tc>
      </w:tr>
      <w:tr w:rsidR="003A38DC" w:rsidRPr="00C320C2" w:rsidTr="00826F40">
        <w:tc>
          <w:tcPr>
            <w:tcW w:w="3750" w:type="dxa"/>
            <w:tcBorders>
              <w:top w:val="single" w:sz="12" w:space="0" w:color="auto"/>
            </w:tcBorders>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1.</w:t>
            </w:r>
            <w:r>
              <w:rPr>
                <w:sz w:val="18"/>
                <w:lang w:val="fr-FR"/>
              </w:rPr>
              <w:tab/>
            </w:r>
            <w:r w:rsidRPr="00C320C2">
              <w:rPr>
                <w:sz w:val="18"/>
                <w:lang w:val="fr-FR"/>
              </w:rPr>
              <w:t>Coordination globale (CTI et Bureau)</w:t>
            </w:r>
          </w:p>
        </w:tc>
        <w:tc>
          <w:tcPr>
            <w:tcW w:w="1353" w:type="dxa"/>
            <w:tcBorders>
              <w:top w:val="single" w:sz="12" w:space="0" w:color="auto"/>
            </w:tcBorders>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0,6</w:t>
            </w:r>
          </w:p>
        </w:tc>
        <w:tc>
          <w:tcPr>
            <w:tcW w:w="1418" w:type="dxa"/>
            <w:tcBorders>
              <w:top w:val="single" w:sz="12" w:space="0" w:color="auto"/>
            </w:tcBorders>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0,6</w:t>
            </w:r>
          </w:p>
        </w:tc>
        <w:tc>
          <w:tcPr>
            <w:tcW w:w="709" w:type="dxa"/>
            <w:tcBorders>
              <w:top w:val="single" w:sz="12" w:space="0" w:color="auto"/>
            </w:tcBorders>
            <w:shd w:val="clear" w:color="auto" w:fill="auto"/>
            <w:vAlign w:val="bottom"/>
            <w:hideMark/>
          </w:tcPr>
          <w:p w:rsidR="003A38DC" w:rsidRPr="00C320C2" w:rsidRDefault="003A38DC" w:rsidP="00826F40">
            <w:pPr>
              <w:suppressAutoHyphens w:val="0"/>
              <w:spacing w:before="40" w:after="40" w:line="220" w:lineRule="exact"/>
              <w:jc w:val="right"/>
              <w:rPr>
                <w:sz w:val="18"/>
              </w:rPr>
            </w:pPr>
            <w:r w:rsidRPr="00C320C2">
              <w:rPr>
                <w:sz w:val="18"/>
                <w:lang w:val="fr-FR"/>
              </w:rPr>
              <w:t>2</w:t>
            </w:r>
            <w:r>
              <w:rPr>
                <w:sz w:val="18"/>
                <w:lang w:val="fr-FR"/>
              </w:rPr>
              <w:t> %</w:t>
            </w:r>
          </w:p>
        </w:tc>
        <w:tc>
          <w:tcPr>
            <w:tcW w:w="708" w:type="dxa"/>
            <w:tcBorders>
              <w:top w:val="single" w:sz="12" w:space="0" w:color="auto"/>
            </w:tcBorders>
            <w:shd w:val="clear" w:color="auto" w:fill="auto"/>
            <w:vAlign w:val="bottom"/>
            <w:hideMark/>
          </w:tcPr>
          <w:p w:rsidR="003A38DC" w:rsidRPr="00C320C2" w:rsidRDefault="003A38DC" w:rsidP="00826F40">
            <w:pPr>
              <w:suppressAutoHyphens w:val="0"/>
              <w:spacing w:before="40" w:after="40" w:line="220" w:lineRule="exact"/>
              <w:jc w:val="right"/>
              <w:rPr>
                <w:sz w:val="18"/>
              </w:rPr>
            </w:pPr>
            <w:r w:rsidRPr="00C320C2">
              <w:rPr>
                <w:sz w:val="18"/>
                <w:lang w:val="fr-FR"/>
              </w:rPr>
              <w:t>4</w:t>
            </w:r>
            <w:r>
              <w:rPr>
                <w:sz w:val="18"/>
                <w:lang w:val="fr-FR"/>
              </w:rPr>
              <w:t> %</w:t>
            </w:r>
          </w:p>
        </w:tc>
        <w:tc>
          <w:tcPr>
            <w:tcW w:w="1699" w:type="dxa"/>
            <w:tcBorders>
              <w:top w:val="single" w:sz="12" w:space="0" w:color="auto"/>
            </w:tcBorders>
            <w:shd w:val="clear" w:color="auto" w:fill="auto"/>
            <w:vAlign w:val="bottom"/>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2.</w:t>
            </w:r>
            <w:r>
              <w:rPr>
                <w:sz w:val="18"/>
                <w:lang w:val="fr-FR"/>
              </w:rPr>
              <w:tab/>
            </w:r>
            <w:r w:rsidRPr="00C320C2">
              <w:rPr>
                <w:sz w:val="18"/>
                <w:lang w:val="fr-FR"/>
              </w:rPr>
              <w:t>Tendances et économie des transports (y</w:t>
            </w:r>
            <w:r>
              <w:rPr>
                <w:sz w:val="18"/>
                <w:lang w:val="fr-FR"/>
              </w:rPr>
              <w:t> </w:t>
            </w:r>
            <w:r w:rsidRPr="00C320C2">
              <w:rPr>
                <w:sz w:val="18"/>
                <w:lang w:val="fr-FR"/>
              </w:rPr>
              <w:t>compris LTEA)</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1,4</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vAlign w:val="bottom"/>
            <w:hideMark/>
          </w:tcPr>
          <w:p w:rsidR="003A38DC" w:rsidRPr="00C320C2" w:rsidRDefault="003A38DC" w:rsidP="00826F40">
            <w:pPr>
              <w:suppressAutoHyphens w:val="0"/>
              <w:spacing w:before="40" w:after="40" w:line="220" w:lineRule="exact"/>
              <w:jc w:val="right"/>
              <w:rPr>
                <w:sz w:val="18"/>
              </w:rPr>
            </w:pPr>
            <w:r w:rsidRPr="00C320C2">
              <w:rPr>
                <w:sz w:val="18"/>
                <w:lang w:val="fr-FR"/>
              </w:rPr>
              <w:t>4</w:t>
            </w:r>
            <w:r>
              <w:rPr>
                <w:sz w:val="18"/>
                <w:lang w:val="fr-FR"/>
              </w:rPr>
              <w:t> %</w:t>
            </w:r>
          </w:p>
        </w:tc>
        <w:tc>
          <w:tcPr>
            <w:tcW w:w="708" w:type="dxa"/>
            <w:shd w:val="clear" w:color="auto" w:fill="auto"/>
            <w:vAlign w:val="bottom"/>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vAlign w:val="bottom"/>
            <w:hideMark/>
          </w:tcPr>
          <w:p w:rsidR="003A38DC" w:rsidRPr="00C320C2" w:rsidRDefault="003A38DC" w:rsidP="00826F40">
            <w:pPr>
              <w:suppressAutoHyphens w:val="0"/>
              <w:spacing w:before="40" w:after="40" w:line="220" w:lineRule="exact"/>
              <w:jc w:val="right"/>
              <w:rPr>
                <w:sz w:val="18"/>
                <w:lang w:val="fr-FR"/>
              </w:rPr>
            </w:pPr>
            <w:r w:rsidRPr="00C320C2">
              <w:rPr>
                <w:sz w:val="18"/>
                <w:lang w:val="fr-FR"/>
              </w:rPr>
              <w:t>Personnel BO ; FE pour activités autres</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3.</w:t>
            </w:r>
            <w:r>
              <w:rPr>
                <w:sz w:val="18"/>
                <w:lang w:val="fr-FR"/>
              </w:rPr>
              <w:tab/>
            </w:r>
            <w:r w:rsidRPr="00C320C2">
              <w:rPr>
                <w:sz w:val="18"/>
                <w:lang w:val="fr-FR"/>
              </w:rPr>
              <w:t>Harmonisation des Règlements concernant les véhicules ; atténuation des gaz à effet de serre ; STI</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7</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1,5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21</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10</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4.</w:t>
            </w:r>
            <w:r>
              <w:rPr>
                <w:sz w:val="18"/>
                <w:lang w:val="fr-FR"/>
              </w:rPr>
              <w:tab/>
            </w:r>
            <w:r w:rsidRPr="00C320C2">
              <w:rPr>
                <w:sz w:val="18"/>
                <w:lang w:val="fr-FR"/>
              </w:rPr>
              <w:t>Transport ferroviaire (y compris le projet TER)</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0,9</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5.</w:t>
            </w:r>
            <w:r>
              <w:rPr>
                <w:sz w:val="18"/>
                <w:lang w:val="fr-FR"/>
              </w:rPr>
              <w:tab/>
            </w:r>
            <w:r w:rsidRPr="00C320C2">
              <w:rPr>
                <w:sz w:val="18"/>
                <w:lang w:val="fr-FR"/>
              </w:rPr>
              <w:t>Transports par voie navigable</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1,6</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5</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6.</w:t>
            </w:r>
            <w:r>
              <w:rPr>
                <w:sz w:val="18"/>
                <w:lang w:val="fr-FR"/>
              </w:rPr>
              <w:tab/>
            </w:r>
            <w:r w:rsidRPr="00C320C2">
              <w:rPr>
                <w:sz w:val="18"/>
                <w:lang w:val="fr-FR"/>
              </w:rPr>
              <w:t xml:space="preserve">Transport intermodal et logistique </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0,7</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2</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7.</w:t>
            </w:r>
            <w:r>
              <w:rPr>
                <w:sz w:val="18"/>
                <w:lang w:val="fr-FR"/>
              </w:rPr>
              <w:tab/>
            </w:r>
            <w:r w:rsidRPr="00C320C2">
              <w:rPr>
                <w:sz w:val="18"/>
                <w:lang w:val="fr-FR"/>
              </w:rPr>
              <w:t xml:space="preserve">Problèmes douaniers intéressant </w:t>
            </w:r>
            <w:r>
              <w:rPr>
                <w:sz w:val="18"/>
                <w:lang w:val="fr-FR"/>
              </w:rPr>
              <w:br/>
            </w:r>
            <w:r w:rsidRPr="00C320C2">
              <w:rPr>
                <w:sz w:val="18"/>
                <w:lang w:val="fr-FR"/>
              </w:rPr>
              <w:t>les transports</w:t>
            </w:r>
            <w:r>
              <w:rPr>
                <w:sz w:val="18"/>
                <w:lang w:val="fr-FR"/>
              </w:rPr>
              <w:t>*</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6,6</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2,5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20</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17</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 et FE</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8.</w:t>
            </w:r>
            <w:r>
              <w:rPr>
                <w:sz w:val="18"/>
                <w:lang w:val="fr-FR"/>
              </w:rPr>
              <w:tab/>
            </w:r>
            <w:r w:rsidRPr="00C320C2">
              <w:rPr>
                <w:sz w:val="18"/>
                <w:lang w:val="fr-FR"/>
              </w:rPr>
              <w:t>Programme paneuropéen sur les transports, la santé et l’environnement (PPE-TSE)</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0,3</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0,3</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2</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lang w:val="fr-FR"/>
              </w:rPr>
            </w:pPr>
            <w:r w:rsidRPr="00C320C2">
              <w:rPr>
                <w:sz w:val="18"/>
                <w:lang w:val="fr-FR"/>
              </w:rPr>
              <w:t>Personnel BO ; FE pour autres activités</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9.</w:t>
            </w:r>
            <w:r>
              <w:rPr>
                <w:sz w:val="18"/>
                <w:lang w:val="fr-FR"/>
              </w:rPr>
              <w:tab/>
            </w:r>
            <w:r w:rsidRPr="00C320C2">
              <w:rPr>
                <w:sz w:val="18"/>
                <w:lang w:val="fr-FR"/>
              </w:rPr>
              <w:t xml:space="preserve">Transport de marchandises dangereuses (CEE) </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2,5</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8</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7</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10.</w:t>
            </w:r>
            <w:r>
              <w:rPr>
                <w:sz w:val="18"/>
                <w:lang w:val="fr-FR"/>
              </w:rPr>
              <w:tab/>
            </w:r>
            <w:r w:rsidRPr="00C320C2">
              <w:rPr>
                <w:sz w:val="18"/>
                <w:lang w:val="fr-FR"/>
              </w:rPr>
              <w:t>Transport des marchandises dangereuses (Conseil économique et social)</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1,2</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4</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11.</w:t>
            </w:r>
            <w:r>
              <w:rPr>
                <w:sz w:val="18"/>
                <w:lang w:val="fr-FR"/>
              </w:rPr>
              <w:tab/>
            </w:r>
            <w:r w:rsidRPr="00C320C2">
              <w:rPr>
                <w:sz w:val="18"/>
                <w:lang w:val="fr-FR"/>
              </w:rPr>
              <w:t xml:space="preserve">Système général harmonisé de classification </w:t>
            </w:r>
            <w:r>
              <w:rPr>
                <w:sz w:val="18"/>
                <w:lang w:val="fr-FR"/>
              </w:rPr>
              <w:br/>
            </w:r>
            <w:r w:rsidRPr="00C320C2">
              <w:rPr>
                <w:sz w:val="18"/>
                <w:lang w:val="fr-FR"/>
              </w:rPr>
              <w:t>et d’étiquetage des produits chimiques (SGH) (Conseil économique et social)</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12.</w:t>
            </w:r>
            <w:r>
              <w:rPr>
                <w:sz w:val="18"/>
                <w:lang w:val="fr-FR"/>
              </w:rPr>
              <w:tab/>
            </w:r>
            <w:r w:rsidRPr="00C320C2">
              <w:rPr>
                <w:sz w:val="18"/>
                <w:lang w:val="fr-FR"/>
              </w:rPr>
              <w:t>Transport de denrées périssables</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0,3</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13.</w:t>
            </w:r>
            <w:r>
              <w:rPr>
                <w:sz w:val="18"/>
                <w:lang w:val="fr-FR"/>
              </w:rPr>
              <w:tab/>
            </w:r>
            <w:r w:rsidRPr="00C320C2">
              <w:rPr>
                <w:sz w:val="18"/>
                <w:lang w:val="fr-FR"/>
              </w:rPr>
              <w:t>Statistiques des transports</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2</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6</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lang w:val="fr-FR"/>
              </w:rPr>
            </w:pPr>
            <w:r w:rsidRPr="00C320C2">
              <w:rPr>
                <w:sz w:val="18"/>
                <w:lang w:val="fr-FR"/>
              </w:rPr>
              <w:t>14.</w:t>
            </w:r>
            <w:r>
              <w:rPr>
                <w:sz w:val="18"/>
                <w:lang w:val="fr-FR"/>
              </w:rPr>
              <w:tab/>
            </w:r>
            <w:r w:rsidRPr="00C320C2">
              <w:rPr>
                <w:sz w:val="18"/>
                <w:lang w:val="fr-FR"/>
              </w:rPr>
              <w:t>Transport routier (y compris le projet TEM)</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15.</w:t>
            </w:r>
            <w:r>
              <w:rPr>
                <w:sz w:val="18"/>
                <w:lang w:val="fr-FR"/>
              </w:rPr>
              <w:tab/>
            </w:r>
            <w:r w:rsidRPr="00C320C2">
              <w:rPr>
                <w:sz w:val="18"/>
                <w:lang w:val="fr-FR"/>
              </w:rPr>
              <w:t>Sécurité routière**</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3,4</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1,5</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10</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10</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 et FE</w:t>
            </w:r>
          </w:p>
        </w:tc>
      </w:tr>
      <w:tr w:rsidR="003A38DC" w:rsidRPr="00C320C2" w:rsidTr="00826F40">
        <w:tc>
          <w:tcPr>
            <w:tcW w:w="3750" w:type="dxa"/>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16.</w:t>
            </w:r>
            <w:r>
              <w:rPr>
                <w:sz w:val="18"/>
                <w:lang w:val="fr-FR"/>
              </w:rPr>
              <w:tab/>
            </w:r>
            <w:r w:rsidRPr="00C320C2">
              <w:rPr>
                <w:sz w:val="18"/>
                <w:lang w:val="fr-FR"/>
              </w:rPr>
              <w:t>Conseiller régional</w:t>
            </w:r>
          </w:p>
        </w:tc>
        <w:tc>
          <w:tcPr>
            <w:tcW w:w="1353"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w:t>
            </w:r>
          </w:p>
        </w:tc>
        <w:tc>
          <w:tcPr>
            <w:tcW w:w="1418" w:type="dxa"/>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0,8</w:t>
            </w:r>
          </w:p>
        </w:tc>
        <w:tc>
          <w:tcPr>
            <w:tcW w:w="709"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3</w:t>
            </w:r>
            <w:r>
              <w:rPr>
                <w:sz w:val="18"/>
                <w:lang w:val="fr-FR"/>
              </w:rPr>
              <w:t> %</w:t>
            </w:r>
          </w:p>
        </w:tc>
        <w:tc>
          <w:tcPr>
            <w:tcW w:w="708" w:type="dxa"/>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5</w:t>
            </w:r>
            <w:r>
              <w:rPr>
                <w:sz w:val="18"/>
                <w:lang w:val="fr-FR"/>
              </w:rPr>
              <w:t> %</w:t>
            </w:r>
          </w:p>
        </w:tc>
        <w:tc>
          <w:tcPr>
            <w:tcW w:w="1699" w:type="dxa"/>
            <w:shd w:val="clear" w:color="auto" w:fill="auto"/>
            <w:hideMark/>
          </w:tcPr>
          <w:p w:rsidR="003A38DC" w:rsidRPr="00C320C2" w:rsidRDefault="003A38DC" w:rsidP="00826F40">
            <w:pPr>
              <w:suppressAutoHyphens w:val="0"/>
              <w:spacing w:before="40" w:after="40" w:line="220" w:lineRule="exact"/>
              <w:jc w:val="right"/>
              <w:rPr>
                <w:sz w:val="18"/>
                <w:lang w:val="fr-FR"/>
              </w:rPr>
            </w:pPr>
            <w:r w:rsidRPr="00C320C2">
              <w:rPr>
                <w:sz w:val="18"/>
                <w:lang w:val="fr-FR"/>
              </w:rPr>
              <w:t>Personnel BO ; FE pour autres activités (TEM/TER)</w:t>
            </w:r>
          </w:p>
        </w:tc>
      </w:tr>
      <w:tr w:rsidR="003A38DC" w:rsidRPr="00C320C2" w:rsidTr="00826F40">
        <w:tc>
          <w:tcPr>
            <w:tcW w:w="3750" w:type="dxa"/>
            <w:tcBorders>
              <w:bottom w:val="single" w:sz="4" w:space="0" w:color="auto"/>
            </w:tcBorders>
            <w:shd w:val="clear" w:color="auto" w:fill="auto"/>
            <w:hideMark/>
          </w:tcPr>
          <w:p w:rsidR="003A38DC" w:rsidRPr="00C320C2" w:rsidRDefault="003A38DC" w:rsidP="00826F40">
            <w:pPr>
              <w:suppressAutoHyphens w:val="0"/>
              <w:spacing w:before="40" w:after="40" w:line="220" w:lineRule="exact"/>
              <w:ind w:left="340" w:hanging="340"/>
              <w:rPr>
                <w:sz w:val="18"/>
              </w:rPr>
            </w:pPr>
            <w:r w:rsidRPr="00C320C2">
              <w:rPr>
                <w:sz w:val="18"/>
                <w:lang w:val="fr-FR"/>
              </w:rPr>
              <w:t>17.</w:t>
            </w:r>
            <w:r>
              <w:rPr>
                <w:sz w:val="18"/>
                <w:lang w:val="fr-FR"/>
              </w:rPr>
              <w:tab/>
            </w:r>
            <w:r w:rsidRPr="00C320C2">
              <w:rPr>
                <w:sz w:val="18"/>
                <w:lang w:val="fr-FR"/>
              </w:rPr>
              <w:t xml:space="preserve">Support horizontal (secrétariat) </w:t>
            </w:r>
          </w:p>
        </w:tc>
        <w:tc>
          <w:tcPr>
            <w:tcW w:w="1353" w:type="dxa"/>
            <w:tcBorders>
              <w:bottom w:val="single" w:sz="4" w:space="0" w:color="auto"/>
            </w:tcBorders>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1,5</w:t>
            </w:r>
          </w:p>
        </w:tc>
        <w:tc>
          <w:tcPr>
            <w:tcW w:w="1418" w:type="dxa"/>
            <w:tcBorders>
              <w:bottom w:val="single" w:sz="4" w:space="0" w:color="auto"/>
            </w:tcBorders>
            <w:shd w:val="clear" w:color="auto" w:fill="auto"/>
            <w:hideMark/>
          </w:tcPr>
          <w:p w:rsidR="003A38DC" w:rsidRPr="00C320C2" w:rsidRDefault="003A38DC" w:rsidP="00826F40">
            <w:pPr>
              <w:suppressAutoHyphens w:val="0"/>
              <w:spacing w:before="40" w:after="40" w:line="220" w:lineRule="exact"/>
              <w:jc w:val="right"/>
              <w:rPr>
                <w:sz w:val="18"/>
                <w:lang w:eastAsia="zh-CN"/>
              </w:rPr>
            </w:pPr>
            <w:r w:rsidRPr="00C320C2">
              <w:rPr>
                <w:sz w:val="18"/>
                <w:lang w:eastAsia="zh-CN"/>
              </w:rPr>
              <w:t>2,3</w:t>
            </w:r>
          </w:p>
        </w:tc>
        <w:tc>
          <w:tcPr>
            <w:tcW w:w="709" w:type="dxa"/>
            <w:tcBorders>
              <w:bottom w:val="single" w:sz="4" w:space="0" w:color="auto"/>
            </w:tcBorders>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5</w:t>
            </w:r>
            <w:r>
              <w:rPr>
                <w:sz w:val="18"/>
                <w:lang w:val="fr-FR"/>
              </w:rPr>
              <w:t> %</w:t>
            </w:r>
          </w:p>
        </w:tc>
        <w:tc>
          <w:tcPr>
            <w:tcW w:w="708" w:type="dxa"/>
            <w:tcBorders>
              <w:bottom w:val="single" w:sz="4" w:space="0" w:color="auto"/>
            </w:tcBorders>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15</w:t>
            </w:r>
            <w:r>
              <w:rPr>
                <w:sz w:val="18"/>
                <w:lang w:val="fr-FR"/>
              </w:rPr>
              <w:t> %</w:t>
            </w:r>
          </w:p>
        </w:tc>
        <w:tc>
          <w:tcPr>
            <w:tcW w:w="1699" w:type="dxa"/>
            <w:tcBorders>
              <w:bottom w:val="single" w:sz="4" w:space="0" w:color="auto"/>
            </w:tcBorders>
            <w:shd w:val="clear" w:color="auto" w:fill="auto"/>
            <w:hideMark/>
          </w:tcPr>
          <w:p w:rsidR="003A38DC" w:rsidRPr="00C320C2" w:rsidRDefault="003A38DC" w:rsidP="00826F40">
            <w:pPr>
              <w:suppressAutoHyphens w:val="0"/>
              <w:spacing w:before="40" w:after="40" w:line="220" w:lineRule="exact"/>
              <w:jc w:val="right"/>
              <w:rPr>
                <w:sz w:val="18"/>
              </w:rPr>
            </w:pPr>
            <w:r w:rsidRPr="00C320C2">
              <w:rPr>
                <w:sz w:val="18"/>
                <w:lang w:val="fr-FR"/>
              </w:rPr>
              <w:t>Personnel BO</w:t>
            </w:r>
          </w:p>
        </w:tc>
      </w:tr>
      <w:tr w:rsidR="003A38DC" w:rsidRPr="00DD54BD" w:rsidTr="00826F40">
        <w:tc>
          <w:tcPr>
            <w:tcW w:w="3750" w:type="dxa"/>
            <w:tcBorders>
              <w:top w:val="single" w:sz="4" w:space="0" w:color="auto"/>
              <w:bottom w:val="single" w:sz="12" w:space="0" w:color="auto"/>
            </w:tcBorders>
            <w:shd w:val="clear" w:color="auto" w:fill="auto"/>
            <w:hideMark/>
          </w:tcPr>
          <w:p w:rsidR="003A38DC" w:rsidRPr="00DD54BD" w:rsidRDefault="003A38DC" w:rsidP="00826F40">
            <w:pPr>
              <w:suppressAutoHyphens w:val="0"/>
              <w:spacing w:before="80" w:after="80" w:line="220" w:lineRule="exact"/>
              <w:ind w:left="283"/>
              <w:rPr>
                <w:b/>
                <w:bCs/>
                <w:sz w:val="18"/>
              </w:rPr>
            </w:pPr>
            <w:r w:rsidRPr="00DD54BD">
              <w:rPr>
                <w:b/>
                <w:bCs/>
                <w:sz w:val="18"/>
                <w:lang w:val="fr-FR"/>
              </w:rPr>
              <w:t>Total</w:t>
            </w:r>
          </w:p>
        </w:tc>
        <w:tc>
          <w:tcPr>
            <w:tcW w:w="1353" w:type="dxa"/>
            <w:tcBorders>
              <w:top w:val="single" w:sz="4" w:space="0" w:color="auto"/>
              <w:bottom w:val="single" w:sz="12" w:space="0" w:color="auto"/>
            </w:tcBorders>
            <w:shd w:val="clear" w:color="auto" w:fill="auto"/>
            <w:hideMark/>
          </w:tcPr>
          <w:p w:rsidR="003A38DC" w:rsidRPr="00DD54BD" w:rsidRDefault="003A38DC" w:rsidP="00826F40">
            <w:pPr>
              <w:suppressAutoHyphens w:val="0"/>
              <w:spacing w:before="80" w:after="80" w:line="220" w:lineRule="exact"/>
              <w:jc w:val="right"/>
              <w:rPr>
                <w:b/>
                <w:bCs/>
                <w:sz w:val="18"/>
              </w:rPr>
            </w:pPr>
            <w:r w:rsidRPr="00DD54BD">
              <w:rPr>
                <w:b/>
                <w:bCs/>
                <w:sz w:val="18"/>
                <w:lang w:val="fr-FR"/>
              </w:rPr>
              <w:t>33</w:t>
            </w:r>
          </w:p>
        </w:tc>
        <w:tc>
          <w:tcPr>
            <w:tcW w:w="1418" w:type="dxa"/>
            <w:tcBorders>
              <w:top w:val="single" w:sz="4" w:space="0" w:color="auto"/>
              <w:bottom w:val="single" w:sz="12" w:space="0" w:color="auto"/>
            </w:tcBorders>
            <w:shd w:val="clear" w:color="auto" w:fill="auto"/>
            <w:hideMark/>
          </w:tcPr>
          <w:p w:rsidR="003A38DC" w:rsidRPr="00DD54BD" w:rsidRDefault="003A38DC" w:rsidP="00826F40">
            <w:pPr>
              <w:suppressAutoHyphens w:val="0"/>
              <w:spacing w:before="80" w:after="80" w:line="220" w:lineRule="exact"/>
              <w:jc w:val="right"/>
              <w:rPr>
                <w:b/>
                <w:bCs/>
                <w:sz w:val="18"/>
              </w:rPr>
            </w:pPr>
            <w:r w:rsidRPr="00DD54BD">
              <w:rPr>
                <w:b/>
                <w:sz w:val="18"/>
                <w:lang w:val="fr-FR"/>
              </w:rPr>
              <w:t>15</w:t>
            </w:r>
          </w:p>
        </w:tc>
        <w:tc>
          <w:tcPr>
            <w:tcW w:w="709" w:type="dxa"/>
            <w:tcBorders>
              <w:top w:val="single" w:sz="4" w:space="0" w:color="auto"/>
              <w:bottom w:val="single" w:sz="12" w:space="0" w:color="auto"/>
            </w:tcBorders>
            <w:shd w:val="clear" w:color="auto" w:fill="auto"/>
            <w:vAlign w:val="bottom"/>
            <w:hideMark/>
          </w:tcPr>
          <w:p w:rsidR="003A38DC" w:rsidRPr="00DD54BD" w:rsidRDefault="003A38DC" w:rsidP="00826F40">
            <w:pPr>
              <w:suppressAutoHyphens w:val="0"/>
              <w:spacing w:before="80" w:after="80" w:line="220" w:lineRule="exact"/>
              <w:jc w:val="right"/>
              <w:rPr>
                <w:b/>
                <w:bCs/>
                <w:sz w:val="18"/>
              </w:rPr>
            </w:pPr>
            <w:r w:rsidRPr="00DD54BD">
              <w:rPr>
                <w:b/>
                <w:bCs/>
                <w:sz w:val="18"/>
                <w:lang w:val="fr-FR"/>
              </w:rPr>
              <w:t>100 %</w:t>
            </w:r>
          </w:p>
        </w:tc>
        <w:tc>
          <w:tcPr>
            <w:tcW w:w="708" w:type="dxa"/>
            <w:tcBorders>
              <w:top w:val="single" w:sz="4" w:space="0" w:color="auto"/>
              <w:bottom w:val="single" w:sz="12" w:space="0" w:color="auto"/>
            </w:tcBorders>
            <w:shd w:val="clear" w:color="auto" w:fill="auto"/>
            <w:vAlign w:val="bottom"/>
            <w:hideMark/>
          </w:tcPr>
          <w:p w:rsidR="003A38DC" w:rsidRPr="00DD54BD" w:rsidRDefault="003A38DC" w:rsidP="00826F40">
            <w:pPr>
              <w:suppressAutoHyphens w:val="0"/>
              <w:spacing w:before="80" w:after="80" w:line="220" w:lineRule="exact"/>
              <w:jc w:val="right"/>
              <w:rPr>
                <w:b/>
                <w:bCs/>
                <w:sz w:val="18"/>
              </w:rPr>
            </w:pPr>
            <w:r w:rsidRPr="00DD54BD">
              <w:rPr>
                <w:b/>
                <w:bCs/>
                <w:sz w:val="18"/>
                <w:lang w:val="fr-FR"/>
              </w:rPr>
              <w:t>100 %</w:t>
            </w:r>
          </w:p>
        </w:tc>
        <w:tc>
          <w:tcPr>
            <w:tcW w:w="1699" w:type="dxa"/>
            <w:tcBorders>
              <w:top w:val="single" w:sz="4" w:space="0" w:color="auto"/>
              <w:bottom w:val="single" w:sz="12" w:space="0" w:color="auto"/>
            </w:tcBorders>
            <w:shd w:val="clear" w:color="auto" w:fill="auto"/>
            <w:noWrap/>
            <w:vAlign w:val="bottom"/>
            <w:hideMark/>
          </w:tcPr>
          <w:p w:rsidR="003A38DC" w:rsidRPr="00DD54BD" w:rsidRDefault="003A38DC" w:rsidP="00826F40">
            <w:pPr>
              <w:suppressAutoHyphens w:val="0"/>
              <w:spacing w:before="80" w:after="80" w:line="220" w:lineRule="exact"/>
              <w:jc w:val="right"/>
              <w:rPr>
                <w:b/>
                <w:sz w:val="18"/>
                <w:lang w:eastAsia="zh-CN"/>
              </w:rPr>
            </w:pPr>
            <w:r w:rsidRPr="00DD54BD">
              <w:rPr>
                <w:b/>
                <w:sz w:val="18"/>
                <w:lang w:eastAsia="zh-CN"/>
              </w:rPr>
              <w:t> </w:t>
            </w:r>
          </w:p>
        </w:tc>
      </w:tr>
    </w:tbl>
    <w:p w:rsidR="003A38DC" w:rsidRPr="00246B33" w:rsidRDefault="003A38DC" w:rsidP="003A38DC">
      <w:pPr>
        <w:pStyle w:val="SingleTxtG"/>
        <w:spacing w:before="120" w:after="0" w:line="220" w:lineRule="exact"/>
        <w:ind w:left="0" w:firstLine="170"/>
        <w:jc w:val="left"/>
        <w:rPr>
          <w:sz w:val="18"/>
          <w:szCs w:val="18"/>
          <w:lang w:val="fr-FR"/>
        </w:rPr>
      </w:pPr>
      <w:r w:rsidRPr="00246B33">
        <w:rPr>
          <w:sz w:val="18"/>
          <w:szCs w:val="18"/>
          <w:lang w:val="fr-FR"/>
        </w:rPr>
        <w:t>* Comprend 5 postes P sur FE et 2 postes sur G FE.</w:t>
      </w:r>
    </w:p>
    <w:p w:rsidR="003A38DC" w:rsidRDefault="003A38DC" w:rsidP="004E53FF">
      <w:pPr>
        <w:pStyle w:val="SingleTxtG"/>
        <w:spacing w:after="240" w:line="220" w:lineRule="exact"/>
        <w:ind w:left="0" w:right="0" w:firstLine="170"/>
        <w:jc w:val="left"/>
        <w:rPr>
          <w:sz w:val="18"/>
          <w:szCs w:val="18"/>
          <w:lang w:val="fr-FR"/>
        </w:rPr>
      </w:pPr>
      <w:r w:rsidRPr="00B34AA4">
        <w:rPr>
          <w:sz w:val="18"/>
          <w:szCs w:val="18"/>
          <w:lang w:val="fr-FR"/>
        </w:rPr>
        <w:t>** Comprend 2 postes P sur FE et 1 poste G sur FE au service de l’Envoyé spécial du Secrétaire général de l’ONU pour la sécurité routière.</w:t>
      </w:r>
      <w:bookmarkEnd w:id="10"/>
      <w:bookmarkEnd w:id="11"/>
    </w:p>
    <w:p w:rsidR="00512C2D" w:rsidRDefault="00512C2D" w:rsidP="003A38DC">
      <w:pPr>
        <w:rPr>
          <w:lang w:val="fr-FR"/>
        </w:rPr>
        <w:sectPr w:rsidR="00512C2D" w:rsidSect="003A38DC">
          <w:headerReference w:type="first" r:id="rId13"/>
          <w:footnotePr>
            <w:numRestart w:val="eachSect"/>
          </w:footnotePr>
          <w:endnotePr>
            <w:numFmt w:val="decimal"/>
          </w:endnotePr>
          <w:type w:val="oddPage"/>
          <w:pgSz w:w="11906" w:h="16838" w:code="9"/>
          <w:pgMar w:top="1417" w:right="1134" w:bottom="1134" w:left="1134" w:header="850" w:footer="567" w:gutter="0"/>
          <w:cols w:space="708"/>
          <w:titlePg/>
          <w:docGrid w:linePitch="360"/>
        </w:sectPr>
      </w:pPr>
    </w:p>
    <w:p w:rsidR="00512C2D" w:rsidRPr="00B34AA4" w:rsidRDefault="00512C2D" w:rsidP="00512C2D">
      <w:pPr>
        <w:pStyle w:val="HChG"/>
        <w:ind w:left="0" w:firstLine="0"/>
      </w:pPr>
      <w:r w:rsidRPr="00B34AA4">
        <w:lastRenderedPageBreak/>
        <w:t>Annexe VIII</w:t>
      </w:r>
    </w:p>
    <w:p w:rsidR="00512C2D" w:rsidRPr="00E919A1" w:rsidRDefault="00512C2D" w:rsidP="00512C2D">
      <w:pPr>
        <w:pStyle w:val="HChG"/>
        <w:rPr>
          <w:u w:val="single"/>
          <w:lang w:val="fr-FR"/>
        </w:rPr>
      </w:pPr>
      <w:r>
        <w:rPr>
          <w:lang w:val="fr-FR"/>
        </w:rPr>
        <w:tab/>
      </w:r>
      <w:r>
        <w:rPr>
          <w:lang w:val="fr-FR"/>
        </w:rPr>
        <w:tab/>
      </w:r>
      <w:r w:rsidRPr="00E919A1">
        <w:rPr>
          <w:lang w:val="fr-FR"/>
        </w:rPr>
        <w:t xml:space="preserve">Indicateurs relatifs aux cibles mondiales volontaires </w:t>
      </w:r>
      <w:r>
        <w:rPr>
          <w:lang w:val="fr-FR"/>
        </w:rPr>
        <w:br/>
      </w:r>
      <w:r w:rsidRPr="00E919A1">
        <w:rPr>
          <w:lang w:val="fr-FR"/>
        </w:rPr>
        <w:t xml:space="preserve">de performance concernant les facteurs de risque </w:t>
      </w:r>
      <w:r>
        <w:rPr>
          <w:lang w:val="fr-FR"/>
        </w:rPr>
        <w:br/>
      </w:r>
      <w:r w:rsidRPr="00E919A1">
        <w:rPr>
          <w:lang w:val="fr-FR"/>
        </w:rPr>
        <w:t xml:space="preserve">en matière de sécurité routière et les mécanismes </w:t>
      </w:r>
      <w:r>
        <w:rPr>
          <w:lang w:val="fr-FR"/>
        </w:rPr>
        <w:br/>
      </w:r>
      <w:r w:rsidRPr="00E919A1">
        <w:rPr>
          <w:lang w:val="fr-FR"/>
        </w:rPr>
        <w:t xml:space="preserve">de prestation de services </w:t>
      </w:r>
    </w:p>
    <w:tbl>
      <w:tblPr>
        <w:tblW w:w="9637" w:type="dxa"/>
        <w:tblLayout w:type="fixed"/>
        <w:tblCellMar>
          <w:left w:w="0" w:type="dxa"/>
          <w:right w:w="0" w:type="dxa"/>
        </w:tblCellMar>
        <w:tblLook w:val="04A0" w:firstRow="1" w:lastRow="0" w:firstColumn="1" w:lastColumn="0" w:noHBand="0" w:noVBand="1"/>
      </w:tblPr>
      <w:tblGrid>
        <w:gridCol w:w="2590"/>
        <w:gridCol w:w="7047"/>
      </w:tblGrid>
      <w:tr w:rsidR="00512C2D" w:rsidRPr="00D2481F" w:rsidTr="00826F40">
        <w:trPr>
          <w:tblHeader/>
        </w:trPr>
        <w:tc>
          <w:tcPr>
            <w:tcW w:w="1981" w:type="dxa"/>
            <w:tcBorders>
              <w:top w:val="single" w:sz="4" w:space="0" w:color="auto"/>
              <w:bottom w:val="single" w:sz="12" w:space="0" w:color="auto"/>
            </w:tcBorders>
            <w:shd w:val="clear" w:color="auto" w:fill="auto"/>
            <w:vAlign w:val="bottom"/>
          </w:tcPr>
          <w:p w:rsidR="00512C2D" w:rsidRPr="00D2481F" w:rsidRDefault="00512C2D" w:rsidP="00826F40">
            <w:pPr>
              <w:spacing w:before="80" w:after="80" w:line="200" w:lineRule="exact"/>
              <w:ind w:right="113"/>
              <w:rPr>
                <w:rFonts w:eastAsia="SimSun"/>
                <w:i/>
                <w:sz w:val="16"/>
                <w:lang w:val="fr-FR"/>
              </w:rPr>
            </w:pPr>
            <w:r w:rsidRPr="00D2481F">
              <w:rPr>
                <w:i/>
                <w:sz w:val="16"/>
                <w:lang w:val="fr-FR"/>
              </w:rPr>
              <w:t>Cible</w:t>
            </w:r>
            <w:r w:rsidRPr="00D2481F">
              <w:rPr>
                <w:rStyle w:val="FootnoteReference"/>
                <w:sz w:val="16"/>
              </w:rPr>
              <w:footnoteReference w:id="8"/>
            </w:r>
            <w:r w:rsidRPr="00D2481F">
              <w:rPr>
                <w:sz w:val="16"/>
                <w:lang w:val="fr-FR"/>
              </w:rPr>
              <w:t xml:space="preserve"> </w:t>
            </w:r>
          </w:p>
        </w:tc>
        <w:tc>
          <w:tcPr>
            <w:tcW w:w="5389" w:type="dxa"/>
            <w:tcBorders>
              <w:top w:val="single" w:sz="4" w:space="0" w:color="auto"/>
              <w:bottom w:val="single" w:sz="12" w:space="0" w:color="auto"/>
            </w:tcBorders>
            <w:shd w:val="clear" w:color="auto" w:fill="auto"/>
            <w:vAlign w:val="bottom"/>
          </w:tcPr>
          <w:p w:rsidR="00512C2D" w:rsidRPr="00D2481F" w:rsidRDefault="00512C2D" w:rsidP="00826F40">
            <w:pPr>
              <w:spacing w:before="80" w:after="80" w:line="200" w:lineRule="exact"/>
              <w:ind w:right="113"/>
              <w:rPr>
                <w:rFonts w:eastAsia="SimSun"/>
                <w:i/>
                <w:sz w:val="16"/>
                <w:lang w:val="fr-FR"/>
              </w:rPr>
            </w:pPr>
            <w:r w:rsidRPr="00D2481F">
              <w:rPr>
                <w:i/>
                <w:iCs/>
                <w:sz w:val="16"/>
                <w:lang w:val="fr-FR"/>
              </w:rPr>
              <w:t>Indicateurs relatifs aux cibles mondiales volontaires</w:t>
            </w:r>
            <w:r w:rsidRPr="00D2481F">
              <w:rPr>
                <w:rStyle w:val="FootnoteReference"/>
                <w:sz w:val="16"/>
              </w:rPr>
              <w:footnoteReference w:id="9"/>
            </w:r>
          </w:p>
        </w:tc>
      </w:tr>
      <w:tr w:rsidR="00512C2D" w:rsidRPr="00D2481F" w:rsidTr="00826F40">
        <w:trPr>
          <w:trHeight w:hRule="exact" w:val="113"/>
          <w:tblHeader/>
        </w:trPr>
        <w:tc>
          <w:tcPr>
            <w:tcW w:w="1981" w:type="dxa"/>
            <w:tcBorders>
              <w:top w:val="single" w:sz="12" w:space="0" w:color="auto"/>
            </w:tcBorders>
            <w:shd w:val="clear" w:color="auto" w:fill="auto"/>
          </w:tcPr>
          <w:p w:rsidR="00512C2D" w:rsidRPr="00D2481F" w:rsidRDefault="00512C2D" w:rsidP="00826F40">
            <w:pPr>
              <w:spacing w:before="40" w:after="120"/>
              <w:ind w:right="113"/>
              <w:rPr>
                <w:lang w:val="fr-FR"/>
              </w:rPr>
            </w:pPr>
          </w:p>
        </w:tc>
        <w:tc>
          <w:tcPr>
            <w:tcW w:w="5389" w:type="dxa"/>
            <w:tcBorders>
              <w:top w:val="single" w:sz="12" w:space="0" w:color="auto"/>
            </w:tcBorders>
            <w:shd w:val="clear" w:color="auto" w:fill="auto"/>
          </w:tcPr>
          <w:p w:rsidR="00512C2D" w:rsidRPr="00D2481F" w:rsidRDefault="00512C2D" w:rsidP="00826F40">
            <w:pPr>
              <w:spacing w:before="40" w:after="120"/>
              <w:ind w:right="113"/>
              <w:rPr>
                <w:iCs/>
                <w:lang w:val="fr-FR"/>
              </w:rPr>
            </w:pP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Cs/>
                <w:lang w:val="fr-FR"/>
              </w:rPr>
            </w:pPr>
            <w:r w:rsidRPr="00D2481F">
              <w:rPr>
                <w:b/>
                <w:lang w:val="fr-FR"/>
              </w:rPr>
              <w:t>Cible 1</w:t>
            </w:r>
            <w:r w:rsidRPr="00D2481F">
              <w:rPr>
                <w:lang w:val="fr-FR"/>
              </w:rPr>
              <w:t xml:space="preserve"> : D’ici à 2020, </w:t>
            </w:r>
            <w:r w:rsidRPr="00D2481F">
              <w:rPr>
                <w:lang w:val="fr-FR"/>
              </w:rPr>
              <w:br/>
              <w:t xml:space="preserve">tous les pays établissent </w:t>
            </w:r>
            <w:r w:rsidRPr="00D2481F">
              <w:rPr>
                <w:lang w:val="fr-FR"/>
              </w:rPr>
              <w:br/>
              <w:t xml:space="preserve">un plan d’action national multisectoriel global </w:t>
            </w:r>
            <w:r w:rsidRPr="00D2481F">
              <w:rPr>
                <w:lang w:val="fr-FR"/>
              </w:rPr>
              <w:br/>
              <w:t>en matière de sécurité routière comprenant des objectifs assortis d’échéances précises.</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1 :</w:t>
            </w:r>
          </w:p>
          <w:p w:rsidR="00512C2D" w:rsidRPr="00D2481F" w:rsidRDefault="00512C2D" w:rsidP="00826F40">
            <w:pPr>
              <w:spacing w:before="40" w:after="120"/>
              <w:ind w:right="113"/>
              <w:rPr>
                <w:rFonts w:eastAsia="SimSun"/>
                <w:bCs/>
                <w:lang w:val="fr-FR"/>
              </w:rPr>
            </w:pPr>
            <w:r w:rsidRPr="00D2481F">
              <w:rPr>
                <w:lang w:val="fr-FR"/>
              </w:rPr>
              <w:t>Nombre de pays ayant publié un plan d’action national comprenant des objectifs assortis d’échéances précises et régulièrement mis à jour de réduction du nombre de décès et de blessures.</w:t>
            </w:r>
          </w:p>
          <w:p w:rsidR="00512C2D" w:rsidRPr="00D2481F" w:rsidRDefault="00512C2D" w:rsidP="00826F40">
            <w:pPr>
              <w:spacing w:before="40" w:after="120"/>
              <w:ind w:right="113"/>
              <w:rPr>
                <w:rFonts w:eastAsia="SimSun"/>
                <w:bCs/>
                <w:lang w:val="fr-FR"/>
              </w:rPr>
            </w:pPr>
            <w:r w:rsidRPr="00D2481F">
              <w:rPr>
                <w:lang w:val="fr-FR"/>
              </w:rPr>
              <w:t>Nombre de pays dotés d’une institution chef de file chargée de coordonner, suivre, évaluer et mettre en œuvre le plan d’action national multisectoriel pour la sécurité routière.</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2</w:t>
            </w:r>
            <w:r w:rsidRPr="00D2481F">
              <w:rPr>
                <w:lang w:val="fr-FR"/>
              </w:rPr>
              <w:t xml:space="preserve"> : D’ici à 2030, </w:t>
            </w:r>
            <w:r w:rsidRPr="00D2481F">
              <w:rPr>
                <w:lang w:val="fr-FR"/>
              </w:rPr>
              <w:br/>
              <w:t xml:space="preserve">tous les pays adhèrent </w:t>
            </w:r>
            <w:r w:rsidRPr="00D2481F">
              <w:rPr>
                <w:lang w:val="fr-FR"/>
              </w:rPr>
              <w:br/>
              <w:t xml:space="preserve">à un ou plusieurs </w:t>
            </w:r>
            <w:r w:rsidRPr="00D2481F">
              <w:rPr>
                <w:lang w:val="fr-FR"/>
              </w:rPr>
              <w:br/>
              <w:t xml:space="preserve">des principaux </w:t>
            </w:r>
            <w:r w:rsidRPr="00D2481F">
              <w:rPr>
                <w:iCs/>
                <w:lang w:val="fr-FR"/>
              </w:rPr>
              <w:t xml:space="preserve">instruments juridiques des Nations Unies </w:t>
            </w:r>
            <w:r w:rsidRPr="00D2481F">
              <w:rPr>
                <w:iCs/>
                <w:lang w:val="fr-FR"/>
              </w:rPr>
              <w:br/>
            </w:r>
            <w:r w:rsidRPr="00D2481F">
              <w:rPr>
                <w:lang w:val="fr-FR"/>
              </w:rPr>
              <w:t>relatifs à la sécurité routière.</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 pour la cible 2 :</w:t>
            </w:r>
          </w:p>
          <w:p w:rsidR="00512C2D" w:rsidRPr="00D2481F" w:rsidRDefault="00512C2D" w:rsidP="00826F40">
            <w:pPr>
              <w:spacing w:before="40" w:after="120"/>
              <w:ind w:right="113"/>
              <w:rPr>
                <w:rFonts w:eastAsia="SimSun"/>
                <w:bCs/>
                <w:lang w:val="fr-FR"/>
              </w:rPr>
            </w:pPr>
            <w:r w:rsidRPr="00D2481F">
              <w:rPr>
                <w:lang w:val="fr-FR"/>
              </w:rPr>
              <w:t>Nombre de pays ayant ratifié un ou plusieurs des principaux instruments juridiques des Nations Unies relatifs à la sécurité routière ou y ayant adhéré.</w:t>
            </w:r>
          </w:p>
          <w:p w:rsidR="00512C2D" w:rsidRPr="00D2481F" w:rsidRDefault="00512C2D" w:rsidP="00826F40">
            <w:pPr>
              <w:spacing w:before="40" w:after="120"/>
              <w:ind w:right="113"/>
              <w:rPr>
                <w:rFonts w:eastAsia="SimSun"/>
                <w:bCs/>
                <w:lang w:val="fr-FR"/>
              </w:rPr>
            </w:pPr>
            <w:r w:rsidRPr="00D2481F">
              <w:rPr>
                <w:lang w:val="fr-FR"/>
              </w:rPr>
              <w:t xml:space="preserve">(Note de bas de page :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Convention sur la circulation routière (1949)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Convention sur la circulation routière (1968)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Convention sur la signalisation routière (1968)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 xml:space="preserve">Accord de 1958 </w:t>
            </w:r>
            <w:r>
              <w:rPr>
                <w:lang w:val="fr-FR"/>
              </w:rPr>
              <w:t>−</w:t>
            </w:r>
            <w:r w:rsidRPr="00D2481F">
              <w:rPr>
                <w:lang w:val="fr-FR"/>
              </w:rPr>
              <w:t xml:space="preserve"> </w:t>
            </w:r>
            <w:r w:rsidRPr="00D2481F">
              <w:rPr>
                <w:iCs/>
                <w:lang w:val="fr-FR"/>
              </w:rPr>
              <w:t xml:space="preserve">Règlements ONU concernant l’homologation de type </w:t>
            </w:r>
            <w:r>
              <w:rPr>
                <w:iCs/>
                <w:lang w:val="fr-FR"/>
              </w:rPr>
              <w:br/>
            </w:r>
            <w:r w:rsidRPr="00D2481F">
              <w:rPr>
                <w:lang w:val="fr-FR"/>
              </w:rPr>
              <w:t>des véhicules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 xml:space="preserve">Accord de 1997 </w:t>
            </w:r>
            <w:r>
              <w:rPr>
                <w:lang w:val="fr-FR"/>
              </w:rPr>
              <w:t>−</w:t>
            </w:r>
            <w:r w:rsidRPr="00D2481F">
              <w:rPr>
                <w:lang w:val="fr-FR"/>
              </w:rPr>
              <w:t xml:space="preserve"> Accord concernant l’adoption de conditions uniformes </w:t>
            </w:r>
            <w:r>
              <w:rPr>
                <w:lang w:val="fr-FR"/>
              </w:rPr>
              <w:br/>
            </w:r>
            <w:r w:rsidRPr="00D2481F">
              <w:rPr>
                <w:lang w:val="fr-FR"/>
              </w:rPr>
              <w:t>applicables au contrôle technique périodique des véhicules à roues et la reconnaissance réciproque des contrôles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 xml:space="preserve">Accord de 1998 </w:t>
            </w:r>
            <w:r>
              <w:rPr>
                <w:lang w:val="fr-FR"/>
              </w:rPr>
              <w:t>−</w:t>
            </w:r>
            <w:r w:rsidRPr="00D2481F">
              <w:rPr>
                <w:lang w:val="fr-FR"/>
              </w:rPr>
              <w:t xml:space="preserve"> Règlements techniques mondiaux ONU concernant </w:t>
            </w:r>
            <w:r>
              <w:rPr>
                <w:lang w:val="fr-FR"/>
              </w:rPr>
              <w:br/>
            </w:r>
            <w:r w:rsidRPr="00D2481F">
              <w:rPr>
                <w:lang w:val="fr-FR"/>
              </w:rPr>
              <w:t>la construction des véhicules ;</w:t>
            </w:r>
          </w:p>
          <w:p w:rsidR="00512C2D" w:rsidRPr="00D2481F" w:rsidRDefault="00512C2D" w:rsidP="00512C2D">
            <w:pPr>
              <w:pStyle w:val="Bullet1G"/>
              <w:numPr>
                <w:ilvl w:val="0"/>
                <w:numId w:val="1"/>
              </w:numPr>
              <w:ind w:left="170" w:right="0"/>
              <w:jc w:val="left"/>
              <w:rPr>
                <w:rFonts w:eastAsia="SimSun"/>
                <w:bCs/>
                <w:lang w:val="fr-FR"/>
              </w:rPr>
            </w:pPr>
            <w:r w:rsidRPr="00D2481F">
              <w:rPr>
                <w:lang w:val="fr-FR"/>
              </w:rPr>
              <w:t xml:space="preserve">Accord européen </w:t>
            </w:r>
            <w:r>
              <w:rPr>
                <w:lang w:val="fr-FR"/>
              </w:rPr>
              <w:t xml:space="preserve">de 1957 </w:t>
            </w:r>
            <w:r w:rsidRPr="00D2481F">
              <w:rPr>
                <w:lang w:val="fr-FR"/>
              </w:rPr>
              <w:t>relatif au transport international des marchandises dangereuses par route (ADR).</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3</w:t>
            </w:r>
            <w:r w:rsidRPr="00D2481F">
              <w:rPr>
                <w:lang w:val="fr-FR"/>
              </w:rPr>
              <w:t xml:space="preserve"> : D’ici à 2030, </w:t>
            </w:r>
            <w:r w:rsidRPr="00D2481F">
              <w:rPr>
                <w:lang w:val="fr-FR"/>
              </w:rPr>
              <w:br/>
              <w:t xml:space="preserve">toutes les nouvelles routes satisfont à des normes techniques, prenant en considération tous les usagers de la route, qui tiennent </w:t>
            </w:r>
            <w:r w:rsidRPr="00D2481F">
              <w:rPr>
                <w:lang w:val="fr-FR"/>
              </w:rPr>
              <w:br/>
              <w:t xml:space="preserve">compte de la sécurité routière ou ont obtenu une notation </w:t>
            </w:r>
            <w:r w:rsidRPr="00D2481F">
              <w:rPr>
                <w:lang w:val="fr-FR"/>
              </w:rPr>
              <w:br/>
            </w:r>
            <w:r w:rsidRPr="00D2481F">
              <w:rPr>
                <w:lang w:val="fr-FR"/>
              </w:rPr>
              <w:lastRenderedPageBreak/>
              <w:t>de trois étoiles ou plus.</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lastRenderedPageBreak/>
              <w:t>Indicateurs pour la cible 3 :</w:t>
            </w:r>
          </w:p>
          <w:p w:rsidR="00512C2D" w:rsidRPr="00D2481F" w:rsidRDefault="00512C2D" w:rsidP="00826F40">
            <w:pPr>
              <w:spacing w:before="40" w:after="120"/>
              <w:ind w:right="113"/>
              <w:rPr>
                <w:rFonts w:eastAsia="SimSun"/>
                <w:bCs/>
                <w:lang w:val="fr-FR"/>
              </w:rPr>
            </w:pPr>
            <w:r w:rsidRPr="00D2481F">
              <w:rPr>
                <w:lang w:val="fr-FR"/>
              </w:rPr>
              <w:t xml:space="preserve">Nombre de pays ayant appliqué pour les nouvelles routes des normes techniques qui prennent en considération la sécurité de tous les usagers de la route ou qui sont </w:t>
            </w:r>
            <w:r w:rsidRPr="00D2481F">
              <w:rPr>
                <w:iCs/>
                <w:lang w:val="fr-FR"/>
              </w:rPr>
              <w:t xml:space="preserve">en conformité avec </w:t>
            </w:r>
            <w:r w:rsidRPr="00D2481F">
              <w:rPr>
                <w:lang w:val="fr-FR"/>
              </w:rPr>
              <w:t>les instruments pertinents de l’ONU et régissent le respect de ces normes.</w:t>
            </w:r>
          </w:p>
          <w:p w:rsidR="00512C2D" w:rsidRPr="00D2481F" w:rsidRDefault="00512C2D" w:rsidP="00826F40">
            <w:pPr>
              <w:spacing w:before="40" w:after="120"/>
              <w:ind w:right="113"/>
              <w:rPr>
                <w:rFonts w:eastAsia="SimSun"/>
                <w:bCs/>
                <w:lang w:val="fr-FR"/>
              </w:rPr>
            </w:pPr>
            <w:r w:rsidRPr="00D2481F">
              <w:rPr>
                <w:lang w:val="fr-FR"/>
              </w:rPr>
              <w:t>Nombre de pays ayant adopté des approches systématiques d’évaluation/vérification des nouvelles routes.</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4</w:t>
            </w:r>
            <w:r w:rsidRPr="00D2481F">
              <w:rPr>
                <w:lang w:val="fr-FR"/>
              </w:rPr>
              <w:t xml:space="preserve"> : D’ici à 2030, </w:t>
            </w:r>
            <w:r w:rsidRPr="00D2481F">
              <w:rPr>
                <w:lang w:val="fr-FR"/>
              </w:rPr>
              <w:br/>
              <w:t xml:space="preserve">plus de 75 % des déplacements </w:t>
            </w:r>
            <w:r w:rsidRPr="00D2481F">
              <w:rPr>
                <w:lang w:val="fr-FR"/>
              </w:rPr>
              <w:br/>
              <w:t xml:space="preserve">sur les routes existantes </w:t>
            </w:r>
            <w:r w:rsidRPr="00D2481F">
              <w:rPr>
                <w:lang w:val="fr-FR"/>
              </w:rPr>
              <w:br/>
              <w:t xml:space="preserve">se font sur des routes </w:t>
            </w:r>
            <w:r w:rsidRPr="00D2481F">
              <w:rPr>
                <w:lang w:val="fr-FR"/>
              </w:rPr>
              <w:br/>
              <w:t xml:space="preserve">qui répondent aux normes techniques prenant </w:t>
            </w:r>
            <w:r w:rsidRPr="00D2481F">
              <w:rPr>
                <w:lang w:val="fr-FR"/>
              </w:rPr>
              <w:br/>
              <w:t xml:space="preserve">en considération la sécurité </w:t>
            </w:r>
            <w:r w:rsidRPr="00D2481F">
              <w:rPr>
                <w:lang w:val="fr-FR"/>
              </w:rPr>
              <w:br/>
              <w:t>de tous les usagers de la route.</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4 :</w:t>
            </w:r>
          </w:p>
          <w:p w:rsidR="00512C2D" w:rsidRPr="00D2481F" w:rsidRDefault="00512C2D" w:rsidP="00826F40">
            <w:pPr>
              <w:spacing w:before="40" w:after="120"/>
              <w:ind w:right="113"/>
              <w:rPr>
                <w:rFonts w:eastAsia="SimSun"/>
                <w:bCs/>
                <w:lang w:val="fr-FR"/>
              </w:rPr>
            </w:pPr>
            <w:r w:rsidRPr="00D2481F">
              <w:rPr>
                <w:lang w:val="fr-FR"/>
              </w:rPr>
              <w:t>Nombre de pays qui ont élaboré et mettent en œuvre un plan d’amélioration des routes existantes prenant en considération la sécurité de tous les usagers de la route.</w:t>
            </w:r>
          </w:p>
          <w:p w:rsidR="00512C2D" w:rsidRPr="00D2481F" w:rsidRDefault="00512C2D" w:rsidP="00826F40">
            <w:pPr>
              <w:spacing w:before="40" w:after="120"/>
              <w:ind w:right="113"/>
              <w:rPr>
                <w:rFonts w:eastAsia="SimSun"/>
                <w:bCs/>
                <w:lang w:val="fr-FR"/>
              </w:rPr>
            </w:pPr>
            <w:r w:rsidRPr="00D2481F">
              <w:rPr>
                <w:lang w:val="fr-FR"/>
              </w:rPr>
              <w:t>Nombre de pays ayant adopté des approches systématiques d’évaluation/vérification des routes existantes.</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5</w:t>
            </w:r>
            <w:r w:rsidRPr="00D2481F">
              <w:rPr>
                <w:lang w:val="fr-FR"/>
              </w:rPr>
              <w:t xml:space="preserve"> : D’ici à 2030, </w:t>
            </w:r>
            <w:r w:rsidRPr="00D2481F">
              <w:rPr>
                <w:lang w:val="fr-FR"/>
              </w:rPr>
              <w:br/>
              <w:t xml:space="preserve">100 % des véhicules neufs (produits, vendus ou importés) et des véhicules d’occasion satisfont à des normes </w:t>
            </w:r>
            <w:r w:rsidRPr="00D2481F">
              <w:rPr>
                <w:lang w:val="fr-FR"/>
              </w:rPr>
              <w:br/>
              <w:t xml:space="preserve">de sécurité de haut niveau, telles que les normes prioritaires recommandées </w:t>
            </w:r>
            <w:r w:rsidRPr="00D2481F">
              <w:rPr>
                <w:lang w:val="fr-FR"/>
              </w:rPr>
              <w:br/>
              <w:t>par les Règlements ONU, les règlements techniques mondiaux ou des exigences techniques nationales considérées comme équivalentes.</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lang w:val="fr-FR"/>
              </w:rPr>
              <w:t>Indicateurs pour la cible 5</w:t>
            </w:r>
            <w:r w:rsidRPr="00D2481F">
              <w:rPr>
                <w:lang w:val="fr-FR"/>
              </w:rPr>
              <w:t> :</w:t>
            </w:r>
            <w:r w:rsidRPr="00D2481F">
              <w:rPr>
                <w:b/>
                <w:lang w:val="fr-FR"/>
              </w:rPr>
              <w:t xml:space="preserve"> </w:t>
            </w:r>
          </w:p>
          <w:p w:rsidR="00512C2D" w:rsidRPr="00D2481F" w:rsidRDefault="00512C2D" w:rsidP="00826F40">
            <w:pPr>
              <w:spacing w:before="40" w:after="120"/>
              <w:ind w:right="113"/>
              <w:rPr>
                <w:rFonts w:eastAsia="SimSun"/>
                <w:bCs/>
                <w:strike/>
                <w:lang w:val="fr-FR"/>
              </w:rPr>
            </w:pPr>
            <w:r w:rsidRPr="00D2481F">
              <w:rPr>
                <w:lang w:val="fr-FR"/>
              </w:rPr>
              <w:t>Nombre de pays appliquant des normes de sécurité de haut niveau pour les véhicules neufs.</w:t>
            </w:r>
          </w:p>
          <w:p w:rsidR="00512C2D" w:rsidRPr="00D2481F" w:rsidRDefault="00512C2D" w:rsidP="00826F40">
            <w:pPr>
              <w:spacing w:before="40" w:after="120"/>
              <w:ind w:right="113"/>
              <w:rPr>
                <w:rFonts w:eastAsia="SimSun"/>
                <w:bCs/>
                <w:lang w:val="fr-FR"/>
              </w:rPr>
            </w:pPr>
            <w:r w:rsidRPr="00D2481F">
              <w:rPr>
                <w:lang w:val="fr-FR"/>
              </w:rPr>
              <w:t>Nombre de pays ayant adopté des approches systématiques d’évaluation des véhicules.</w:t>
            </w:r>
          </w:p>
          <w:p w:rsidR="00512C2D" w:rsidRPr="00D2481F" w:rsidRDefault="00512C2D" w:rsidP="00826F40">
            <w:pPr>
              <w:spacing w:before="40" w:after="120"/>
              <w:ind w:right="113"/>
              <w:rPr>
                <w:rFonts w:eastAsia="SimSun"/>
                <w:bCs/>
                <w:lang w:val="fr-FR"/>
              </w:rPr>
            </w:pPr>
            <w:r w:rsidRPr="00D2481F">
              <w:rPr>
                <w:lang w:val="fr-FR"/>
              </w:rPr>
              <w:t>Nombre de pays appliquant des normes de sécurité de haut niveau pour l’exportation de véhicules d’occasion.</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6</w:t>
            </w:r>
            <w:r w:rsidRPr="00D2481F">
              <w:rPr>
                <w:lang w:val="fr-FR"/>
              </w:rPr>
              <w:t xml:space="preserve"> : D’ici à 2030, </w:t>
            </w:r>
            <w:r w:rsidRPr="00D2481F">
              <w:rPr>
                <w:lang w:val="fr-FR"/>
              </w:rPr>
              <w:br/>
              <w:t xml:space="preserve">réduire de moitié </w:t>
            </w:r>
            <w:r w:rsidRPr="00D2481F">
              <w:rPr>
                <w:iCs/>
                <w:lang w:val="fr-FR"/>
              </w:rPr>
              <w:t xml:space="preserve">la proportion </w:t>
            </w:r>
            <w:r w:rsidRPr="00D2481F">
              <w:rPr>
                <w:iCs/>
                <w:lang w:val="fr-FR"/>
              </w:rPr>
              <w:br/>
              <w:t xml:space="preserve">de véhicules circulant au-delà de la vitesse limite affichée </w:t>
            </w:r>
            <w:r w:rsidRPr="00D2481F">
              <w:rPr>
                <w:iCs/>
                <w:lang w:val="fr-FR"/>
              </w:rPr>
              <w:br/>
            </w:r>
            <w:r w:rsidRPr="00D2481F">
              <w:rPr>
                <w:lang w:val="fr-FR"/>
              </w:rPr>
              <w:t xml:space="preserve">et réduire le nombre </w:t>
            </w:r>
            <w:r w:rsidRPr="00D2481F">
              <w:rPr>
                <w:lang w:val="fr-FR"/>
              </w:rPr>
              <w:br/>
              <w:t xml:space="preserve">de blessures et de décès </w:t>
            </w:r>
            <w:r w:rsidRPr="00D2481F">
              <w:rPr>
                <w:lang w:val="fr-FR"/>
              </w:rPr>
              <w:br/>
              <w:t>liés à la vitesse.</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6 :</w:t>
            </w:r>
          </w:p>
          <w:p w:rsidR="00512C2D" w:rsidRPr="00D2481F" w:rsidRDefault="00512C2D" w:rsidP="00826F40">
            <w:pPr>
              <w:spacing w:before="40" w:after="120"/>
              <w:ind w:right="113"/>
              <w:rPr>
                <w:rFonts w:eastAsia="SimSun"/>
                <w:bCs/>
                <w:lang w:val="fr-FR"/>
              </w:rPr>
            </w:pPr>
            <w:r w:rsidRPr="00D2481F">
              <w:rPr>
                <w:lang w:val="fr-FR"/>
              </w:rPr>
              <w:t xml:space="preserve">Nombre de pays disposant d’une législation fixant des </w:t>
            </w:r>
            <w:r w:rsidRPr="00D2481F">
              <w:rPr>
                <w:iCs/>
                <w:lang w:val="fr-FR"/>
              </w:rPr>
              <w:t xml:space="preserve">limitations de vitesse </w:t>
            </w:r>
            <w:r w:rsidRPr="00D2481F">
              <w:rPr>
                <w:lang w:val="fr-FR"/>
              </w:rPr>
              <w:t>appropriées et appliquant effectivement la réglementation.</w:t>
            </w:r>
          </w:p>
          <w:p w:rsidR="00512C2D" w:rsidRPr="00D2481F" w:rsidRDefault="00512C2D" w:rsidP="00826F40">
            <w:pPr>
              <w:spacing w:before="40" w:after="120"/>
              <w:ind w:right="113"/>
              <w:rPr>
                <w:rFonts w:eastAsia="SimSun"/>
                <w:bCs/>
                <w:lang w:val="fr-FR"/>
              </w:rPr>
            </w:pPr>
            <w:r w:rsidRPr="00D2481F">
              <w:rPr>
                <w:lang w:val="fr-FR"/>
              </w:rPr>
              <w:t>Nombre de pays ayant réduit de moitié la proportion de véhicules circulant au-delà de la vitesse limite affichée.</w:t>
            </w:r>
          </w:p>
          <w:p w:rsidR="00512C2D" w:rsidRPr="00D2481F" w:rsidRDefault="00512C2D" w:rsidP="00826F40">
            <w:pPr>
              <w:spacing w:before="40" w:after="120"/>
              <w:ind w:right="113"/>
              <w:rPr>
                <w:rFonts w:eastAsia="SimSun"/>
                <w:bCs/>
                <w:lang w:val="fr-FR"/>
              </w:rPr>
            </w:pPr>
            <w:r w:rsidRPr="00D2481F">
              <w:rPr>
                <w:lang w:val="fr-FR"/>
              </w:rPr>
              <w:t xml:space="preserve">Nombre de pays disposant de </w:t>
            </w:r>
            <w:r w:rsidRPr="00D2481F">
              <w:rPr>
                <w:iCs/>
                <w:lang w:val="fr-FR"/>
              </w:rPr>
              <w:t xml:space="preserve">systèmes de données </w:t>
            </w:r>
            <w:r w:rsidRPr="00D2481F">
              <w:rPr>
                <w:lang w:val="fr-FR"/>
              </w:rPr>
              <w:t>nationaux et, le cas échéant, infranationaux concernant les infractions en matière d’excès de vitesse et les blessures et décès liés à la vitesse.</w:t>
            </w:r>
          </w:p>
          <w:p w:rsidR="00512C2D" w:rsidRPr="00D2481F" w:rsidRDefault="00512C2D" w:rsidP="00826F40">
            <w:pPr>
              <w:spacing w:before="40" w:after="120"/>
              <w:ind w:right="113"/>
              <w:rPr>
                <w:rFonts w:eastAsia="SimSun"/>
                <w:bCs/>
                <w:lang w:val="fr-FR"/>
              </w:rPr>
            </w:pPr>
            <w:r w:rsidRPr="00D2481F">
              <w:rPr>
                <w:lang w:val="fr-FR"/>
              </w:rPr>
              <w:t>Nombre de pays ayant réussi à réduire le nombre de blessures et de décès liés à la vitesse.</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7</w:t>
            </w:r>
            <w:r w:rsidRPr="00D2481F">
              <w:rPr>
                <w:lang w:val="fr-FR"/>
              </w:rPr>
              <w:t xml:space="preserve"> : D’ici à 2030, </w:t>
            </w:r>
            <w:r w:rsidRPr="00D2481F">
              <w:rPr>
                <w:lang w:val="fr-FR"/>
              </w:rPr>
              <w:br/>
              <w:t xml:space="preserve">porter à près de 100 % </w:t>
            </w:r>
            <w:r w:rsidRPr="00D2481F">
              <w:rPr>
                <w:lang w:val="fr-FR"/>
              </w:rPr>
              <w:br/>
              <w:t xml:space="preserve">la proportion de motocyclistes utilisant correctement </w:t>
            </w:r>
            <w:r w:rsidRPr="00D2481F">
              <w:rPr>
                <w:lang w:val="fr-FR"/>
              </w:rPr>
              <w:br/>
              <w:t xml:space="preserve">un casque répondant </w:t>
            </w:r>
            <w:r w:rsidRPr="00D2481F">
              <w:rPr>
                <w:lang w:val="fr-FR"/>
              </w:rPr>
              <w:br/>
              <w:t>aux normes.</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7 :</w:t>
            </w:r>
          </w:p>
          <w:p w:rsidR="00512C2D" w:rsidRPr="00D2481F" w:rsidRDefault="00512C2D" w:rsidP="00826F40">
            <w:pPr>
              <w:spacing w:before="40" w:after="120"/>
              <w:ind w:right="113"/>
              <w:rPr>
                <w:rFonts w:eastAsia="SimSun"/>
                <w:bCs/>
                <w:lang w:val="fr-FR"/>
              </w:rPr>
            </w:pPr>
            <w:r w:rsidRPr="00D2481F">
              <w:rPr>
                <w:lang w:val="fr-FR"/>
              </w:rPr>
              <w:t xml:space="preserve">Nombre de pays disposant d’une législation imposant aux motocyclistes de porter un casque correctement attaché et répondant aux normes de protection appropriées (note de bas de page : </w:t>
            </w:r>
            <w:r>
              <w:rPr>
                <w:lang w:val="fr-FR"/>
              </w:rPr>
              <w:t>p</w:t>
            </w:r>
            <w:r w:rsidRPr="00D2481F">
              <w:rPr>
                <w:lang w:val="fr-FR"/>
              </w:rPr>
              <w:t xml:space="preserve">ar exemple, le </w:t>
            </w:r>
            <w:r w:rsidRPr="00D2481F">
              <w:rPr>
                <w:iCs/>
                <w:lang w:val="fr-FR"/>
              </w:rPr>
              <w:t>Règlement ONU n</w:t>
            </w:r>
            <w:r w:rsidRPr="00D2481F">
              <w:rPr>
                <w:iCs/>
                <w:vertAlign w:val="superscript"/>
                <w:lang w:val="fr-FR"/>
              </w:rPr>
              <w:t>o</w:t>
            </w:r>
            <w:r w:rsidRPr="00D2481F">
              <w:rPr>
                <w:iCs/>
                <w:lang w:val="fr-FR"/>
              </w:rPr>
              <w:t> </w:t>
            </w:r>
            <w:r w:rsidRPr="00D2481F">
              <w:rPr>
                <w:lang w:val="fr-FR"/>
              </w:rPr>
              <w:t>22 ou une norme nationale équivalente).</w:t>
            </w:r>
          </w:p>
          <w:p w:rsidR="00512C2D" w:rsidRPr="00D2481F" w:rsidRDefault="00512C2D" w:rsidP="00826F40">
            <w:pPr>
              <w:spacing w:before="40" w:after="120"/>
              <w:ind w:right="113"/>
              <w:rPr>
                <w:rFonts w:eastAsia="SimSun"/>
                <w:bCs/>
                <w:lang w:val="fr-FR"/>
              </w:rPr>
            </w:pPr>
            <w:r w:rsidRPr="00D2481F">
              <w:rPr>
                <w:lang w:val="fr-FR"/>
              </w:rPr>
              <w:t>Nombre de pays appliquant effectivement la législation sur le port du casque.</w:t>
            </w:r>
          </w:p>
          <w:p w:rsidR="00512C2D" w:rsidRPr="00D2481F" w:rsidRDefault="00512C2D" w:rsidP="00826F40">
            <w:pPr>
              <w:spacing w:before="40" w:after="120"/>
              <w:ind w:right="113"/>
              <w:rPr>
                <w:rFonts w:eastAsia="SimSun"/>
                <w:bCs/>
                <w:lang w:val="fr-FR"/>
              </w:rPr>
            </w:pPr>
            <w:r w:rsidRPr="00D2481F">
              <w:rPr>
                <w:lang w:val="fr-FR"/>
              </w:rPr>
              <w:t>Nombre de pays appliquant les règlements concernant la sécurité des casques pour enfants et adultes mis en vente.</w:t>
            </w:r>
          </w:p>
          <w:p w:rsidR="00512C2D" w:rsidRPr="00D2481F" w:rsidRDefault="00512C2D" w:rsidP="00826F40">
            <w:pPr>
              <w:spacing w:before="40" w:after="120"/>
              <w:ind w:right="113"/>
              <w:rPr>
                <w:rFonts w:eastAsia="SimSun"/>
                <w:bCs/>
                <w:lang w:val="fr-FR"/>
              </w:rPr>
            </w:pPr>
            <w:r w:rsidRPr="00D2481F">
              <w:rPr>
                <w:lang w:val="fr-FR"/>
              </w:rPr>
              <w:t xml:space="preserve">Nombre de pays disposant de systèmes de données nationaux et, le cas échéant, infranationaux concernant le port du casque. </w:t>
            </w:r>
          </w:p>
          <w:p w:rsidR="00512C2D" w:rsidRPr="00D2481F" w:rsidRDefault="00512C2D" w:rsidP="00826F40">
            <w:pPr>
              <w:spacing w:before="40" w:after="120"/>
              <w:ind w:right="113"/>
              <w:rPr>
                <w:rFonts w:eastAsia="SimSun"/>
                <w:bCs/>
                <w:lang w:val="fr-FR"/>
              </w:rPr>
            </w:pPr>
            <w:r w:rsidRPr="00D2481F">
              <w:rPr>
                <w:lang w:val="fr-FR"/>
              </w:rPr>
              <w:t>Nombre de pays dans lesquels la proportion de motocyclistes utilisant correctement un casque est proche de 100 %.</w:t>
            </w:r>
          </w:p>
        </w:tc>
      </w:tr>
      <w:tr w:rsidR="00512C2D" w:rsidRPr="00D2481F" w:rsidTr="00826F40">
        <w:tc>
          <w:tcPr>
            <w:tcW w:w="1981" w:type="dxa"/>
            <w:shd w:val="clear" w:color="auto" w:fill="auto"/>
          </w:tcPr>
          <w:p w:rsidR="00512C2D" w:rsidRPr="00D2481F" w:rsidRDefault="00512C2D" w:rsidP="00826F40">
            <w:pPr>
              <w:keepNext/>
              <w:spacing w:before="40" w:after="120"/>
              <w:ind w:right="113"/>
              <w:rPr>
                <w:rFonts w:eastAsia="SimSun"/>
                <w:b/>
                <w:lang w:val="fr-FR"/>
              </w:rPr>
            </w:pPr>
            <w:r w:rsidRPr="00D2481F">
              <w:rPr>
                <w:b/>
                <w:lang w:val="fr-FR"/>
              </w:rPr>
              <w:lastRenderedPageBreak/>
              <w:t>Cible 8</w:t>
            </w:r>
            <w:r w:rsidRPr="00D2481F">
              <w:rPr>
                <w:lang w:val="fr-FR"/>
              </w:rPr>
              <w:t xml:space="preserve"> : D’ici à 2030, </w:t>
            </w:r>
            <w:r w:rsidRPr="00D2481F">
              <w:rPr>
                <w:lang w:val="fr-FR"/>
              </w:rPr>
              <w:br/>
              <w:t xml:space="preserve">porter à près de 100 % </w:t>
            </w:r>
            <w:r w:rsidRPr="00D2481F">
              <w:rPr>
                <w:lang w:val="fr-FR"/>
              </w:rPr>
              <w:br/>
              <w:t xml:space="preserve">la proportion d’occupants </w:t>
            </w:r>
            <w:r w:rsidRPr="00D2481F">
              <w:rPr>
                <w:lang w:val="fr-FR"/>
              </w:rPr>
              <w:br/>
              <w:t xml:space="preserve">de véhicules automobiles utilisant une ceinture </w:t>
            </w:r>
            <w:r w:rsidRPr="00D2481F">
              <w:rPr>
                <w:lang w:val="fr-FR"/>
              </w:rPr>
              <w:br/>
              <w:t xml:space="preserve">de sécurité ou un </w:t>
            </w:r>
            <w:r w:rsidRPr="00D2481F">
              <w:rPr>
                <w:iCs/>
                <w:lang w:val="fr-FR"/>
              </w:rPr>
              <w:t xml:space="preserve">dispositif </w:t>
            </w:r>
            <w:r w:rsidRPr="00D2481F">
              <w:rPr>
                <w:iCs/>
                <w:lang w:val="fr-FR"/>
              </w:rPr>
              <w:br/>
              <w:t xml:space="preserve">de retenue pour enfants </w:t>
            </w:r>
            <w:r w:rsidRPr="00D2481F">
              <w:rPr>
                <w:lang w:val="fr-FR"/>
              </w:rPr>
              <w:t>répondant aux normes.</w:t>
            </w:r>
          </w:p>
        </w:tc>
        <w:tc>
          <w:tcPr>
            <w:tcW w:w="5389" w:type="dxa"/>
            <w:shd w:val="clear" w:color="auto" w:fill="auto"/>
          </w:tcPr>
          <w:p w:rsidR="00512C2D" w:rsidRPr="00D2481F" w:rsidRDefault="00512C2D" w:rsidP="00826F40">
            <w:pPr>
              <w:keepNext/>
              <w:spacing w:before="40" w:after="120"/>
              <w:ind w:right="113"/>
              <w:rPr>
                <w:rFonts w:eastAsia="SimSun"/>
                <w:b/>
                <w:bCs/>
                <w:lang w:val="fr-FR"/>
              </w:rPr>
            </w:pPr>
            <w:r w:rsidRPr="00D2481F">
              <w:rPr>
                <w:b/>
                <w:bCs/>
                <w:lang w:val="fr-FR"/>
              </w:rPr>
              <w:t>Indicateurs pour la cible 8 :</w:t>
            </w:r>
          </w:p>
          <w:p w:rsidR="00512C2D" w:rsidRPr="00D2481F" w:rsidRDefault="00512C2D" w:rsidP="00826F40">
            <w:pPr>
              <w:keepNext/>
              <w:spacing w:before="40" w:after="120"/>
              <w:ind w:right="113"/>
              <w:rPr>
                <w:rFonts w:eastAsia="SimSun"/>
                <w:bCs/>
                <w:lang w:val="fr-FR"/>
              </w:rPr>
            </w:pPr>
            <w:r w:rsidRPr="00D2481F">
              <w:rPr>
                <w:lang w:val="fr-FR"/>
              </w:rPr>
              <w:t>Nombre de pays disposant d’une législation exigeant l’usage de la ceinture de sécurité pour tous les occupants des véhicules automobiles et appliquant effectivement cette législation.</w:t>
            </w:r>
          </w:p>
          <w:p w:rsidR="00512C2D" w:rsidRPr="00D2481F" w:rsidRDefault="00512C2D" w:rsidP="00826F40">
            <w:pPr>
              <w:keepNext/>
              <w:spacing w:before="40" w:after="120"/>
              <w:ind w:right="113"/>
              <w:rPr>
                <w:rFonts w:eastAsia="SimSun"/>
                <w:bCs/>
                <w:lang w:val="fr-FR"/>
              </w:rPr>
            </w:pPr>
            <w:r w:rsidRPr="00D2481F">
              <w:rPr>
                <w:lang w:val="fr-FR"/>
              </w:rPr>
              <w:t>Nombre de pays disposant d’une législation exigeant l’usage de dispositifs de retenue pour enfants répondant à des normes appropriées et appliquant effectivement cette législation (</w:t>
            </w:r>
            <w:r>
              <w:rPr>
                <w:lang w:val="fr-FR"/>
              </w:rPr>
              <w:t>note de bas de page</w:t>
            </w:r>
            <w:r w:rsidRPr="00D2481F">
              <w:rPr>
                <w:lang w:val="fr-FR"/>
              </w:rPr>
              <w:t xml:space="preserve"> : </w:t>
            </w:r>
            <w:r>
              <w:rPr>
                <w:lang w:val="fr-FR"/>
              </w:rPr>
              <w:t>p</w:t>
            </w:r>
            <w:r w:rsidRPr="00D2481F">
              <w:rPr>
                <w:lang w:val="fr-FR"/>
              </w:rPr>
              <w:t>ar exemple, les Règlements ONU n</w:t>
            </w:r>
            <w:r w:rsidRPr="00D2481F">
              <w:rPr>
                <w:vertAlign w:val="superscript"/>
                <w:lang w:val="fr-FR"/>
              </w:rPr>
              <w:t>os</w:t>
            </w:r>
            <w:r w:rsidRPr="00D2481F">
              <w:rPr>
                <w:lang w:val="fr-FR"/>
              </w:rPr>
              <w:t> 44</w:t>
            </w:r>
            <w:r>
              <w:rPr>
                <w:lang w:val="fr-FR"/>
              </w:rPr>
              <w:t xml:space="preserve"> ou</w:t>
            </w:r>
            <w:r w:rsidRPr="00D2481F">
              <w:rPr>
                <w:lang w:val="fr-FR"/>
              </w:rPr>
              <w:t xml:space="preserve"> 129 et</w:t>
            </w:r>
            <w:r>
              <w:rPr>
                <w:lang w:val="fr-FR"/>
              </w:rPr>
              <w:t> </w:t>
            </w:r>
            <w:r w:rsidRPr="00D2481F">
              <w:rPr>
                <w:lang w:val="fr-FR"/>
              </w:rPr>
              <w:t>145 ou une norme nationale équivalente).</w:t>
            </w:r>
          </w:p>
          <w:p w:rsidR="00512C2D" w:rsidRPr="00D2481F" w:rsidRDefault="00512C2D" w:rsidP="00826F40">
            <w:pPr>
              <w:keepNext/>
              <w:spacing w:before="40" w:after="120"/>
              <w:ind w:right="113"/>
              <w:rPr>
                <w:rFonts w:eastAsia="SimSun"/>
                <w:bCs/>
                <w:lang w:val="fr-FR"/>
              </w:rPr>
            </w:pPr>
            <w:r w:rsidRPr="00D2481F">
              <w:rPr>
                <w:lang w:val="fr-FR"/>
              </w:rPr>
              <w:t>Nombre de pays dans lesquels la proportion de tous les occupants de véhicules automobiles utilisant la ceinture de sécurité est proche de 100 %.</w:t>
            </w:r>
          </w:p>
          <w:p w:rsidR="00512C2D" w:rsidRPr="00D2481F" w:rsidRDefault="00512C2D" w:rsidP="00826F40">
            <w:pPr>
              <w:keepNext/>
              <w:spacing w:before="40" w:after="120"/>
              <w:ind w:right="113"/>
              <w:rPr>
                <w:rFonts w:eastAsia="SimSun"/>
                <w:bCs/>
                <w:lang w:val="fr-FR"/>
              </w:rPr>
            </w:pPr>
            <w:r w:rsidRPr="00D2481F">
              <w:rPr>
                <w:lang w:val="fr-FR"/>
              </w:rPr>
              <w:t>Nombre de pays dans lesquels la proportion de tous les occupants de véhicules automobiles qui sont des enfants et qui utilisent des dispositifs de retenue pour enfants répondant aux normes est proche de 100 %.</w:t>
            </w:r>
          </w:p>
          <w:p w:rsidR="00512C2D" w:rsidRPr="00D2481F" w:rsidRDefault="00512C2D" w:rsidP="00826F40">
            <w:pPr>
              <w:keepNext/>
              <w:spacing w:before="40" w:after="120"/>
              <w:ind w:right="113"/>
              <w:rPr>
                <w:rFonts w:eastAsia="SimSun"/>
                <w:bCs/>
                <w:lang w:val="fr-FR"/>
              </w:rPr>
            </w:pPr>
            <w:r w:rsidRPr="00D2481F">
              <w:rPr>
                <w:lang w:val="fr-FR"/>
              </w:rPr>
              <w:t>Nombre de pays disposant de règlements concernant la sécurité des dispositifs de retenue pour enfants mis en vente et appliquant effectivement cette législation.</w:t>
            </w:r>
          </w:p>
          <w:p w:rsidR="00512C2D" w:rsidRPr="00D2481F" w:rsidRDefault="00512C2D" w:rsidP="00826F40">
            <w:pPr>
              <w:keepNext/>
              <w:spacing w:before="40" w:after="120"/>
              <w:ind w:right="113"/>
              <w:rPr>
                <w:rFonts w:eastAsia="SimSun"/>
                <w:bCs/>
                <w:lang w:val="fr-FR"/>
              </w:rPr>
            </w:pPr>
            <w:r w:rsidRPr="00D2481F">
              <w:rPr>
                <w:lang w:val="fr-FR"/>
              </w:rPr>
              <w:t>Nombre de pays disposant de données nationales et, le cas échéant, infranationales sur le port de la ceinture de sécurité ainsi que sur l’usage approprié des dispositifs de retenue pour enfants.</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9</w:t>
            </w:r>
            <w:r w:rsidRPr="00D2481F">
              <w:rPr>
                <w:lang w:val="fr-FR"/>
              </w:rPr>
              <w:t xml:space="preserve"> : D’ici à 2030, </w:t>
            </w:r>
            <w:r w:rsidRPr="00D2481F">
              <w:rPr>
                <w:lang w:val="fr-FR"/>
              </w:rPr>
              <w:br/>
              <w:t xml:space="preserve">réduire de moitié le nombre </w:t>
            </w:r>
            <w:r w:rsidRPr="00D2481F">
              <w:rPr>
                <w:lang w:val="fr-FR"/>
              </w:rPr>
              <w:br/>
              <w:t xml:space="preserve">de </w:t>
            </w:r>
            <w:r w:rsidRPr="00D2481F">
              <w:rPr>
                <w:iCs/>
                <w:lang w:val="fr-FR"/>
              </w:rPr>
              <w:t xml:space="preserve">blessures et de décès dus </w:t>
            </w:r>
            <w:r w:rsidRPr="00D2481F">
              <w:rPr>
                <w:iCs/>
                <w:lang w:val="fr-FR"/>
              </w:rPr>
              <w:br/>
              <w:t xml:space="preserve">aux accidents de la circulation routière </w:t>
            </w:r>
            <w:r w:rsidRPr="00D2481F">
              <w:rPr>
                <w:lang w:val="fr-FR"/>
              </w:rPr>
              <w:t xml:space="preserve">liés à la consommation d’alcool, </w:t>
            </w:r>
            <w:r>
              <w:rPr>
                <w:lang w:val="fr-FR"/>
              </w:rPr>
              <w:br/>
            </w:r>
            <w:r w:rsidRPr="00D2481F">
              <w:rPr>
                <w:lang w:val="fr-FR"/>
              </w:rPr>
              <w:t xml:space="preserve">et/ou réduire </w:t>
            </w:r>
            <w:r w:rsidRPr="00D2481F">
              <w:rPr>
                <w:lang w:val="fr-FR"/>
              </w:rPr>
              <w:br/>
              <w:t xml:space="preserve">le nombre de blessures </w:t>
            </w:r>
            <w:r w:rsidRPr="00D2481F">
              <w:rPr>
                <w:lang w:val="fr-FR"/>
              </w:rPr>
              <w:br/>
              <w:t xml:space="preserve">et de décès sur les routes </w:t>
            </w:r>
            <w:r w:rsidRPr="00D2481F">
              <w:rPr>
                <w:lang w:val="fr-FR"/>
              </w:rPr>
              <w:br/>
              <w:t xml:space="preserve">liés à la consommation </w:t>
            </w:r>
            <w:r w:rsidRPr="00D2481F">
              <w:rPr>
                <w:lang w:val="fr-FR"/>
              </w:rPr>
              <w:br/>
              <w:t xml:space="preserve">d’autres </w:t>
            </w:r>
            <w:r w:rsidRPr="00D2481F">
              <w:rPr>
                <w:iCs/>
                <w:lang w:val="fr-FR"/>
              </w:rPr>
              <w:t>substances psychoactives</w:t>
            </w:r>
            <w:r w:rsidRPr="00D2481F">
              <w:rPr>
                <w:lang w:val="fr-FR"/>
              </w:rPr>
              <w:t xml:space="preserve">. </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9 :</w:t>
            </w:r>
          </w:p>
          <w:p w:rsidR="00512C2D" w:rsidRPr="00D2481F" w:rsidRDefault="00512C2D" w:rsidP="00826F40">
            <w:pPr>
              <w:spacing w:before="40" w:after="120"/>
              <w:ind w:right="113"/>
              <w:rPr>
                <w:rFonts w:eastAsia="SimSun"/>
                <w:lang w:val="fr-FR"/>
              </w:rPr>
            </w:pPr>
            <w:r w:rsidRPr="00D2481F">
              <w:rPr>
                <w:lang w:val="fr-FR"/>
              </w:rPr>
              <w:t xml:space="preserve">Nombre de pays disposant d’une législation appropriée concernant la </w:t>
            </w:r>
            <w:r w:rsidRPr="00D2481F">
              <w:rPr>
                <w:iCs/>
                <w:lang w:val="fr-FR"/>
              </w:rPr>
              <w:t xml:space="preserve">conduite sous l’emprise de l’alcool </w:t>
            </w:r>
            <w:r w:rsidRPr="00D2481F">
              <w:rPr>
                <w:lang w:val="fr-FR"/>
              </w:rPr>
              <w:t>et/ou d’autres substances psychoactives et appliquant effectivement cette législation.</w:t>
            </w:r>
          </w:p>
          <w:p w:rsidR="00512C2D" w:rsidRPr="00D2481F" w:rsidRDefault="00512C2D" w:rsidP="00826F40">
            <w:pPr>
              <w:spacing w:before="40" w:after="120"/>
              <w:ind w:right="113"/>
              <w:rPr>
                <w:rFonts w:eastAsia="SimSun"/>
                <w:bCs/>
                <w:lang w:val="fr-FR"/>
              </w:rPr>
            </w:pPr>
            <w:r w:rsidRPr="00D2481F">
              <w:rPr>
                <w:lang w:val="fr-FR"/>
              </w:rPr>
              <w:t>Nombre de pays disposant de données nationales et, le cas échéant, infranationales sur la conduite sous l’emprise de l’alcool et/ou de substances psychoactives et sur les blessures et décès dus aux accidents de la circulation routière qui y sont liés.</w:t>
            </w:r>
          </w:p>
          <w:p w:rsidR="00512C2D" w:rsidRPr="00D2481F" w:rsidRDefault="00512C2D" w:rsidP="00826F40">
            <w:pPr>
              <w:spacing w:before="40" w:after="120"/>
              <w:ind w:right="113"/>
              <w:rPr>
                <w:rFonts w:eastAsia="SimSun"/>
                <w:bCs/>
                <w:lang w:val="fr-FR"/>
              </w:rPr>
            </w:pPr>
            <w:r w:rsidRPr="00D2481F">
              <w:rPr>
                <w:lang w:val="fr-FR"/>
              </w:rPr>
              <w:t>Nombre de pays ayant réduit de moitié le nombre de blessures et de décès dus aux accidents de la circulation routière liés à la conduite sous l’emprise de l’alcool et/ou d’autres substances psychoactives.</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10</w:t>
            </w:r>
            <w:r w:rsidRPr="00D2481F">
              <w:rPr>
                <w:lang w:val="fr-FR"/>
              </w:rPr>
              <w:t xml:space="preserve"> : D’ici à 2030, </w:t>
            </w:r>
            <w:r w:rsidRPr="00D2481F">
              <w:rPr>
                <w:lang w:val="fr-FR"/>
              </w:rPr>
              <w:br/>
              <w:t xml:space="preserve">tous les pays disposent </w:t>
            </w:r>
            <w:r w:rsidRPr="00D2481F">
              <w:rPr>
                <w:lang w:val="fr-FR"/>
              </w:rPr>
              <w:br/>
              <w:t xml:space="preserve">d’une législation nationale visant à restreindre </w:t>
            </w:r>
            <w:r w:rsidRPr="00D2481F">
              <w:rPr>
                <w:lang w:val="fr-FR"/>
              </w:rPr>
              <w:br/>
              <w:t xml:space="preserve">ou à interdire </w:t>
            </w:r>
            <w:r w:rsidRPr="00D2481F">
              <w:rPr>
                <w:iCs/>
                <w:lang w:val="fr-FR"/>
              </w:rPr>
              <w:t xml:space="preserve">l’utilisation </w:t>
            </w:r>
            <w:r w:rsidRPr="00D2481F">
              <w:rPr>
                <w:iCs/>
                <w:lang w:val="fr-FR"/>
              </w:rPr>
              <w:br/>
              <w:t xml:space="preserve">des téléphones mobiles </w:t>
            </w:r>
            <w:r w:rsidRPr="00D2481F">
              <w:rPr>
                <w:iCs/>
                <w:lang w:val="fr-FR"/>
              </w:rPr>
              <w:br/>
              <w:t>au volant</w:t>
            </w:r>
            <w:r w:rsidRPr="00D2481F">
              <w:rPr>
                <w:lang w:val="fr-FR"/>
              </w:rPr>
              <w:t>.</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10 :</w:t>
            </w:r>
          </w:p>
          <w:p w:rsidR="00512C2D" w:rsidRPr="00D2481F" w:rsidRDefault="00512C2D" w:rsidP="00826F40">
            <w:pPr>
              <w:spacing w:before="40" w:after="120"/>
              <w:ind w:right="113"/>
              <w:rPr>
                <w:rFonts w:eastAsia="SimSun"/>
                <w:bCs/>
                <w:lang w:val="fr-FR"/>
              </w:rPr>
            </w:pPr>
            <w:r w:rsidRPr="00D2481F">
              <w:rPr>
                <w:lang w:val="fr-FR"/>
              </w:rPr>
              <w:t>Nombre de pays disposant d’une législation concernant la restriction ou l’interdiction de l’utilisation des téléphones mobiles au volant et appliquant effectivement cette législation.</w:t>
            </w:r>
          </w:p>
          <w:p w:rsidR="00512C2D" w:rsidRPr="00D2481F" w:rsidRDefault="00512C2D" w:rsidP="00826F40">
            <w:pPr>
              <w:spacing w:before="40" w:after="120"/>
              <w:ind w:right="113"/>
              <w:rPr>
                <w:rFonts w:eastAsia="SimSun"/>
                <w:bCs/>
                <w:lang w:val="fr-FR"/>
              </w:rPr>
            </w:pPr>
            <w:r w:rsidRPr="00D2481F">
              <w:rPr>
                <w:lang w:val="fr-FR"/>
              </w:rPr>
              <w:t xml:space="preserve">Nombre de pays disposant de systèmes de données nationaux et, le cas échéant, infranationaux concernant l’utilisation des téléphones mobiles au volant. </w:t>
            </w:r>
          </w:p>
        </w:tc>
      </w:tr>
      <w:tr w:rsidR="00512C2D" w:rsidRPr="00D2481F" w:rsidTr="00826F40">
        <w:tc>
          <w:tcPr>
            <w:tcW w:w="1981" w:type="dxa"/>
            <w:shd w:val="clear" w:color="auto" w:fill="auto"/>
          </w:tcPr>
          <w:p w:rsidR="00512C2D" w:rsidRPr="00D2481F" w:rsidRDefault="00512C2D" w:rsidP="00826F40">
            <w:pPr>
              <w:spacing w:before="40" w:after="120"/>
              <w:ind w:right="113"/>
              <w:rPr>
                <w:rFonts w:eastAsia="SimSun"/>
                <w:b/>
                <w:lang w:val="fr-FR"/>
              </w:rPr>
            </w:pPr>
            <w:r w:rsidRPr="00D2481F">
              <w:rPr>
                <w:b/>
                <w:lang w:val="fr-FR"/>
              </w:rPr>
              <w:t>Cible 11</w:t>
            </w:r>
            <w:r w:rsidRPr="00D2481F">
              <w:rPr>
                <w:lang w:val="fr-FR"/>
              </w:rPr>
              <w:t xml:space="preserve"> : D’ici à 2030, </w:t>
            </w:r>
            <w:r w:rsidRPr="00D2481F">
              <w:rPr>
                <w:lang w:val="fr-FR"/>
              </w:rPr>
              <w:br/>
              <w:t xml:space="preserve">tous les pays adoptent </w:t>
            </w:r>
            <w:r w:rsidRPr="00D2481F">
              <w:rPr>
                <w:lang w:val="fr-FR"/>
              </w:rPr>
              <w:br/>
              <w:t xml:space="preserve">une réglementation concernant l’établissement de temps </w:t>
            </w:r>
            <w:r w:rsidRPr="00D2481F">
              <w:rPr>
                <w:lang w:val="fr-FR"/>
              </w:rPr>
              <w:br/>
              <w:t xml:space="preserve">de conduite et de repos </w:t>
            </w:r>
            <w:r w:rsidRPr="00D2481F">
              <w:rPr>
                <w:lang w:val="fr-FR"/>
              </w:rPr>
              <w:br/>
              <w:t xml:space="preserve">pour les chauffeurs professionnels et/ou </w:t>
            </w:r>
            <w:r w:rsidRPr="00D2481F">
              <w:rPr>
                <w:lang w:val="fr-FR"/>
              </w:rPr>
              <w:br/>
              <w:t xml:space="preserve">adhérent à la réglementation internationale ou régionale </w:t>
            </w:r>
            <w:r w:rsidRPr="00D2481F">
              <w:rPr>
                <w:lang w:val="fr-FR"/>
              </w:rPr>
              <w:br/>
              <w:t>dans ce domaine.</w:t>
            </w:r>
          </w:p>
        </w:tc>
        <w:tc>
          <w:tcPr>
            <w:tcW w:w="5389" w:type="dxa"/>
            <w:shd w:val="clear" w:color="auto" w:fill="auto"/>
          </w:tcPr>
          <w:p w:rsidR="00512C2D" w:rsidRPr="00D2481F" w:rsidRDefault="00512C2D" w:rsidP="00826F40">
            <w:pPr>
              <w:spacing w:before="40" w:after="120"/>
              <w:ind w:right="113"/>
              <w:rPr>
                <w:rFonts w:eastAsia="SimSun"/>
                <w:b/>
                <w:bCs/>
                <w:lang w:val="fr-FR"/>
              </w:rPr>
            </w:pPr>
            <w:r w:rsidRPr="00D2481F">
              <w:rPr>
                <w:b/>
                <w:bCs/>
                <w:lang w:val="fr-FR"/>
              </w:rPr>
              <w:t>Indicateurs pour la cible 11 :</w:t>
            </w:r>
          </w:p>
          <w:p w:rsidR="00512C2D" w:rsidRPr="00D2481F" w:rsidRDefault="00512C2D" w:rsidP="00826F40">
            <w:pPr>
              <w:spacing w:before="40" w:after="120"/>
              <w:ind w:right="113"/>
              <w:rPr>
                <w:rFonts w:eastAsia="SimSun"/>
                <w:bCs/>
                <w:lang w:val="fr-FR"/>
              </w:rPr>
            </w:pPr>
            <w:r w:rsidRPr="00D2481F">
              <w:rPr>
                <w:lang w:val="fr-FR"/>
              </w:rPr>
              <w:t>Nombre de pays ayant adhéré à la réglementation internationale/régionale concernant l’établissement de temps de conduite et de repos pour les chauffeurs professionnels.</w:t>
            </w:r>
          </w:p>
          <w:p w:rsidR="00512C2D" w:rsidRPr="00D2481F" w:rsidRDefault="00512C2D" w:rsidP="00826F40">
            <w:pPr>
              <w:spacing w:before="40" w:after="120"/>
              <w:ind w:right="113"/>
              <w:rPr>
                <w:rFonts w:eastAsia="SimSun"/>
                <w:bCs/>
                <w:lang w:val="fr-FR"/>
              </w:rPr>
            </w:pPr>
            <w:r w:rsidRPr="00D2481F">
              <w:rPr>
                <w:lang w:val="fr-FR"/>
              </w:rPr>
              <w:t xml:space="preserve">Nombre de pays disposant d’une réglementation concernant l’établissement de temps de conduite et de repos pour les chauffeurs professionnels, appliquant effectivement cette réglementation et procédant à des vérifications dans ce domaine. </w:t>
            </w:r>
          </w:p>
        </w:tc>
      </w:tr>
      <w:tr w:rsidR="00512C2D" w:rsidRPr="00D2481F" w:rsidTr="00826F40">
        <w:tc>
          <w:tcPr>
            <w:tcW w:w="1981" w:type="dxa"/>
            <w:tcBorders>
              <w:bottom w:val="single" w:sz="12" w:space="0" w:color="auto"/>
            </w:tcBorders>
            <w:shd w:val="clear" w:color="auto" w:fill="auto"/>
          </w:tcPr>
          <w:p w:rsidR="00512C2D" w:rsidRPr="00D2481F" w:rsidRDefault="00512C2D" w:rsidP="00826F40">
            <w:pPr>
              <w:keepNext/>
              <w:spacing w:before="40" w:after="120"/>
              <w:ind w:right="113"/>
              <w:rPr>
                <w:rFonts w:eastAsia="SimSun"/>
                <w:b/>
                <w:lang w:val="fr-FR"/>
              </w:rPr>
            </w:pPr>
            <w:r w:rsidRPr="00D2481F">
              <w:rPr>
                <w:b/>
                <w:lang w:val="fr-FR"/>
              </w:rPr>
              <w:lastRenderedPageBreak/>
              <w:t>Cible 12</w:t>
            </w:r>
            <w:r w:rsidRPr="00D2481F">
              <w:rPr>
                <w:lang w:val="fr-FR"/>
              </w:rPr>
              <w:t xml:space="preserve"> : D’ici à 2030, </w:t>
            </w:r>
            <w:r w:rsidRPr="00D2481F">
              <w:rPr>
                <w:lang w:val="fr-FR"/>
              </w:rPr>
              <w:br/>
              <w:t xml:space="preserve">tous les pays fixent </w:t>
            </w:r>
            <w:r w:rsidRPr="00D2481F">
              <w:rPr>
                <w:lang w:val="fr-FR"/>
              </w:rPr>
              <w:br/>
              <w:t>et atteignent des objectifs nationaux visant à réduire au</w:t>
            </w:r>
            <w:r>
              <w:rPr>
                <w:lang w:val="fr-FR"/>
              </w:rPr>
              <w:t> </w:t>
            </w:r>
            <w:r w:rsidRPr="00D2481F">
              <w:rPr>
                <w:lang w:val="fr-FR"/>
              </w:rPr>
              <w:t>minimum l’intervalle de</w:t>
            </w:r>
            <w:r>
              <w:rPr>
                <w:lang w:val="fr-FR"/>
              </w:rPr>
              <w:t> </w:t>
            </w:r>
            <w:r w:rsidRPr="00D2481F">
              <w:rPr>
                <w:lang w:val="fr-FR"/>
              </w:rPr>
              <w:t>temps écoulé entre un</w:t>
            </w:r>
            <w:r>
              <w:rPr>
                <w:lang w:val="fr-FR"/>
              </w:rPr>
              <w:t> </w:t>
            </w:r>
            <w:r w:rsidRPr="00D2481F">
              <w:rPr>
                <w:lang w:val="fr-FR"/>
              </w:rPr>
              <w:t>accident de la route et</w:t>
            </w:r>
            <w:r>
              <w:rPr>
                <w:lang w:val="fr-FR"/>
              </w:rPr>
              <w:t> </w:t>
            </w:r>
            <w:r w:rsidRPr="00D2481F">
              <w:rPr>
                <w:lang w:val="fr-FR"/>
              </w:rPr>
              <w:t>les</w:t>
            </w:r>
            <w:r>
              <w:rPr>
                <w:lang w:val="fr-FR"/>
              </w:rPr>
              <w:t> </w:t>
            </w:r>
            <w:r w:rsidRPr="00D2481F">
              <w:rPr>
                <w:lang w:val="fr-FR"/>
              </w:rPr>
              <w:t>premiers soins d’urgence</w:t>
            </w:r>
            <w:r>
              <w:rPr>
                <w:lang w:val="fr-FR"/>
              </w:rPr>
              <w:t> </w:t>
            </w:r>
            <w:r w:rsidRPr="00D2481F">
              <w:rPr>
                <w:lang w:val="fr-FR"/>
              </w:rPr>
              <w:t xml:space="preserve">dispensés </w:t>
            </w:r>
            <w:r>
              <w:rPr>
                <w:lang w:val="fr-FR"/>
              </w:rPr>
              <w:br/>
            </w:r>
            <w:r w:rsidRPr="00D2481F">
              <w:rPr>
                <w:lang w:val="fr-FR"/>
              </w:rPr>
              <w:t>par des professionnels.</w:t>
            </w:r>
          </w:p>
        </w:tc>
        <w:tc>
          <w:tcPr>
            <w:tcW w:w="5389" w:type="dxa"/>
            <w:tcBorders>
              <w:bottom w:val="single" w:sz="12" w:space="0" w:color="auto"/>
            </w:tcBorders>
            <w:shd w:val="clear" w:color="auto" w:fill="auto"/>
          </w:tcPr>
          <w:p w:rsidR="00512C2D" w:rsidRPr="00D2481F" w:rsidRDefault="00512C2D" w:rsidP="00826F40">
            <w:pPr>
              <w:keepNext/>
              <w:spacing w:before="40" w:after="120"/>
              <w:ind w:right="113"/>
              <w:rPr>
                <w:rFonts w:eastAsia="SimSun"/>
                <w:b/>
                <w:bCs/>
                <w:lang w:val="fr-FR"/>
              </w:rPr>
            </w:pPr>
            <w:r w:rsidRPr="00D2481F">
              <w:rPr>
                <w:b/>
                <w:bCs/>
                <w:lang w:val="fr-FR"/>
              </w:rPr>
              <w:t>Indicateurs pour la cible 12 :</w:t>
            </w:r>
          </w:p>
          <w:p w:rsidR="00512C2D" w:rsidRPr="00D2481F" w:rsidRDefault="00512C2D" w:rsidP="00826F40">
            <w:pPr>
              <w:keepNext/>
              <w:spacing w:before="40" w:after="120"/>
              <w:ind w:right="113"/>
              <w:rPr>
                <w:rFonts w:eastAsia="SimSun"/>
                <w:bCs/>
                <w:lang w:val="fr-FR"/>
              </w:rPr>
            </w:pPr>
            <w:r w:rsidRPr="00D2481F">
              <w:rPr>
                <w:lang w:val="fr-FR"/>
              </w:rPr>
              <w:t xml:space="preserve">Nombre de pays ayant atteint les objectifs nationaux concernant l’intervalle de temps écoulé entre un accident de la route entraînant des </w:t>
            </w:r>
            <w:r w:rsidRPr="00D2481F">
              <w:rPr>
                <w:iCs/>
                <w:lang w:val="fr-FR"/>
              </w:rPr>
              <w:t xml:space="preserve">blessures graves </w:t>
            </w:r>
            <w:r w:rsidRPr="00D2481F">
              <w:rPr>
                <w:lang w:val="fr-FR"/>
              </w:rPr>
              <w:t>et les premiers soins d’urgence dispensés par des professionnels.</w:t>
            </w:r>
          </w:p>
          <w:p w:rsidR="00512C2D" w:rsidRPr="00D2481F" w:rsidRDefault="00512C2D" w:rsidP="00826F40">
            <w:pPr>
              <w:keepNext/>
              <w:spacing w:before="40" w:after="120"/>
              <w:ind w:right="113"/>
              <w:rPr>
                <w:rFonts w:eastAsia="SimSun"/>
                <w:bCs/>
                <w:lang w:val="fr-FR"/>
              </w:rPr>
            </w:pPr>
            <w:r w:rsidRPr="00D2481F">
              <w:rPr>
                <w:lang w:val="fr-FR"/>
              </w:rPr>
              <w:t xml:space="preserve">Nombre de pays ayant désigné des organismes chargés de coordonner efficacement la prestation de services médicaux d’urgence préhospitaliers et </w:t>
            </w:r>
            <w:r w:rsidRPr="00D2481F">
              <w:rPr>
                <w:iCs/>
                <w:lang w:val="fr-FR"/>
              </w:rPr>
              <w:t>en établissement</w:t>
            </w:r>
            <w:r w:rsidRPr="00D2481F">
              <w:rPr>
                <w:lang w:val="fr-FR"/>
              </w:rPr>
              <w:t>.</w:t>
            </w:r>
          </w:p>
        </w:tc>
      </w:tr>
    </w:tbl>
    <w:p w:rsidR="00512C2D" w:rsidRPr="00E919A1" w:rsidRDefault="00512C2D" w:rsidP="00512C2D">
      <w:pPr>
        <w:pStyle w:val="HChG"/>
        <w:rPr>
          <w:lang w:val="fr-FR"/>
        </w:rPr>
      </w:pPr>
      <w:r w:rsidRPr="00E919A1">
        <w:rPr>
          <w:u w:val="single"/>
          <w:lang w:val="fr-FR"/>
        </w:rPr>
        <w:br w:type="page"/>
      </w:r>
      <w:r w:rsidRPr="00E919A1">
        <w:rPr>
          <w:lang w:val="fr-FR"/>
        </w:rPr>
        <w:lastRenderedPageBreak/>
        <w:t xml:space="preserve">Annexe IX </w:t>
      </w:r>
    </w:p>
    <w:p w:rsidR="00512C2D" w:rsidRPr="00E919A1" w:rsidRDefault="00512C2D" w:rsidP="00512C2D">
      <w:pPr>
        <w:pStyle w:val="HChG"/>
        <w:rPr>
          <w:lang w:val="fr-FR"/>
        </w:rPr>
      </w:pPr>
      <w:r>
        <w:rPr>
          <w:lang w:val="fr-FR"/>
        </w:rPr>
        <w:tab/>
      </w:r>
      <w:r>
        <w:rPr>
          <w:lang w:val="fr-FR"/>
        </w:rPr>
        <w:tab/>
      </w:r>
      <w:r w:rsidRPr="00E919A1">
        <w:rPr>
          <w:lang w:val="fr-FR"/>
        </w:rPr>
        <w:t>Partenaires</w:t>
      </w:r>
      <w:r>
        <w:rPr>
          <w:lang w:val="fr-FR"/>
        </w:rPr>
        <w:t> :</w:t>
      </w:r>
      <w:r w:rsidRPr="00E919A1">
        <w:rPr>
          <w:lang w:val="fr-FR"/>
        </w:rPr>
        <w:t xml:space="preserve"> sigles et acronymes </w:t>
      </w:r>
    </w:p>
    <w:tbl>
      <w:tblPr>
        <w:tblW w:w="0" w:type="auto"/>
        <w:tblLayout w:type="fixed"/>
        <w:tblLook w:val="04A0" w:firstRow="1" w:lastRow="0" w:firstColumn="1" w:lastColumn="0" w:noHBand="0" w:noVBand="1"/>
      </w:tblPr>
      <w:tblGrid>
        <w:gridCol w:w="3510"/>
        <w:gridCol w:w="6129"/>
      </w:tblGrid>
      <w:tr w:rsidR="00512C2D" w:rsidRPr="00E919A1" w:rsidTr="00826F40">
        <w:tc>
          <w:tcPr>
            <w:tcW w:w="3510" w:type="dxa"/>
            <w:shd w:val="clear" w:color="auto" w:fill="auto"/>
          </w:tcPr>
          <w:p w:rsidR="00512C2D" w:rsidRPr="00E919A1" w:rsidRDefault="00512C2D" w:rsidP="00826F40">
            <w:pPr>
              <w:suppressAutoHyphens w:val="0"/>
              <w:spacing w:before="40" w:after="100" w:line="220" w:lineRule="exact"/>
              <w:ind w:left="340" w:right="113" w:hanging="340"/>
              <w:rPr>
                <w:b/>
                <w:bCs/>
                <w:lang w:val="fr-FR"/>
              </w:rPr>
            </w:pPr>
            <w:r w:rsidRPr="00A62948">
              <w:rPr>
                <w:b/>
                <w:lang w:val="fr-FR"/>
              </w:rPr>
              <w:t>I.</w:t>
            </w:r>
            <w:r w:rsidRPr="00E919A1">
              <w:rPr>
                <w:lang w:val="fr-FR"/>
              </w:rPr>
              <w:tab/>
            </w:r>
            <w:r w:rsidRPr="00E919A1">
              <w:rPr>
                <w:b/>
                <w:bCs/>
                <w:lang w:val="fr-FR"/>
              </w:rPr>
              <w:t>Départements et organes de l</w:t>
            </w:r>
            <w:r>
              <w:rPr>
                <w:b/>
                <w:bCs/>
                <w:lang w:val="fr-FR"/>
              </w:rPr>
              <w:t>’</w:t>
            </w:r>
            <w:r w:rsidRPr="00E919A1">
              <w:rPr>
                <w:b/>
                <w:bCs/>
                <w:lang w:val="fr-FR"/>
              </w:rPr>
              <w:t>ONU s</w:t>
            </w:r>
            <w:r>
              <w:rPr>
                <w:b/>
                <w:bCs/>
                <w:lang w:val="fr-FR"/>
              </w:rPr>
              <w:t>’</w:t>
            </w:r>
            <w:r w:rsidRPr="00E919A1">
              <w:rPr>
                <w:b/>
                <w:bCs/>
                <w:lang w:val="fr-FR"/>
              </w:rPr>
              <w:t xml:space="preserve">occupant des </w:t>
            </w:r>
            <w:r>
              <w:rPr>
                <w:b/>
                <w:bCs/>
                <w:lang w:val="fr-FR"/>
              </w:rPr>
              <w:t>t</w:t>
            </w:r>
            <w:r w:rsidRPr="00E919A1">
              <w:rPr>
                <w:b/>
                <w:bCs/>
                <w:lang w:val="fr-FR"/>
              </w:rPr>
              <w:t>ransports</w:t>
            </w:r>
          </w:p>
        </w:tc>
        <w:tc>
          <w:tcPr>
            <w:tcW w:w="6129" w:type="dxa"/>
            <w:shd w:val="clear" w:color="auto" w:fill="auto"/>
          </w:tcPr>
          <w:p w:rsidR="00512C2D" w:rsidRPr="00E919A1" w:rsidRDefault="00512C2D" w:rsidP="00826F40">
            <w:pPr>
              <w:pStyle w:val="H1G"/>
              <w:keepNext w:val="0"/>
              <w:keepLines w:val="0"/>
              <w:tabs>
                <w:tab w:val="clear" w:pos="851"/>
              </w:tabs>
              <w:suppressAutoHyphens w:val="0"/>
              <w:spacing w:before="40" w:after="100" w:line="220" w:lineRule="exact"/>
              <w:ind w:left="567" w:right="113" w:hanging="567"/>
              <w:rPr>
                <w:sz w:val="20"/>
                <w:lang w:val="fr-FR"/>
              </w:rPr>
            </w:pPr>
            <w:r w:rsidRPr="00E919A1">
              <w:rPr>
                <w:sz w:val="20"/>
                <w:lang w:val="fr-FR"/>
              </w:rPr>
              <w:t>A.</w:t>
            </w:r>
            <w:r w:rsidRPr="00E919A1">
              <w:rPr>
                <w:sz w:val="20"/>
                <w:lang w:val="fr-FR"/>
              </w:rPr>
              <w:tab/>
            </w:r>
            <w:r w:rsidRPr="00E919A1">
              <w:rPr>
                <w:bCs/>
                <w:sz w:val="20"/>
                <w:lang w:val="fr-FR"/>
              </w:rPr>
              <w:t>Sous l</w:t>
            </w:r>
            <w:r>
              <w:rPr>
                <w:bCs/>
                <w:sz w:val="20"/>
                <w:lang w:val="fr-FR"/>
              </w:rPr>
              <w:t>’</w:t>
            </w:r>
            <w:r w:rsidRPr="00E919A1">
              <w:rPr>
                <w:bCs/>
                <w:sz w:val="20"/>
                <w:lang w:val="fr-FR"/>
              </w:rPr>
              <w:t>égide du Conseil économique et social</w:t>
            </w:r>
            <w:r w:rsidRPr="00E919A1">
              <w:rPr>
                <w:sz w:val="20"/>
                <w:lang w:val="fr-FR"/>
              </w:rPr>
              <w:t xml:space="preserve"> </w:t>
            </w:r>
          </w:p>
          <w:p w:rsidR="00512C2D" w:rsidRPr="000A2D4A" w:rsidRDefault="00512C2D" w:rsidP="00512C2D">
            <w:pPr>
              <w:pStyle w:val="Bullet1G"/>
              <w:numPr>
                <w:ilvl w:val="0"/>
                <w:numId w:val="1"/>
              </w:numPr>
              <w:spacing w:after="100"/>
              <w:ind w:left="567" w:right="0"/>
              <w:jc w:val="left"/>
            </w:pPr>
            <w:r w:rsidRPr="000A2D4A">
              <w:t xml:space="preserve">CEA : Commission économique pour l’Afrique </w:t>
            </w:r>
          </w:p>
          <w:p w:rsidR="00512C2D" w:rsidRPr="00146E47" w:rsidRDefault="00512C2D" w:rsidP="00512C2D">
            <w:pPr>
              <w:pStyle w:val="Bullet1G"/>
              <w:numPr>
                <w:ilvl w:val="0"/>
                <w:numId w:val="1"/>
              </w:numPr>
              <w:spacing w:after="100"/>
              <w:ind w:left="567" w:right="0"/>
              <w:jc w:val="left"/>
            </w:pPr>
            <w:r w:rsidRPr="000A2D4A">
              <w:t>CEDEAO : Communauté économique des États de l’Afrique de l’Ouest</w:t>
            </w:r>
            <w:r w:rsidRPr="00E919A1">
              <w:rPr>
                <w:lang w:val="fr-FR"/>
              </w:rPr>
              <w:t xml:space="preserve"> </w:t>
            </w:r>
          </w:p>
          <w:p w:rsidR="00512C2D" w:rsidRPr="00583324" w:rsidRDefault="00512C2D" w:rsidP="00512C2D">
            <w:pPr>
              <w:pStyle w:val="Bullet1G"/>
              <w:numPr>
                <w:ilvl w:val="0"/>
                <w:numId w:val="1"/>
              </w:numPr>
              <w:spacing w:after="100"/>
              <w:ind w:left="567" w:right="0"/>
              <w:jc w:val="left"/>
            </w:pPr>
            <w:r w:rsidRPr="000A2D4A">
              <w:t xml:space="preserve">CEE : Commission économique pour l’Europe </w:t>
            </w:r>
          </w:p>
          <w:p w:rsidR="00512C2D" w:rsidRPr="000A2D4A" w:rsidRDefault="00512C2D" w:rsidP="00512C2D">
            <w:pPr>
              <w:pStyle w:val="Bullet1G"/>
              <w:numPr>
                <w:ilvl w:val="0"/>
                <w:numId w:val="1"/>
              </w:numPr>
              <w:spacing w:after="100"/>
              <w:ind w:left="567" w:right="0"/>
              <w:jc w:val="left"/>
            </w:pPr>
            <w:r w:rsidRPr="000A2D4A">
              <w:t>CEPALC : Commission économique pour l’Amérique latine et les Caraïbes</w:t>
            </w:r>
          </w:p>
          <w:p w:rsidR="00512C2D" w:rsidRPr="000A2D4A" w:rsidRDefault="00512C2D" w:rsidP="00512C2D">
            <w:pPr>
              <w:pStyle w:val="Bullet1G"/>
              <w:numPr>
                <w:ilvl w:val="0"/>
                <w:numId w:val="1"/>
              </w:numPr>
              <w:spacing w:after="100"/>
              <w:ind w:left="567" w:right="0"/>
              <w:jc w:val="left"/>
            </w:pPr>
            <w:r w:rsidRPr="000A2D4A">
              <w:t xml:space="preserve">CESAP : Commission économique et sociale pour l’Asie et le Pacifique </w:t>
            </w:r>
          </w:p>
          <w:p w:rsidR="00512C2D" w:rsidRPr="00583324" w:rsidRDefault="00512C2D" w:rsidP="00512C2D">
            <w:pPr>
              <w:pStyle w:val="Bullet1G"/>
              <w:numPr>
                <w:ilvl w:val="0"/>
                <w:numId w:val="1"/>
              </w:numPr>
              <w:spacing w:after="100"/>
              <w:ind w:left="567" w:right="0"/>
              <w:jc w:val="left"/>
            </w:pPr>
            <w:r w:rsidRPr="000A2D4A">
              <w:t>DAES : Département des affaires économiques et sociales</w:t>
            </w:r>
          </w:p>
        </w:tc>
      </w:tr>
      <w:tr w:rsidR="00512C2D" w:rsidRPr="00E919A1" w:rsidTr="00826F40">
        <w:tc>
          <w:tcPr>
            <w:tcW w:w="3510" w:type="dxa"/>
            <w:shd w:val="clear" w:color="auto" w:fill="auto"/>
          </w:tcPr>
          <w:p w:rsidR="00512C2D" w:rsidRPr="00E919A1" w:rsidRDefault="00512C2D" w:rsidP="00826F40">
            <w:pPr>
              <w:suppressAutoHyphens w:val="0"/>
              <w:spacing w:before="40" w:after="100" w:line="220" w:lineRule="exact"/>
              <w:ind w:right="113"/>
              <w:rPr>
                <w:lang w:val="fr-FR"/>
              </w:rPr>
            </w:pPr>
          </w:p>
        </w:tc>
        <w:tc>
          <w:tcPr>
            <w:tcW w:w="6129" w:type="dxa"/>
            <w:shd w:val="clear" w:color="auto" w:fill="auto"/>
          </w:tcPr>
          <w:p w:rsidR="00512C2D" w:rsidRPr="0069536C" w:rsidRDefault="00512C2D" w:rsidP="00826F40">
            <w:pPr>
              <w:pStyle w:val="H1G"/>
              <w:keepNext w:val="0"/>
              <w:keepLines w:val="0"/>
              <w:tabs>
                <w:tab w:val="clear" w:pos="851"/>
              </w:tabs>
              <w:suppressAutoHyphens w:val="0"/>
              <w:spacing w:before="40" w:after="100" w:line="220" w:lineRule="exact"/>
              <w:ind w:left="567" w:right="113" w:hanging="567"/>
              <w:rPr>
                <w:sz w:val="20"/>
                <w:lang w:val="fr-FR"/>
              </w:rPr>
            </w:pPr>
            <w:r w:rsidRPr="0069536C">
              <w:rPr>
                <w:sz w:val="20"/>
                <w:lang w:val="fr-FR"/>
              </w:rPr>
              <w:t>B.</w:t>
            </w:r>
            <w:r w:rsidRPr="0069536C">
              <w:rPr>
                <w:sz w:val="20"/>
                <w:lang w:val="fr-FR"/>
              </w:rPr>
              <w:tab/>
              <w:t>Programmes et autres entités du système des Nations Unies concernés par les questions de transport</w:t>
            </w:r>
          </w:p>
          <w:p w:rsidR="00512C2D" w:rsidRDefault="00512C2D" w:rsidP="00512C2D">
            <w:pPr>
              <w:pStyle w:val="Bullet1G"/>
              <w:numPr>
                <w:ilvl w:val="0"/>
                <w:numId w:val="1"/>
              </w:numPr>
              <w:spacing w:after="100"/>
              <w:ind w:left="567" w:right="0"/>
              <w:jc w:val="left"/>
            </w:pPr>
            <w:r w:rsidRPr="0069536C">
              <w:t xml:space="preserve">CNUCED : Conférence des Nations Unies sur le commerce et le développement </w:t>
            </w:r>
          </w:p>
          <w:p w:rsidR="00512C2D" w:rsidRPr="0069536C" w:rsidRDefault="00512C2D" w:rsidP="00512C2D">
            <w:pPr>
              <w:pStyle w:val="Bullet1G"/>
              <w:numPr>
                <w:ilvl w:val="0"/>
                <w:numId w:val="1"/>
              </w:numPr>
              <w:spacing w:after="100"/>
              <w:ind w:left="567" w:right="0"/>
              <w:jc w:val="left"/>
            </w:pPr>
            <w:r w:rsidRPr="0069536C">
              <w:t>ONU-HABITAT : Programme des Nations Unies pour les établissements humains</w:t>
            </w:r>
          </w:p>
          <w:p w:rsidR="00512C2D" w:rsidRPr="0069536C" w:rsidRDefault="00512C2D" w:rsidP="00512C2D">
            <w:pPr>
              <w:pStyle w:val="Bullet1G"/>
              <w:numPr>
                <w:ilvl w:val="0"/>
                <w:numId w:val="1"/>
              </w:numPr>
              <w:spacing w:after="100"/>
              <w:ind w:left="567" w:right="0"/>
              <w:jc w:val="left"/>
            </w:pPr>
            <w:r w:rsidRPr="0069536C">
              <w:t xml:space="preserve">PNUD : Programme des Nations Unies pour le développement </w:t>
            </w:r>
          </w:p>
          <w:p w:rsidR="00512C2D" w:rsidRPr="0069536C" w:rsidRDefault="00512C2D" w:rsidP="00512C2D">
            <w:pPr>
              <w:pStyle w:val="Bullet1G"/>
              <w:numPr>
                <w:ilvl w:val="0"/>
                <w:numId w:val="1"/>
              </w:numPr>
              <w:spacing w:after="100"/>
              <w:ind w:left="567" w:right="0"/>
              <w:jc w:val="left"/>
            </w:pPr>
            <w:r w:rsidRPr="0069536C">
              <w:t xml:space="preserve">PNUE : Programme des Nations Unies pour l’environnement </w:t>
            </w:r>
          </w:p>
          <w:p w:rsidR="00512C2D" w:rsidRPr="0069536C" w:rsidRDefault="00512C2D" w:rsidP="00512C2D">
            <w:pPr>
              <w:pStyle w:val="Bullet1G"/>
              <w:numPr>
                <w:ilvl w:val="0"/>
                <w:numId w:val="1"/>
              </w:numPr>
              <w:spacing w:after="100"/>
              <w:ind w:left="567" w:right="0"/>
              <w:jc w:val="left"/>
            </w:pPr>
            <w:r w:rsidRPr="0069536C">
              <w:t>UNITAR : Institut des Nations Unies pour la formation et la recherche</w:t>
            </w:r>
          </w:p>
        </w:tc>
      </w:tr>
      <w:tr w:rsidR="00512C2D" w:rsidRPr="00E919A1" w:rsidTr="00826F40">
        <w:tc>
          <w:tcPr>
            <w:tcW w:w="3510" w:type="dxa"/>
            <w:shd w:val="clear" w:color="auto" w:fill="auto"/>
          </w:tcPr>
          <w:p w:rsidR="00512C2D" w:rsidRPr="00E919A1" w:rsidRDefault="00512C2D" w:rsidP="00826F40">
            <w:pPr>
              <w:suppressAutoHyphens w:val="0"/>
              <w:spacing w:before="40" w:after="100" w:line="220" w:lineRule="exact"/>
              <w:ind w:right="113"/>
              <w:rPr>
                <w:lang w:val="fr-FR"/>
              </w:rPr>
            </w:pPr>
          </w:p>
        </w:tc>
        <w:tc>
          <w:tcPr>
            <w:tcW w:w="6129" w:type="dxa"/>
            <w:shd w:val="clear" w:color="auto" w:fill="auto"/>
          </w:tcPr>
          <w:p w:rsidR="00512C2D" w:rsidRPr="00E919A1" w:rsidRDefault="00512C2D" w:rsidP="00826F40">
            <w:pPr>
              <w:pStyle w:val="H1G"/>
              <w:keepNext w:val="0"/>
              <w:keepLines w:val="0"/>
              <w:tabs>
                <w:tab w:val="clear" w:pos="851"/>
              </w:tabs>
              <w:suppressAutoHyphens w:val="0"/>
              <w:spacing w:before="40" w:after="100" w:line="220" w:lineRule="exact"/>
              <w:ind w:left="567" w:right="113" w:hanging="567"/>
              <w:rPr>
                <w:sz w:val="20"/>
                <w:lang w:val="fr-FR"/>
              </w:rPr>
            </w:pPr>
            <w:r w:rsidRPr="00E919A1">
              <w:rPr>
                <w:sz w:val="20"/>
                <w:lang w:val="fr-FR"/>
              </w:rPr>
              <w:t>C.</w:t>
            </w:r>
            <w:r w:rsidRPr="00E919A1">
              <w:rPr>
                <w:sz w:val="20"/>
                <w:lang w:val="fr-FR"/>
              </w:rPr>
              <w:tab/>
            </w:r>
            <w:r w:rsidRPr="00E919A1">
              <w:rPr>
                <w:bCs/>
                <w:sz w:val="20"/>
                <w:lang w:val="fr-FR"/>
              </w:rPr>
              <w:t>Institutions spécialisées des Nations Unies</w:t>
            </w:r>
            <w:r w:rsidRPr="00E919A1">
              <w:rPr>
                <w:sz w:val="20"/>
                <w:lang w:val="fr-FR"/>
              </w:rPr>
              <w:t xml:space="preserve"> </w:t>
            </w:r>
          </w:p>
          <w:p w:rsidR="00512C2D" w:rsidRDefault="00512C2D" w:rsidP="00512C2D">
            <w:pPr>
              <w:pStyle w:val="Bullet1G"/>
              <w:numPr>
                <w:ilvl w:val="0"/>
                <w:numId w:val="1"/>
              </w:numPr>
              <w:spacing w:after="100"/>
              <w:ind w:left="567" w:right="0"/>
              <w:jc w:val="left"/>
              <w:rPr>
                <w:lang w:val="fr-FR"/>
              </w:rPr>
            </w:pPr>
            <w:r w:rsidRPr="00E919A1">
              <w:rPr>
                <w:lang w:val="fr-FR"/>
              </w:rPr>
              <w:t>OACI</w:t>
            </w:r>
            <w:r>
              <w:rPr>
                <w:lang w:val="fr-FR"/>
              </w:rPr>
              <w:t> :</w:t>
            </w:r>
            <w:r w:rsidRPr="00E919A1">
              <w:rPr>
                <w:lang w:val="fr-FR"/>
              </w:rPr>
              <w:t xml:space="preserve"> Organisation de l</w:t>
            </w:r>
            <w:r>
              <w:rPr>
                <w:lang w:val="fr-FR"/>
              </w:rPr>
              <w:t>’</w:t>
            </w:r>
            <w:r w:rsidRPr="00E919A1">
              <w:rPr>
                <w:lang w:val="fr-FR"/>
              </w:rPr>
              <w:t xml:space="preserve">aviation civile internationale </w:t>
            </w:r>
          </w:p>
          <w:p w:rsidR="00512C2D" w:rsidRPr="00DD6F5B" w:rsidRDefault="00512C2D" w:rsidP="00512C2D">
            <w:pPr>
              <w:pStyle w:val="Bullet1G"/>
              <w:numPr>
                <w:ilvl w:val="0"/>
                <w:numId w:val="1"/>
              </w:numPr>
              <w:spacing w:after="100"/>
              <w:ind w:left="567" w:right="0"/>
              <w:jc w:val="left"/>
            </w:pPr>
            <w:r w:rsidRPr="00E919A1">
              <w:rPr>
                <w:lang w:val="fr-FR"/>
              </w:rPr>
              <w:t>OIT</w:t>
            </w:r>
            <w:r>
              <w:rPr>
                <w:lang w:val="fr-FR"/>
              </w:rPr>
              <w:t> :</w:t>
            </w:r>
            <w:r w:rsidRPr="00E919A1">
              <w:rPr>
                <w:lang w:val="fr-FR"/>
              </w:rPr>
              <w:t xml:space="preserve"> Organisation internationale du </w:t>
            </w:r>
            <w:r>
              <w:rPr>
                <w:lang w:val="fr-FR"/>
              </w:rPr>
              <w:t>T</w:t>
            </w:r>
            <w:r w:rsidRPr="00E919A1">
              <w:rPr>
                <w:lang w:val="fr-FR"/>
              </w:rPr>
              <w:t xml:space="preserve">ravail </w:t>
            </w:r>
          </w:p>
          <w:p w:rsidR="00512C2D" w:rsidRPr="00DD6F5B" w:rsidRDefault="00512C2D" w:rsidP="00512C2D">
            <w:pPr>
              <w:pStyle w:val="Bullet1G"/>
              <w:numPr>
                <w:ilvl w:val="0"/>
                <w:numId w:val="1"/>
              </w:numPr>
              <w:spacing w:after="100"/>
              <w:ind w:left="567" w:right="0"/>
              <w:jc w:val="left"/>
            </w:pPr>
            <w:r w:rsidRPr="00E919A1">
              <w:rPr>
                <w:lang w:val="fr-FR"/>
              </w:rPr>
              <w:t>OMI</w:t>
            </w:r>
            <w:r>
              <w:rPr>
                <w:lang w:val="fr-FR"/>
              </w:rPr>
              <w:t> :</w:t>
            </w:r>
            <w:r w:rsidRPr="00E919A1">
              <w:rPr>
                <w:lang w:val="fr-FR"/>
              </w:rPr>
              <w:t xml:space="preserve"> Organisation maritime internationale</w:t>
            </w:r>
          </w:p>
          <w:p w:rsidR="00512C2D" w:rsidRPr="00E919A1" w:rsidRDefault="00512C2D" w:rsidP="00512C2D">
            <w:pPr>
              <w:pStyle w:val="Bullet1G"/>
              <w:numPr>
                <w:ilvl w:val="0"/>
                <w:numId w:val="1"/>
              </w:numPr>
              <w:spacing w:after="100"/>
              <w:ind w:left="567" w:right="0"/>
              <w:jc w:val="left"/>
            </w:pPr>
            <w:r w:rsidRPr="00E919A1">
              <w:rPr>
                <w:lang w:val="fr-FR"/>
              </w:rPr>
              <w:t>OMM</w:t>
            </w:r>
            <w:r>
              <w:rPr>
                <w:lang w:val="fr-FR"/>
              </w:rPr>
              <w:t> :</w:t>
            </w:r>
            <w:r w:rsidRPr="00E919A1">
              <w:rPr>
                <w:lang w:val="fr-FR"/>
              </w:rPr>
              <w:t xml:space="preserve"> Organisation météorologique mondiale </w:t>
            </w:r>
          </w:p>
          <w:p w:rsidR="00512C2D" w:rsidRPr="00E919A1" w:rsidRDefault="00512C2D" w:rsidP="00512C2D">
            <w:pPr>
              <w:pStyle w:val="Bullet1G"/>
              <w:numPr>
                <w:ilvl w:val="0"/>
                <w:numId w:val="1"/>
              </w:numPr>
              <w:spacing w:after="100"/>
              <w:ind w:left="567" w:right="0"/>
              <w:jc w:val="left"/>
              <w:rPr>
                <w:lang w:val="fr-FR"/>
              </w:rPr>
            </w:pPr>
            <w:r w:rsidRPr="00E919A1">
              <w:rPr>
                <w:lang w:val="fr-FR"/>
              </w:rPr>
              <w:t>OMS</w:t>
            </w:r>
            <w:r>
              <w:rPr>
                <w:lang w:val="fr-FR"/>
              </w:rPr>
              <w:t> :</w:t>
            </w:r>
            <w:r w:rsidRPr="00E919A1">
              <w:rPr>
                <w:lang w:val="fr-FR"/>
              </w:rPr>
              <w:t xml:space="preserve"> Organisation mondiale de la </w:t>
            </w:r>
            <w:r>
              <w:rPr>
                <w:lang w:val="fr-FR"/>
              </w:rPr>
              <w:t>S</w:t>
            </w:r>
            <w:r w:rsidRPr="00E919A1">
              <w:rPr>
                <w:lang w:val="fr-FR"/>
              </w:rPr>
              <w:t>anté</w:t>
            </w:r>
          </w:p>
          <w:p w:rsidR="00512C2D" w:rsidRPr="00E919A1" w:rsidRDefault="00512C2D" w:rsidP="00512C2D">
            <w:pPr>
              <w:pStyle w:val="Bullet1G"/>
              <w:numPr>
                <w:ilvl w:val="0"/>
                <w:numId w:val="1"/>
              </w:numPr>
              <w:spacing w:after="240"/>
              <w:ind w:left="567" w:right="0"/>
              <w:jc w:val="left"/>
            </w:pPr>
            <w:r w:rsidRPr="00E919A1">
              <w:rPr>
                <w:lang w:val="fr-FR"/>
              </w:rPr>
              <w:t>UIT</w:t>
            </w:r>
            <w:r>
              <w:rPr>
                <w:lang w:val="fr-FR"/>
              </w:rPr>
              <w:t> :</w:t>
            </w:r>
            <w:r w:rsidRPr="00E919A1">
              <w:rPr>
                <w:lang w:val="fr-FR"/>
              </w:rPr>
              <w:t xml:space="preserve"> Union internationale des télécommunications</w:t>
            </w:r>
          </w:p>
        </w:tc>
      </w:tr>
      <w:tr w:rsidR="00512C2D" w:rsidRPr="00E919A1" w:rsidTr="00826F40">
        <w:tc>
          <w:tcPr>
            <w:tcW w:w="3510" w:type="dxa"/>
            <w:shd w:val="clear" w:color="auto" w:fill="auto"/>
          </w:tcPr>
          <w:p w:rsidR="00512C2D" w:rsidRPr="00E919A1" w:rsidRDefault="00512C2D" w:rsidP="00826F40">
            <w:pPr>
              <w:suppressAutoHyphens w:val="0"/>
              <w:spacing w:before="40" w:after="100" w:line="220" w:lineRule="exact"/>
              <w:ind w:left="340" w:right="113" w:hanging="340"/>
            </w:pPr>
            <w:r w:rsidRPr="00975FF0">
              <w:rPr>
                <w:b/>
                <w:bCs/>
                <w:lang w:val="fr-FR"/>
              </w:rPr>
              <w:t>II.</w:t>
            </w:r>
            <w:r w:rsidRPr="00975FF0">
              <w:rPr>
                <w:b/>
                <w:bCs/>
                <w:lang w:val="fr-FR"/>
              </w:rPr>
              <w:tab/>
              <w:t>Institutions financières internationales</w:t>
            </w:r>
          </w:p>
        </w:tc>
        <w:tc>
          <w:tcPr>
            <w:tcW w:w="6129" w:type="dxa"/>
            <w:shd w:val="clear" w:color="auto" w:fill="auto"/>
          </w:tcPr>
          <w:p w:rsidR="00512C2D" w:rsidRPr="00E919A1" w:rsidRDefault="00512C2D" w:rsidP="00512C2D">
            <w:pPr>
              <w:pStyle w:val="Bullet1G"/>
              <w:numPr>
                <w:ilvl w:val="0"/>
                <w:numId w:val="1"/>
              </w:numPr>
              <w:spacing w:after="100"/>
              <w:ind w:left="567" w:right="0"/>
              <w:jc w:val="left"/>
              <w:rPr>
                <w:lang w:val="fr-FR"/>
              </w:rPr>
            </w:pPr>
            <w:r w:rsidRPr="00E919A1">
              <w:rPr>
                <w:lang w:val="fr-FR"/>
              </w:rPr>
              <w:t>AIIB</w:t>
            </w:r>
            <w:r>
              <w:rPr>
                <w:lang w:val="fr-FR"/>
              </w:rPr>
              <w:t> :</w:t>
            </w:r>
            <w:r w:rsidRPr="00E919A1">
              <w:rPr>
                <w:lang w:val="fr-FR"/>
              </w:rPr>
              <w:t xml:space="preserve"> Banque asiatique d</w:t>
            </w:r>
            <w:r>
              <w:rPr>
                <w:lang w:val="fr-FR"/>
              </w:rPr>
              <w:t>’</w:t>
            </w:r>
            <w:r w:rsidRPr="00E919A1">
              <w:rPr>
                <w:lang w:val="fr-FR"/>
              </w:rPr>
              <w:t xml:space="preserve">investissement dans les infrastructures </w:t>
            </w:r>
          </w:p>
          <w:p w:rsidR="00512C2D" w:rsidRPr="00E919A1" w:rsidRDefault="00512C2D" w:rsidP="00512C2D">
            <w:pPr>
              <w:pStyle w:val="Bullet1G"/>
              <w:numPr>
                <w:ilvl w:val="0"/>
                <w:numId w:val="1"/>
              </w:numPr>
              <w:spacing w:after="100"/>
              <w:ind w:left="567" w:right="0"/>
              <w:jc w:val="left"/>
            </w:pPr>
            <w:r w:rsidRPr="00E919A1">
              <w:rPr>
                <w:lang w:val="fr-FR"/>
              </w:rPr>
              <w:t>BAD</w:t>
            </w:r>
            <w:r>
              <w:rPr>
                <w:lang w:val="fr-FR"/>
              </w:rPr>
              <w:t> :</w:t>
            </w:r>
            <w:r w:rsidRPr="00E919A1">
              <w:rPr>
                <w:lang w:val="fr-FR"/>
              </w:rPr>
              <w:t xml:space="preserve"> Banque africaine de développement </w:t>
            </w:r>
          </w:p>
          <w:p w:rsidR="00512C2D" w:rsidRPr="00E919A1" w:rsidRDefault="00512C2D" w:rsidP="00512C2D">
            <w:pPr>
              <w:pStyle w:val="Bullet1G"/>
              <w:numPr>
                <w:ilvl w:val="0"/>
                <w:numId w:val="1"/>
              </w:numPr>
              <w:spacing w:after="100"/>
              <w:ind w:left="567" w:right="0"/>
              <w:jc w:val="left"/>
            </w:pPr>
            <w:proofErr w:type="spellStart"/>
            <w:r w:rsidRPr="00E919A1">
              <w:rPr>
                <w:lang w:val="fr-FR"/>
              </w:rPr>
              <w:t>BAsD</w:t>
            </w:r>
            <w:proofErr w:type="spellEnd"/>
            <w:r>
              <w:rPr>
                <w:lang w:val="fr-FR"/>
              </w:rPr>
              <w:t> :</w:t>
            </w:r>
            <w:r w:rsidRPr="00E919A1">
              <w:rPr>
                <w:lang w:val="fr-FR"/>
              </w:rPr>
              <w:t xml:space="preserve"> Banque asiatique de développement </w:t>
            </w:r>
          </w:p>
          <w:p w:rsidR="00512C2D" w:rsidRPr="00E919A1" w:rsidRDefault="00512C2D" w:rsidP="00512C2D">
            <w:pPr>
              <w:pStyle w:val="Bullet1G"/>
              <w:numPr>
                <w:ilvl w:val="0"/>
                <w:numId w:val="1"/>
              </w:numPr>
              <w:spacing w:after="100"/>
              <w:ind w:left="567" w:right="0"/>
              <w:jc w:val="left"/>
              <w:rPr>
                <w:lang w:val="fr-FR"/>
              </w:rPr>
            </w:pPr>
            <w:r w:rsidRPr="00E919A1">
              <w:rPr>
                <w:lang w:val="fr-FR"/>
              </w:rPr>
              <w:t>BERD</w:t>
            </w:r>
            <w:r>
              <w:rPr>
                <w:lang w:val="fr-FR"/>
              </w:rPr>
              <w:t> :</w:t>
            </w:r>
            <w:r w:rsidRPr="00E919A1">
              <w:rPr>
                <w:lang w:val="fr-FR"/>
              </w:rPr>
              <w:t xml:space="preserve"> Banque européenne pour la reconstruction et le développement </w:t>
            </w:r>
          </w:p>
          <w:p w:rsidR="00512C2D" w:rsidRPr="00E919A1" w:rsidRDefault="00512C2D" w:rsidP="00512C2D">
            <w:pPr>
              <w:pStyle w:val="Bullet1G"/>
              <w:numPr>
                <w:ilvl w:val="0"/>
                <w:numId w:val="1"/>
              </w:numPr>
              <w:spacing w:after="100"/>
              <w:ind w:left="567" w:right="0"/>
              <w:jc w:val="left"/>
            </w:pPr>
            <w:r w:rsidRPr="00E919A1">
              <w:rPr>
                <w:lang w:val="fr-FR"/>
              </w:rPr>
              <w:t>BIAD</w:t>
            </w:r>
            <w:r>
              <w:rPr>
                <w:lang w:val="fr-FR"/>
              </w:rPr>
              <w:t> :</w:t>
            </w:r>
            <w:r w:rsidRPr="00E919A1">
              <w:rPr>
                <w:lang w:val="fr-FR"/>
              </w:rPr>
              <w:t xml:space="preserve"> Banque interaméricaine de développement </w:t>
            </w:r>
          </w:p>
          <w:p w:rsidR="00512C2D" w:rsidRPr="00DD6F5B" w:rsidRDefault="00512C2D" w:rsidP="00512C2D">
            <w:pPr>
              <w:pStyle w:val="Bullet1G"/>
              <w:numPr>
                <w:ilvl w:val="0"/>
                <w:numId w:val="1"/>
              </w:numPr>
              <w:spacing w:after="100"/>
              <w:ind w:left="567" w:right="0"/>
              <w:jc w:val="left"/>
            </w:pPr>
            <w:r w:rsidRPr="00E919A1">
              <w:rPr>
                <w:lang w:val="fr-FR"/>
              </w:rPr>
              <w:t>BID</w:t>
            </w:r>
            <w:r>
              <w:rPr>
                <w:lang w:val="fr-FR"/>
              </w:rPr>
              <w:t> :</w:t>
            </w:r>
            <w:r w:rsidRPr="00E919A1">
              <w:rPr>
                <w:lang w:val="fr-FR"/>
              </w:rPr>
              <w:t xml:space="preserve"> Banque islamique de développement </w:t>
            </w:r>
          </w:p>
          <w:p w:rsidR="00512C2D" w:rsidRPr="00E919A1" w:rsidRDefault="00512C2D" w:rsidP="00512C2D">
            <w:pPr>
              <w:pStyle w:val="Bullet1G"/>
              <w:numPr>
                <w:ilvl w:val="0"/>
                <w:numId w:val="1"/>
              </w:numPr>
              <w:spacing w:after="100"/>
              <w:ind w:left="567" w:right="0"/>
              <w:jc w:val="left"/>
              <w:rPr>
                <w:lang w:val="fr-FR"/>
              </w:rPr>
            </w:pPr>
            <w:r w:rsidRPr="00E919A1">
              <w:rPr>
                <w:lang w:val="fr-FR"/>
              </w:rPr>
              <w:t>GBM</w:t>
            </w:r>
            <w:r>
              <w:rPr>
                <w:lang w:val="fr-FR"/>
              </w:rPr>
              <w:t> :</w:t>
            </w:r>
            <w:r w:rsidRPr="00E919A1">
              <w:rPr>
                <w:lang w:val="fr-FR"/>
              </w:rPr>
              <w:t xml:space="preserve"> Groupe de la Banque mondiale </w:t>
            </w:r>
          </w:p>
          <w:p w:rsidR="00512C2D" w:rsidRPr="00E919A1" w:rsidRDefault="00512C2D" w:rsidP="00512C2D">
            <w:pPr>
              <w:pStyle w:val="Bullet1G"/>
              <w:numPr>
                <w:ilvl w:val="0"/>
                <w:numId w:val="1"/>
              </w:numPr>
              <w:spacing w:after="100"/>
              <w:ind w:left="567" w:right="0"/>
              <w:jc w:val="left"/>
              <w:rPr>
                <w:lang w:val="fr-FR"/>
              </w:rPr>
            </w:pPr>
            <w:r w:rsidRPr="00E919A1">
              <w:rPr>
                <w:lang w:val="fr-FR"/>
              </w:rPr>
              <w:t>NBD</w:t>
            </w:r>
            <w:r>
              <w:rPr>
                <w:lang w:val="fr-FR"/>
              </w:rPr>
              <w:t> :</w:t>
            </w:r>
            <w:r w:rsidRPr="00E919A1">
              <w:rPr>
                <w:lang w:val="fr-FR"/>
              </w:rPr>
              <w:t xml:space="preserve"> Nouvelle banque de développement </w:t>
            </w:r>
          </w:p>
        </w:tc>
      </w:tr>
      <w:tr w:rsidR="00512C2D" w:rsidRPr="00E919A1" w:rsidTr="00826F40">
        <w:tc>
          <w:tcPr>
            <w:tcW w:w="3510" w:type="dxa"/>
            <w:shd w:val="clear" w:color="auto" w:fill="auto"/>
          </w:tcPr>
          <w:p w:rsidR="00512C2D" w:rsidRPr="00F35C4B" w:rsidRDefault="00512C2D" w:rsidP="00826F40">
            <w:pPr>
              <w:keepNext/>
              <w:suppressAutoHyphens w:val="0"/>
              <w:spacing w:after="80" w:line="234" w:lineRule="exact"/>
              <w:ind w:left="340" w:right="113" w:hanging="340"/>
              <w:rPr>
                <w:b/>
                <w:lang w:val="fr-FR"/>
              </w:rPr>
            </w:pPr>
            <w:r w:rsidRPr="00F35C4B">
              <w:rPr>
                <w:b/>
                <w:bCs/>
                <w:lang w:val="fr-FR"/>
              </w:rPr>
              <w:lastRenderedPageBreak/>
              <w:t>III.</w:t>
            </w:r>
            <w:r w:rsidRPr="00F35C4B">
              <w:rPr>
                <w:b/>
                <w:bCs/>
                <w:lang w:val="fr-FR"/>
              </w:rPr>
              <w:tab/>
              <w:t xml:space="preserve">Organisations intergouvernementales </w:t>
            </w:r>
            <w:r>
              <w:rPr>
                <w:b/>
                <w:bCs/>
                <w:lang w:val="fr-FR"/>
              </w:rPr>
              <w:br/>
            </w:r>
            <w:r w:rsidRPr="00F35C4B">
              <w:rPr>
                <w:b/>
                <w:bCs/>
                <w:lang w:val="fr-FR"/>
              </w:rPr>
              <w:t>ou forum s’occupant des transports</w:t>
            </w:r>
          </w:p>
        </w:tc>
        <w:tc>
          <w:tcPr>
            <w:tcW w:w="6129" w:type="dxa"/>
            <w:shd w:val="clear" w:color="auto" w:fill="auto"/>
          </w:tcPr>
          <w:p w:rsidR="00512C2D" w:rsidRPr="00E50287" w:rsidRDefault="00512C2D" w:rsidP="00512C2D">
            <w:pPr>
              <w:pStyle w:val="Bullet1G"/>
              <w:keepNext/>
              <w:numPr>
                <w:ilvl w:val="0"/>
                <w:numId w:val="1"/>
              </w:numPr>
              <w:spacing w:after="80" w:line="234" w:lineRule="exact"/>
              <w:ind w:left="567" w:right="0"/>
              <w:jc w:val="left"/>
            </w:pPr>
            <w:r w:rsidRPr="00E919A1">
              <w:rPr>
                <w:lang w:val="fr-FR"/>
              </w:rPr>
              <w:t>ASEM</w:t>
            </w:r>
            <w:r>
              <w:rPr>
                <w:lang w:val="fr-FR"/>
              </w:rPr>
              <w:t> :</w:t>
            </w:r>
            <w:r w:rsidRPr="00E919A1">
              <w:rPr>
                <w:lang w:val="fr-FR"/>
              </w:rPr>
              <w:t xml:space="preserve"> Rencontre Asie-Europe </w:t>
            </w:r>
          </w:p>
          <w:p w:rsidR="00512C2D" w:rsidRPr="00E919A1" w:rsidRDefault="00512C2D" w:rsidP="00512C2D">
            <w:pPr>
              <w:pStyle w:val="Bullet1G"/>
              <w:keepNext/>
              <w:numPr>
                <w:ilvl w:val="0"/>
                <w:numId w:val="1"/>
              </w:numPr>
              <w:spacing w:after="80" w:line="234" w:lineRule="exact"/>
              <w:ind w:left="567" w:right="0"/>
              <w:jc w:val="left"/>
              <w:rPr>
                <w:lang w:val="fr-FR"/>
              </w:rPr>
            </w:pPr>
            <w:r w:rsidRPr="00E919A1">
              <w:rPr>
                <w:lang w:val="fr-FR"/>
              </w:rPr>
              <w:t>CCNR</w:t>
            </w:r>
            <w:r>
              <w:rPr>
                <w:lang w:val="fr-FR"/>
              </w:rPr>
              <w:t> :</w:t>
            </w:r>
            <w:r w:rsidRPr="00E919A1">
              <w:rPr>
                <w:lang w:val="fr-FR"/>
              </w:rPr>
              <w:t xml:space="preserve"> Commission centrale pour la navigation du Rhin (Commission fluviale)</w:t>
            </w:r>
          </w:p>
          <w:p w:rsidR="00512C2D" w:rsidRPr="00E919A1" w:rsidRDefault="00512C2D" w:rsidP="00512C2D">
            <w:pPr>
              <w:pStyle w:val="Bullet1G"/>
              <w:keepNext/>
              <w:numPr>
                <w:ilvl w:val="0"/>
                <w:numId w:val="1"/>
              </w:numPr>
              <w:spacing w:after="80" w:line="234" w:lineRule="exact"/>
              <w:ind w:left="567" w:right="0"/>
              <w:jc w:val="left"/>
              <w:rPr>
                <w:lang w:val="fr-FR"/>
              </w:rPr>
            </w:pPr>
            <w:r w:rsidRPr="00E919A1">
              <w:rPr>
                <w:lang w:val="fr-FR"/>
              </w:rPr>
              <w:t>CD</w:t>
            </w:r>
            <w:r>
              <w:rPr>
                <w:lang w:val="fr-FR"/>
              </w:rPr>
              <w:t> :</w:t>
            </w:r>
            <w:r w:rsidRPr="00E919A1">
              <w:rPr>
                <w:lang w:val="fr-FR"/>
              </w:rPr>
              <w:t xml:space="preserve"> Commission du Danube (Commission fluviale)</w:t>
            </w:r>
          </w:p>
          <w:p w:rsidR="00512C2D" w:rsidRPr="00E50287" w:rsidRDefault="00512C2D" w:rsidP="00512C2D">
            <w:pPr>
              <w:pStyle w:val="Bullet1G"/>
              <w:keepNext/>
              <w:numPr>
                <w:ilvl w:val="0"/>
                <w:numId w:val="1"/>
              </w:numPr>
              <w:spacing w:after="80" w:line="234" w:lineRule="exact"/>
              <w:ind w:left="567" w:right="0"/>
              <w:jc w:val="left"/>
            </w:pPr>
            <w:r w:rsidRPr="00E919A1">
              <w:rPr>
                <w:lang w:val="fr-FR"/>
              </w:rPr>
              <w:t>CM</w:t>
            </w:r>
            <w:r>
              <w:rPr>
                <w:lang w:val="fr-FR"/>
              </w:rPr>
              <w:t> :</w:t>
            </w:r>
            <w:r w:rsidRPr="00E919A1">
              <w:rPr>
                <w:lang w:val="fr-FR"/>
              </w:rPr>
              <w:t xml:space="preserve"> Commission de la Moselle (Commission fluviale)</w:t>
            </w:r>
          </w:p>
          <w:p w:rsidR="00512C2D" w:rsidRPr="00E50287" w:rsidRDefault="00512C2D" w:rsidP="00512C2D">
            <w:pPr>
              <w:pStyle w:val="Bullet1G"/>
              <w:keepNext/>
              <w:numPr>
                <w:ilvl w:val="0"/>
                <w:numId w:val="1"/>
              </w:numPr>
              <w:spacing w:after="80" w:line="234" w:lineRule="exact"/>
              <w:ind w:left="567" w:right="0"/>
              <w:jc w:val="left"/>
              <w:rPr>
                <w:lang w:val="fr-FR"/>
              </w:rPr>
            </w:pPr>
            <w:r w:rsidRPr="00E919A1">
              <w:rPr>
                <w:lang w:val="fr-FR"/>
              </w:rPr>
              <w:t>CS</w:t>
            </w:r>
            <w:r>
              <w:rPr>
                <w:lang w:val="fr-FR"/>
              </w:rPr>
              <w:t> :</w:t>
            </w:r>
            <w:r w:rsidRPr="00E919A1">
              <w:rPr>
                <w:lang w:val="fr-FR"/>
              </w:rPr>
              <w:t xml:space="preserve"> Commission de la Save (Commission fluviale)</w:t>
            </w:r>
          </w:p>
          <w:p w:rsidR="00512C2D" w:rsidRPr="00E919A1" w:rsidRDefault="00512C2D" w:rsidP="00512C2D">
            <w:pPr>
              <w:pStyle w:val="Bullet1G"/>
              <w:keepNext/>
              <w:numPr>
                <w:ilvl w:val="0"/>
                <w:numId w:val="1"/>
              </w:numPr>
              <w:spacing w:after="80" w:line="234" w:lineRule="exact"/>
              <w:ind w:left="567" w:right="0"/>
              <w:jc w:val="left"/>
              <w:rPr>
                <w:lang w:val="fr-FR"/>
              </w:rPr>
            </w:pPr>
            <w:r w:rsidRPr="00E919A1">
              <w:rPr>
                <w:lang w:val="fr-FR"/>
              </w:rPr>
              <w:t>FIT-OCDE</w:t>
            </w:r>
            <w:r>
              <w:rPr>
                <w:lang w:val="fr-FR"/>
              </w:rPr>
              <w:t> :</w:t>
            </w:r>
            <w:r w:rsidRPr="00E919A1">
              <w:rPr>
                <w:lang w:val="fr-FR"/>
              </w:rPr>
              <w:t xml:space="preserve"> Forum international des transports </w:t>
            </w:r>
          </w:p>
          <w:p w:rsidR="00512C2D" w:rsidRPr="00E919A1" w:rsidRDefault="00512C2D" w:rsidP="00512C2D">
            <w:pPr>
              <w:pStyle w:val="Bullet1G"/>
              <w:keepNext/>
              <w:numPr>
                <w:ilvl w:val="0"/>
                <w:numId w:val="1"/>
              </w:numPr>
              <w:spacing w:after="80" w:line="234" w:lineRule="exact"/>
              <w:ind w:left="567" w:right="0"/>
              <w:jc w:val="left"/>
              <w:rPr>
                <w:lang w:val="fr-FR"/>
              </w:rPr>
            </w:pPr>
            <w:r w:rsidRPr="00E919A1">
              <w:rPr>
                <w:lang w:val="fr-FR"/>
              </w:rPr>
              <w:t>OSJD</w:t>
            </w:r>
            <w:r>
              <w:rPr>
                <w:lang w:val="fr-FR"/>
              </w:rPr>
              <w:t> :</w:t>
            </w:r>
            <w:r w:rsidRPr="00E919A1">
              <w:rPr>
                <w:lang w:val="fr-FR"/>
              </w:rPr>
              <w:t xml:space="preserve"> Organisation pour la coopération des chemins de fer </w:t>
            </w:r>
          </w:p>
          <w:p w:rsidR="00512C2D" w:rsidRPr="00E50287" w:rsidRDefault="00512C2D" w:rsidP="00512C2D">
            <w:pPr>
              <w:pStyle w:val="Bullet1G"/>
              <w:keepNext/>
              <w:numPr>
                <w:ilvl w:val="0"/>
                <w:numId w:val="1"/>
              </w:numPr>
              <w:spacing w:after="160" w:line="234" w:lineRule="exact"/>
              <w:ind w:left="567" w:right="0"/>
              <w:jc w:val="left"/>
              <w:rPr>
                <w:lang w:val="fr-FR"/>
              </w:rPr>
            </w:pPr>
            <w:r w:rsidRPr="00E919A1">
              <w:rPr>
                <w:lang w:val="fr-FR"/>
              </w:rPr>
              <w:t>OTIF</w:t>
            </w:r>
            <w:r>
              <w:rPr>
                <w:lang w:val="fr-FR"/>
              </w:rPr>
              <w:t> :</w:t>
            </w:r>
            <w:r w:rsidRPr="00E919A1">
              <w:rPr>
                <w:lang w:val="fr-FR"/>
              </w:rPr>
              <w:t xml:space="preserve"> Organisation intergouvernementale pour les transports internationaux ferroviaires</w:t>
            </w:r>
          </w:p>
        </w:tc>
      </w:tr>
      <w:tr w:rsidR="00512C2D" w:rsidRPr="00E919A1" w:rsidTr="00826F40">
        <w:trPr>
          <w:trHeight w:val="721"/>
        </w:trPr>
        <w:tc>
          <w:tcPr>
            <w:tcW w:w="3510" w:type="dxa"/>
            <w:shd w:val="clear" w:color="auto" w:fill="auto"/>
          </w:tcPr>
          <w:p w:rsidR="00512C2D" w:rsidRPr="00E919A1" w:rsidRDefault="00512C2D" w:rsidP="00826F40">
            <w:pPr>
              <w:keepNext/>
              <w:suppressAutoHyphens w:val="0"/>
              <w:spacing w:after="80" w:line="234" w:lineRule="exact"/>
              <w:ind w:left="340" w:right="113" w:hanging="340"/>
            </w:pPr>
            <w:r w:rsidRPr="00F35C4B">
              <w:rPr>
                <w:b/>
                <w:lang w:val="fr-FR"/>
              </w:rPr>
              <w:t>IV.</w:t>
            </w:r>
            <w:r w:rsidRPr="00F35C4B">
              <w:rPr>
                <w:b/>
                <w:lang w:val="fr-FR"/>
              </w:rPr>
              <w:tab/>
              <w:t>Organisations d’intégration régionale</w:t>
            </w:r>
          </w:p>
        </w:tc>
        <w:tc>
          <w:tcPr>
            <w:tcW w:w="6129" w:type="dxa"/>
            <w:shd w:val="clear" w:color="auto" w:fill="auto"/>
          </w:tcPr>
          <w:p w:rsidR="00512C2D" w:rsidRPr="00E50287" w:rsidRDefault="00512C2D" w:rsidP="00512C2D">
            <w:pPr>
              <w:pStyle w:val="Bullet1G"/>
              <w:numPr>
                <w:ilvl w:val="0"/>
                <w:numId w:val="1"/>
              </w:numPr>
              <w:spacing w:after="80" w:line="234" w:lineRule="exact"/>
              <w:ind w:left="567" w:right="0"/>
              <w:jc w:val="left"/>
            </w:pPr>
            <w:r w:rsidRPr="00E919A1">
              <w:rPr>
                <w:lang w:val="fr-FR"/>
              </w:rPr>
              <w:t xml:space="preserve">Union économique eurasiatique </w:t>
            </w:r>
          </w:p>
          <w:p w:rsidR="00512C2D" w:rsidRPr="00E919A1" w:rsidRDefault="00512C2D" w:rsidP="00512C2D">
            <w:pPr>
              <w:pStyle w:val="Bullet1G"/>
              <w:numPr>
                <w:ilvl w:val="0"/>
                <w:numId w:val="1"/>
              </w:numPr>
              <w:spacing w:after="160" w:line="234" w:lineRule="exact"/>
              <w:ind w:left="567" w:right="0"/>
              <w:jc w:val="left"/>
            </w:pPr>
            <w:r w:rsidRPr="00E919A1">
              <w:rPr>
                <w:lang w:val="fr-FR"/>
              </w:rPr>
              <w:t>Union européenne</w:t>
            </w:r>
          </w:p>
        </w:tc>
      </w:tr>
      <w:tr w:rsidR="00512C2D" w:rsidRPr="00E919A1" w:rsidTr="00826F40">
        <w:tc>
          <w:tcPr>
            <w:tcW w:w="3510" w:type="dxa"/>
            <w:shd w:val="clear" w:color="auto" w:fill="auto"/>
          </w:tcPr>
          <w:p w:rsidR="00512C2D" w:rsidRPr="00F35C4B" w:rsidRDefault="00512C2D" w:rsidP="00826F40">
            <w:pPr>
              <w:keepNext/>
              <w:suppressAutoHyphens w:val="0"/>
              <w:spacing w:after="80" w:line="234" w:lineRule="exact"/>
              <w:ind w:left="340" w:right="113" w:hanging="340"/>
              <w:rPr>
                <w:b/>
                <w:lang w:val="fr-FR"/>
              </w:rPr>
            </w:pPr>
            <w:r w:rsidRPr="00F35C4B">
              <w:rPr>
                <w:b/>
                <w:lang w:val="fr-FR"/>
              </w:rPr>
              <w:t>V.</w:t>
            </w:r>
            <w:r w:rsidRPr="00F35C4B">
              <w:rPr>
                <w:b/>
                <w:lang w:val="fr-FR"/>
              </w:rPr>
              <w:tab/>
              <w:t>Organisations non gouvernementales du domaine des transports intérieurs</w:t>
            </w:r>
          </w:p>
          <w:p w:rsidR="00512C2D" w:rsidRPr="00E919A1" w:rsidRDefault="00512C2D" w:rsidP="00826F40">
            <w:pPr>
              <w:suppressAutoHyphens w:val="0"/>
              <w:spacing w:after="80" w:line="234" w:lineRule="exact"/>
              <w:ind w:right="113"/>
              <w:rPr>
                <w:lang w:val="fr-FR"/>
              </w:rPr>
            </w:pPr>
          </w:p>
        </w:tc>
        <w:tc>
          <w:tcPr>
            <w:tcW w:w="6129" w:type="dxa"/>
            <w:shd w:val="clear" w:color="auto" w:fill="auto"/>
          </w:tcPr>
          <w:p w:rsidR="00512C2D" w:rsidRPr="00E919A1" w:rsidRDefault="00512C2D" w:rsidP="00826F40">
            <w:pPr>
              <w:pStyle w:val="H1G"/>
              <w:keepNext w:val="0"/>
              <w:keepLines w:val="0"/>
              <w:tabs>
                <w:tab w:val="clear" w:pos="851"/>
              </w:tabs>
              <w:suppressAutoHyphens w:val="0"/>
              <w:spacing w:before="0" w:after="80" w:line="234" w:lineRule="exact"/>
              <w:ind w:left="567" w:right="113" w:hanging="567"/>
              <w:rPr>
                <w:sz w:val="20"/>
                <w:lang w:val="fr-FR"/>
              </w:rPr>
            </w:pPr>
            <w:r w:rsidRPr="00E919A1">
              <w:rPr>
                <w:sz w:val="20"/>
                <w:lang w:val="fr-FR"/>
              </w:rPr>
              <w:t>A.</w:t>
            </w:r>
            <w:r w:rsidRPr="00E919A1">
              <w:rPr>
                <w:sz w:val="20"/>
                <w:lang w:val="fr-FR"/>
              </w:rPr>
              <w:tab/>
            </w:r>
            <w:r w:rsidRPr="00E919A1">
              <w:rPr>
                <w:bCs/>
                <w:sz w:val="20"/>
                <w:lang w:val="fr-FR"/>
              </w:rPr>
              <w:t>Transport routier et infrastructures routières</w:t>
            </w:r>
          </w:p>
          <w:p w:rsidR="00512C2D" w:rsidRPr="00E71643" w:rsidRDefault="00512C2D" w:rsidP="00512C2D">
            <w:pPr>
              <w:pStyle w:val="Bullet1G"/>
              <w:numPr>
                <w:ilvl w:val="0"/>
                <w:numId w:val="1"/>
              </w:numPr>
              <w:spacing w:after="80" w:line="234" w:lineRule="exact"/>
              <w:ind w:left="567" w:right="0"/>
              <w:jc w:val="left"/>
            </w:pPr>
            <w:r w:rsidRPr="00E919A1">
              <w:rPr>
                <w:lang w:val="fr-FR"/>
              </w:rPr>
              <w:t>AIPCR</w:t>
            </w:r>
            <w:r>
              <w:rPr>
                <w:lang w:val="fr-FR"/>
              </w:rPr>
              <w:t> :</w:t>
            </w:r>
            <w:r w:rsidRPr="00E919A1">
              <w:rPr>
                <w:lang w:val="fr-FR"/>
              </w:rPr>
              <w:t xml:space="preserve"> Association mondiale de la route</w:t>
            </w:r>
          </w:p>
          <w:p w:rsidR="00512C2D" w:rsidRPr="00E919A1" w:rsidRDefault="00512C2D" w:rsidP="00512C2D">
            <w:pPr>
              <w:pStyle w:val="Bullet1G"/>
              <w:numPr>
                <w:ilvl w:val="0"/>
                <w:numId w:val="1"/>
              </w:numPr>
              <w:spacing w:after="80" w:line="234" w:lineRule="exact"/>
              <w:ind w:left="567" w:right="0"/>
              <w:jc w:val="left"/>
            </w:pPr>
            <w:r w:rsidRPr="00E919A1">
              <w:rPr>
                <w:lang w:val="fr-FR"/>
              </w:rPr>
              <w:t>FRI</w:t>
            </w:r>
            <w:r>
              <w:rPr>
                <w:lang w:val="fr-FR"/>
              </w:rPr>
              <w:t> :</w:t>
            </w:r>
            <w:r w:rsidRPr="00E919A1">
              <w:rPr>
                <w:lang w:val="fr-FR"/>
              </w:rPr>
              <w:t xml:space="preserve"> Fédération routière internationale </w:t>
            </w:r>
          </w:p>
          <w:p w:rsidR="00512C2D" w:rsidRPr="00E71643" w:rsidRDefault="00512C2D" w:rsidP="00512C2D">
            <w:pPr>
              <w:pStyle w:val="Bullet1G"/>
              <w:numPr>
                <w:ilvl w:val="0"/>
                <w:numId w:val="1"/>
              </w:numPr>
              <w:spacing w:after="80" w:line="234" w:lineRule="exact"/>
              <w:ind w:left="567" w:right="0"/>
              <w:jc w:val="left"/>
              <w:rPr>
                <w:lang w:val="fr-FR"/>
              </w:rPr>
            </w:pPr>
            <w:r w:rsidRPr="00E919A1">
              <w:rPr>
                <w:lang w:val="fr-FR"/>
              </w:rPr>
              <w:t>IRU</w:t>
            </w:r>
            <w:r>
              <w:rPr>
                <w:lang w:val="fr-FR"/>
              </w:rPr>
              <w:t> :</w:t>
            </w:r>
            <w:r w:rsidRPr="00E919A1">
              <w:rPr>
                <w:lang w:val="fr-FR"/>
              </w:rPr>
              <w:t xml:space="preserve"> Union internationale des transports routiers </w:t>
            </w:r>
          </w:p>
        </w:tc>
      </w:tr>
      <w:tr w:rsidR="00512C2D" w:rsidRPr="00E919A1" w:rsidTr="00826F40">
        <w:tc>
          <w:tcPr>
            <w:tcW w:w="3510" w:type="dxa"/>
            <w:shd w:val="clear" w:color="auto" w:fill="auto"/>
          </w:tcPr>
          <w:p w:rsidR="00512C2D" w:rsidRPr="00E919A1" w:rsidRDefault="00512C2D" w:rsidP="00826F40">
            <w:pPr>
              <w:suppressAutoHyphens w:val="0"/>
              <w:spacing w:after="80" w:line="234" w:lineRule="exact"/>
              <w:ind w:right="113"/>
              <w:rPr>
                <w:lang w:val="fr-FR"/>
              </w:rPr>
            </w:pPr>
          </w:p>
        </w:tc>
        <w:tc>
          <w:tcPr>
            <w:tcW w:w="6129" w:type="dxa"/>
            <w:shd w:val="clear" w:color="auto" w:fill="auto"/>
          </w:tcPr>
          <w:p w:rsidR="00512C2D" w:rsidRPr="00E919A1" w:rsidRDefault="00512C2D" w:rsidP="00826F40">
            <w:pPr>
              <w:pStyle w:val="H1G"/>
              <w:keepNext w:val="0"/>
              <w:keepLines w:val="0"/>
              <w:tabs>
                <w:tab w:val="clear" w:pos="851"/>
              </w:tabs>
              <w:suppressAutoHyphens w:val="0"/>
              <w:spacing w:before="0" w:after="80" w:line="234" w:lineRule="exact"/>
              <w:ind w:left="567" w:right="113" w:hanging="567"/>
              <w:rPr>
                <w:sz w:val="20"/>
              </w:rPr>
            </w:pPr>
            <w:r w:rsidRPr="00E919A1">
              <w:rPr>
                <w:sz w:val="20"/>
                <w:lang w:val="fr-FR"/>
              </w:rPr>
              <w:t>B.</w:t>
            </w:r>
            <w:r w:rsidRPr="00E919A1">
              <w:rPr>
                <w:sz w:val="20"/>
                <w:lang w:val="fr-FR"/>
              </w:rPr>
              <w:tab/>
            </w:r>
            <w:r w:rsidRPr="00E919A1">
              <w:rPr>
                <w:bCs/>
                <w:sz w:val="20"/>
                <w:lang w:val="fr-FR"/>
              </w:rPr>
              <w:t>Transport ferroviaire</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CER</w:t>
            </w:r>
            <w:r>
              <w:rPr>
                <w:lang w:val="fr-FR"/>
              </w:rPr>
              <w:t> :</w:t>
            </w:r>
            <w:r w:rsidRPr="00E919A1">
              <w:rPr>
                <w:lang w:val="fr-FR"/>
              </w:rPr>
              <w:t xml:space="preserve"> Association des chemins de fer européens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CIT</w:t>
            </w:r>
            <w:r>
              <w:rPr>
                <w:lang w:val="fr-FR"/>
              </w:rPr>
              <w:t> :</w:t>
            </w:r>
            <w:r w:rsidRPr="00E919A1">
              <w:rPr>
                <w:lang w:val="fr-FR"/>
              </w:rPr>
              <w:t xml:space="preserve"> Comité international des transports ferroviaires</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UIC</w:t>
            </w:r>
            <w:r>
              <w:rPr>
                <w:lang w:val="fr-FR"/>
              </w:rPr>
              <w:t> :</w:t>
            </w:r>
            <w:r w:rsidRPr="00E919A1">
              <w:rPr>
                <w:lang w:val="fr-FR"/>
              </w:rPr>
              <w:t xml:space="preserve"> Union internationale des chemins de fer</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UIRR</w:t>
            </w:r>
            <w:r>
              <w:rPr>
                <w:lang w:val="fr-FR"/>
              </w:rPr>
              <w:t> :</w:t>
            </w:r>
            <w:r w:rsidRPr="00E919A1">
              <w:rPr>
                <w:lang w:val="fr-FR"/>
              </w:rPr>
              <w:t xml:space="preserve"> Union internationale des entreprises de transport combiné rail-route</w:t>
            </w:r>
          </w:p>
        </w:tc>
      </w:tr>
      <w:tr w:rsidR="00512C2D" w:rsidRPr="00E919A1" w:rsidTr="00826F40">
        <w:tc>
          <w:tcPr>
            <w:tcW w:w="3510" w:type="dxa"/>
            <w:shd w:val="clear" w:color="auto" w:fill="auto"/>
          </w:tcPr>
          <w:p w:rsidR="00512C2D" w:rsidRPr="00E919A1" w:rsidRDefault="00512C2D" w:rsidP="00826F40">
            <w:pPr>
              <w:suppressAutoHyphens w:val="0"/>
              <w:spacing w:after="80" w:line="234" w:lineRule="exact"/>
              <w:ind w:right="113"/>
              <w:rPr>
                <w:lang w:val="fr-FR"/>
              </w:rPr>
            </w:pPr>
          </w:p>
        </w:tc>
        <w:tc>
          <w:tcPr>
            <w:tcW w:w="6129" w:type="dxa"/>
            <w:shd w:val="clear" w:color="auto" w:fill="auto"/>
          </w:tcPr>
          <w:p w:rsidR="00512C2D" w:rsidRPr="00E919A1" w:rsidRDefault="00512C2D" w:rsidP="00826F40">
            <w:pPr>
              <w:pStyle w:val="H1G"/>
              <w:keepNext w:val="0"/>
              <w:keepLines w:val="0"/>
              <w:tabs>
                <w:tab w:val="clear" w:pos="851"/>
              </w:tabs>
              <w:suppressAutoHyphens w:val="0"/>
              <w:spacing w:before="0" w:after="80" w:line="234" w:lineRule="exact"/>
              <w:ind w:left="567" w:right="113" w:hanging="567"/>
              <w:rPr>
                <w:sz w:val="20"/>
                <w:lang w:val="fr-FR"/>
              </w:rPr>
            </w:pPr>
            <w:r w:rsidRPr="00E919A1">
              <w:rPr>
                <w:sz w:val="20"/>
                <w:lang w:val="fr-FR"/>
              </w:rPr>
              <w:t>C.</w:t>
            </w:r>
            <w:r w:rsidRPr="00E919A1">
              <w:rPr>
                <w:sz w:val="20"/>
                <w:lang w:val="fr-FR"/>
              </w:rPr>
              <w:tab/>
            </w:r>
            <w:r w:rsidRPr="00E919A1">
              <w:rPr>
                <w:bCs/>
                <w:sz w:val="20"/>
                <w:lang w:val="fr-FR"/>
              </w:rPr>
              <w:t>Constructeurs de véhicules, fabricants de matériel de</w:t>
            </w:r>
            <w:r>
              <w:rPr>
                <w:bCs/>
                <w:sz w:val="20"/>
                <w:lang w:val="fr-FR"/>
              </w:rPr>
              <w:t> </w:t>
            </w:r>
            <w:r w:rsidRPr="00E919A1">
              <w:rPr>
                <w:bCs/>
                <w:sz w:val="20"/>
                <w:lang w:val="fr-FR"/>
              </w:rPr>
              <w:t>transport et associations d</w:t>
            </w:r>
            <w:r>
              <w:rPr>
                <w:bCs/>
                <w:sz w:val="20"/>
                <w:lang w:val="fr-FR"/>
              </w:rPr>
              <w:t>’</w:t>
            </w:r>
            <w:r w:rsidRPr="00E919A1">
              <w:rPr>
                <w:bCs/>
                <w:sz w:val="20"/>
                <w:lang w:val="fr-FR"/>
              </w:rPr>
              <w:t>inspection</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CITA</w:t>
            </w:r>
            <w:r>
              <w:rPr>
                <w:lang w:val="fr-FR"/>
              </w:rPr>
              <w:t> :</w:t>
            </w:r>
            <w:r w:rsidRPr="00E919A1">
              <w:rPr>
                <w:lang w:val="fr-FR"/>
              </w:rPr>
              <w:t xml:space="preserve"> Comité international d</w:t>
            </w:r>
            <w:r>
              <w:rPr>
                <w:lang w:val="fr-FR"/>
              </w:rPr>
              <w:t>’</w:t>
            </w:r>
            <w:r w:rsidRPr="00E919A1">
              <w:rPr>
                <w:lang w:val="fr-FR"/>
              </w:rPr>
              <w:t xml:space="preserve">inspection des véhicules automobiles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CLEPA</w:t>
            </w:r>
            <w:r>
              <w:rPr>
                <w:lang w:val="fr-FR"/>
              </w:rPr>
              <w:t> :</w:t>
            </w:r>
            <w:r w:rsidRPr="00E919A1">
              <w:rPr>
                <w:lang w:val="fr-FR"/>
              </w:rPr>
              <w:t xml:space="preserve"> Association européenne des fournisseurs de l</w:t>
            </w:r>
            <w:r>
              <w:rPr>
                <w:lang w:val="fr-FR"/>
              </w:rPr>
              <w:t>’</w:t>
            </w:r>
            <w:r w:rsidRPr="00E919A1">
              <w:rPr>
                <w:lang w:val="fr-FR"/>
              </w:rPr>
              <w:t xml:space="preserve">automobile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IMMA</w:t>
            </w:r>
            <w:r>
              <w:rPr>
                <w:lang w:val="fr-FR"/>
              </w:rPr>
              <w:t> :</w:t>
            </w:r>
            <w:r w:rsidRPr="00E919A1">
              <w:rPr>
                <w:lang w:val="fr-FR"/>
              </w:rPr>
              <w:t xml:space="preserve"> Association internationale des constructeurs de motocycles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JAPIA</w:t>
            </w:r>
            <w:r>
              <w:rPr>
                <w:lang w:val="fr-FR"/>
              </w:rPr>
              <w:t> :</w:t>
            </w:r>
            <w:r w:rsidRPr="00E919A1">
              <w:rPr>
                <w:lang w:val="fr-FR"/>
              </w:rPr>
              <w:t xml:space="preserve"> Japan Auto Parts Industries Association (association des équipementiers japonais)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MEMA</w:t>
            </w:r>
            <w:r>
              <w:rPr>
                <w:lang w:val="fr-FR"/>
              </w:rPr>
              <w:t> :</w:t>
            </w:r>
            <w:r w:rsidRPr="00E919A1">
              <w:rPr>
                <w:lang w:val="fr-FR"/>
              </w:rPr>
              <w:t xml:space="preserve"> </w:t>
            </w:r>
            <w:proofErr w:type="spellStart"/>
            <w:r w:rsidRPr="00E919A1">
              <w:rPr>
                <w:lang w:val="fr-FR"/>
              </w:rPr>
              <w:t>Motor</w:t>
            </w:r>
            <w:proofErr w:type="spellEnd"/>
            <w:r w:rsidRPr="00E919A1">
              <w:rPr>
                <w:lang w:val="fr-FR"/>
              </w:rPr>
              <w:t xml:space="preserve"> &amp; Equipment </w:t>
            </w:r>
            <w:proofErr w:type="spellStart"/>
            <w:r w:rsidRPr="00E919A1">
              <w:rPr>
                <w:lang w:val="fr-FR"/>
              </w:rPr>
              <w:t>Manufacturers</w:t>
            </w:r>
            <w:proofErr w:type="spellEnd"/>
            <w:r w:rsidRPr="00E919A1">
              <w:rPr>
                <w:lang w:val="fr-FR"/>
              </w:rPr>
              <w:t xml:space="preserve"> Association (association des fabricants de moteurs et d</w:t>
            </w:r>
            <w:r>
              <w:rPr>
                <w:lang w:val="fr-FR"/>
              </w:rPr>
              <w:t>’</w:t>
            </w:r>
            <w:r w:rsidRPr="00E919A1">
              <w:rPr>
                <w:lang w:val="fr-FR"/>
              </w:rPr>
              <w:t xml:space="preserve">équipements)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OICA</w:t>
            </w:r>
            <w:r>
              <w:rPr>
                <w:lang w:val="fr-FR"/>
              </w:rPr>
              <w:t> :</w:t>
            </w:r>
            <w:r w:rsidRPr="00E919A1">
              <w:rPr>
                <w:lang w:val="fr-FR"/>
              </w:rPr>
              <w:t xml:space="preserve"> Organisation internationale des constructeurs d</w:t>
            </w:r>
            <w:r>
              <w:rPr>
                <w:lang w:val="fr-FR"/>
              </w:rPr>
              <w:t>’</w:t>
            </w:r>
            <w:r w:rsidRPr="00E919A1">
              <w:rPr>
                <w:lang w:val="fr-FR"/>
              </w:rPr>
              <w:t xml:space="preserve">automobiles </w:t>
            </w:r>
          </w:p>
        </w:tc>
      </w:tr>
      <w:tr w:rsidR="00512C2D" w:rsidRPr="00E919A1" w:rsidTr="00826F40">
        <w:tc>
          <w:tcPr>
            <w:tcW w:w="3510" w:type="dxa"/>
            <w:shd w:val="clear" w:color="auto" w:fill="auto"/>
          </w:tcPr>
          <w:p w:rsidR="00512C2D" w:rsidRPr="00E919A1" w:rsidRDefault="00512C2D" w:rsidP="00826F40">
            <w:pPr>
              <w:suppressAutoHyphens w:val="0"/>
              <w:spacing w:after="80" w:line="234" w:lineRule="exact"/>
              <w:ind w:right="113"/>
              <w:rPr>
                <w:lang w:val="fr-FR"/>
              </w:rPr>
            </w:pPr>
          </w:p>
        </w:tc>
        <w:tc>
          <w:tcPr>
            <w:tcW w:w="6129" w:type="dxa"/>
            <w:shd w:val="clear" w:color="auto" w:fill="auto"/>
          </w:tcPr>
          <w:p w:rsidR="00512C2D" w:rsidRPr="00E919A1" w:rsidRDefault="00512C2D" w:rsidP="00826F40">
            <w:pPr>
              <w:pStyle w:val="H1G"/>
              <w:keepNext w:val="0"/>
              <w:keepLines w:val="0"/>
              <w:tabs>
                <w:tab w:val="clear" w:pos="851"/>
              </w:tabs>
              <w:suppressAutoHyphens w:val="0"/>
              <w:spacing w:before="0" w:after="80" w:line="234" w:lineRule="exact"/>
              <w:ind w:left="567" w:right="113" w:hanging="567"/>
              <w:rPr>
                <w:sz w:val="20"/>
              </w:rPr>
            </w:pPr>
            <w:r w:rsidRPr="00E919A1">
              <w:rPr>
                <w:sz w:val="20"/>
                <w:lang w:val="fr-FR"/>
              </w:rPr>
              <w:t>D.</w:t>
            </w:r>
            <w:r w:rsidRPr="00E919A1">
              <w:rPr>
                <w:sz w:val="20"/>
                <w:lang w:val="fr-FR"/>
              </w:rPr>
              <w:tab/>
            </w:r>
            <w:r w:rsidRPr="00E919A1">
              <w:rPr>
                <w:bCs/>
                <w:sz w:val="20"/>
                <w:lang w:val="fr-FR"/>
              </w:rPr>
              <w:t>Navigation intérieure</w:t>
            </w:r>
          </w:p>
          <w:p w:rsidR="00512C2D" w:rsidRDefault="00512C2D" w:rsidP="00512C2D">
            <w:pPr>
              <w:pStyle w:val="Bullet1G"/>
              <w:numPr>
                <w:ilvl w:val="0"/>
                <w:numId w:val="1"/>
              </w:numPr>
              <w:spacing w:after="80" w:line="234" w:lineRule="exact"/>
              <w:ind w:left="567" w:right="0"/>
              <w:jc w:val="left"/>
              <w:rPr>
                <w:lang w:val="fr-FR"/>
              </w:rPr>
            </w:pPr>
            <w:r w:rsidRPr="00E919A1">
              <w:rPr>
                <w:lang w:val="fr-FR"/>
              </w:rPr>
              <w:t>AIPCN</w:t>
            </w:r>
            <w:r>
              <w:rPr>
                <w:lang w:val="fr-FR"/>
              </w:rPr>
              <w:t> :</w:t>
            </w:r>
            <w:r w:rsidRPr="00E919A1">
              <w:rPr>
                <w:lang w:val="fr-FR"/>
              </w:rPr>
              <w:t xml:space="preserve"> Association mondiale pour les infrastructures de transport maritimes et fluviales</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CDDSC</w:t>
            </w:r>
            <w:r>
              <w:rPr>
                <w:lang w:val="fr-FR"/>
              </w:rPr>
              <w:t> :</w:t>
            </w:r>
            <w:r w:rsidRPr="00E919A1">
              <w:rPr>
                <w:lang w:val="fr-FR"/>
              </w:rPr>
              <w:t xml:space="preserve"> Conférence des directeurs des compagnies de navigation sur le Danube − participantes aux Accords de Bratislava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ERSTU</w:t>
            </w:r>
            <w:r>
              <w:rPr>
                <w:lang w:val="fr-FR"/>
              </w:rPr>
              <w:t> :</w:t>
            </w:r>
            <w:r w:rsidRPr="00E919A1">
              <w:rPr>
                <w:lang w:val="fr-FR"/>
              </w:rPr>
              <w:t xml:space="preserve"> Union européenne des transports fluviomaritimes </w:t>
            </w:r>
          </w:p>
          <w:p w:rsidR="00512C2D" w:rsidRPr="00E919A1" w:rsidRDefault="00512C2D" w:rsidP="00512C2D">
            <w:pPr>
              <w:pStyle w:val="Bullet1G"/>
              <w:numPr>
                <w:ilvl w:val="0"/>
                <w:numId w:val="1"/>
              </w:numPr>
              <w:spacing w:after="80" w:line="234" w:lineRule="exact"/>
              <w:ind w:left="567" w:right="0"/>
              <w:jc w:val="left"/>
              <w:rPr>
                <w:lang w:val="fr-FR"/>
              </w:rPr>
            </w:pPr>
            <w:r w:rsidRPr="00E919A1">
              <w:rPr>
                <w:lang w:val="fr-FR"/>
              </w:rPr>
              <w:t>FEPI</w:t>
            </w:r>
            <w:r>
              <w:rPr>
                <w:lang w:val="fr-FR"/>
              </w:rPr>
              <w:t> :</w:t>
            </w:r>
            <w:r w:rsidRPr="00E919A1">
              <w:rPr>
                <w:lang w:val="fr-FR"/>
              </w:rPr>
              <w:t xml:space="preserve"> Fédération européenne des ports intérieurs </w:t>
            </w:r>
          </w:p>
          <w:p w:rsidR="00512C2D" w:rsidRDefault="00512C2D" w:rsidP="00512C2D">
            <w:pPr>
              <w:pStyle w:val="Bullet1G"/>
              <w:numPr>
                <w:ilvl w:val="0"/>
                <w:numId w:val="1"/>
              </w:numPr>
              <w:spacing w:after="80" w:line="234" w:lineRule="exact"/>
              <w:ind w:left="567" w:right="0"/>
              <w:jc w:val="left"/>
              <w:rPr>
                <w:lang w:val="fr-FR"/>
              </w:rPr>
            </w:pPr>
            <w:r w:rsidRPr="00E919A1">
              <w:rPr>
                <w:lang w:val="fr-FR"/>
              </w:rPr>
              <w:t>IVR</w:t>
            </w:r>
            <w:r>
              <w:rPr>
                <w:lang w:val="fr-FR"/>
              </w:rPr>
              <w:t> :</w:t>
            </w:r>
            <w:r w:rsidRPr="00E919A1">
              <w:rPr>
                <w:lang w:val="fr-FR"/>
              </w:rPr>
              <w:t xml:space="preserve"> Association internationale chargée de la sauvegarde des intérêts communs de la navigation intérieure européenne et de l</w:t>
            </w:r>
            <w:r>
              <w:rPr>
                <w:lang w:val="fr-FR"/>
              </w:rPr>
              <w:t>’</w:t>
            </w:r>
            <w:r w:rsidRPr="00E919A1">
              <w:rPr>
                <w:lang w:val="fr-FR"/>
              </w:rPr>
              <w:t>assurance, et de la tenue d</w:t>
            </w:r>
            <w:r>
              <w:rPr>
                <w:lang w:val="fr-FR"/>
              </w:rPr>
              <w:t>’</w:t>
            </w:r>
            <w:r w:rsidRPr="00E919A1">
              <w:rPr>
                <w:lang w:val="fr-FR"/>
              </w:rPr>
              <w:t xml:space="preserve">un registre des bateaux de navigation intérieure en Europe </w:t>
            </w:r>
          </w:p>
          <w:p w:rsidR="00512C2D" w:rsidRPr="00E00CD5" w:rsidRDefault="00512C2D" w:rsidP="00512C2D">
            <w:pPr>
              <w:pStyle w:val="Bullet1G"/>
              <w:numPr>
                <w:ilvl w:val="0"/>
                <w:numId w:val="1"/>
              </w:numPr>
              <w:spacing w:after="80" w:line="234" w:lineRule="exact"/>
              <w:ind w:left="567" w:right="0"/>
              <w:jc w:val="left"/>
              <w:rPr>
                <w:lang w:val="fr-FR"/>
              </w:rPr>
            </w:pPr>
            <w:r w:rsidRPr="00E919A1">
              <w:rPr>
                <w:lang w:val="fr-FR"/>
              </w:rPr>
              <w:t>UENF</w:t>
            </w:r>
            <w:r>
              <w:rPr>
                <w:lang w:val="fr-FR"/>
              </w:rPr>
              <w:t> :</w:t>
            </w:r>
            <w:r w:rsidRPr="00E919A1">
              <w:rPr>
                <w:lang w:val="fr-FR"/>
              </w:rPr>
              <w:t xml:space="preserve"> Union européenne de la navigation fluviale</w:t>
            </w:r>
          </w:p>
        </w:tc>
      </w:tr>
    </w:tbl>
    <w:p w:rsidR="00512C2D" w:rsidRPr="00683E33" w:rsidRDefault="00512C2D" w:rsidP="00512C2D">
      <w:pPr>
        <w:pStyle w:val="HChG"/>
        <w:rPr>
          <w:lang w:val="fr-FR"/>
        </w:rPr>
      </w:pPr>
      <w:r w:rsidRPr="00E919A1">
        <w:rPr>
          <w:lang w:val="fr-FR"/>
        </w:rPr>
        <w:br w:type="page"/>
      </w:r>
      <w:r w:rsidRPr="00E919A1">
        <w:rPr>
          <w:lang w:val="fr-FR"/>
        </w:rPr>
        <w:lastRenderedPageBreak/>
        <w:t>Annexe X</w:t>
      </w:r>
    </w:p>
    <w:p w:rsidR="00512C2D" w:rsidRPr="00E919A1" w:rsidRDefault="00512C2D" w:rsidP="00512C2D">
      <w:pPr>
        <w:pStyle w:val="HChG"/>
        <w:spacing w:before="320" w:after="200"/>
        <w:rPr>
          <w:lang w:val="fr-FR"/>
        </w:rPr>
      </w:pPr>
      <w:r>
        <w:rPr>
          <w:lang w:val="fr-FR"/>
        </w:rPr>
        <w:tab/>
      </w:r>
      <w:r>
        <w:rPr>
          <w:lang w:val="fr-FR"/>
        </w:rPr>
        <w:tab/>
      </w:r>
      <w:r w:rsidRPr="00E919A1">
        <w:rPr>
          <w:lang w:val="fr-FR"/>
        </w:rPr>
        <w:t>Informations d</w:t>
      </w:r>
      <w:r>
        <w:rPr>
          <w:lang w:val="fr-FR"/>
        </w:rPr>
        <w:t>’</w:t>
      </w:r>
      <w:r w:rsidRPr="00E919A1">
        <w:rPr>
          <w:lang w:val="fr-FR"/>
        </w:rPr>
        <w:t xml:space="preserve">ordre général sur la stratégie </w:t>
      </w:r>
      <w:r>
        <w:rPr>
          <w:lang w:val="fr-FR"/>
        </w:rPr>
        <w:br/>
      </w:r>
      <w:r w:rsidRPr="00E919A1">
        <w:rPr>
          <w:lang w:val="fr-FR"/>
        </w:rPr>
        <w:t xml:space="preserve">du Comité des transports intérieurs </w:t>
      </w:r>
      <w:r>
        <w:rPr>
          <w:lang w:val="fr-FR"/>
        </w:rPr>
        <w:br/>
      </w:r>
      <w:r w:rsidRPr="00E919A1">
        <w:rPr>
          <w:lang w:val="fr-FR"/>
        </w:rPr>
        <w:t>à l</w:t>
      </w:r>
      <w:r>
        <w:rPr>
          <w:lang w:val="fr-FR"/>
        </w:rPr>
        <w:t>’</w:t>
      </w:r>
      <w:r w:rsidRPr="00E919A1">
        <w:rPr>
          <w:lang w:val="fr-FR"/>
        </w:rPr>
        <w:t xml:space="preserve">horizon 2030 </w:t>
      </w:r>
    </w:p>
    <w:p w:rsidR="00512C2D" w:rsidRPr="00E919A1" w:rsidRDefault="00512C2D" w:rsidP="00512C2D">
      <w:pPr>
        <w:pStyle w:val="HChG"/>
        <w:spacing w:before="300" w:after="200"/>
        <w:rPr>
          <w:lang w:val="fr-FR"/>
        </w:rPr>
      </w:pPr>
      <w:r w:rsidRPr="00E919A1">
        <w:rPr>
          <w:lang w:val="fr-FR"/>
        </w:rPr>
        <w:tab/>
        <w:t>I.</w:t>
      </w:r>
      <w:r w:rsidRPr="00E919A1">
        <w:rPr>
          <w:lang w:val="fr-FR"/>
        </w:rPr>
        <w:tab/>
        <w:t>Le rôle des transports durables au XXI</w:t>
      </w:r>
      <w:r w:rsidRPr="00C8149D">
        <w:rPr>
          <w:vertAlign w:val="superscript"/>
          <w:lang w:val="fr-FR"/>
        </w:rPr>
        <w:t>e</w:t>
      </w:r>
      <w:r>
        <w:rPr>
          <w:lang w:val="fr-FR"/>
        </w:rPr>
        <w:t> </w:t>
      </w:r>
      <w:r w:rsidRPr="00E919A1">
        <w:rPr>
          <w:lang w:val="fr-FR"/>
        </w:rPr>
        <w:t>siècle</w:t>
      </w:r>
      <w:r>
        <w:rPr>
          <w:lang w:val="fr-FR"/>
        </w:rPr>
        <w:t xml:space="preserve"> </w:t>
      </w:r>
    </w:p>
    <w:p w:rsidR="00512C2D" w:rsidRPr="00077D0F" w:rsidRDefault="00512C2D" w:rsidP="00512C2D">
      <w:pPr>
        <w:pStyle w:val="SingleTxtG"/>
        <w:spacing w:after="100"/>
      </w:pPr>
      <w:r w:rsidRPr="00077D0F">
        <w:rPr>
          <w:lang w:val="fr-FR"/>
        </w:rPr>
        <w:t>1.</w:t>
      </w:r>
      <w:r w:rsidRPr="00077D0F">
        <w:rPr>
          <w:lang w:val="fr-FR"/>
        </w:rPr>
        <w:tab/>
      </w:r>
      <w:r w:rsidRPr="00C8149D">
        <w:rPr>
          <w:spacing w:val="-1"/>
          <w:lang w:val="fr-FR"/>
        </w:rPr>
        <w:t xml:space="preserve">Les transports sont un secteur économique clef qui permet d’accéder aux marchés et au commerce. En favorisant la mobilité des personnes, ils permettent d’accéder à l’emploi ainsi qu’aux services sociaux et, </w:t>
      </w:r>
      <w:proofErr w:type="spellStart"/>
      <w:r w:rsidRPr="00C8149D">
        <w:rPr>
          <w:spacing w:val="-1"/>
          <w:lang w:val="fr-FR"/>
        </w:rPr>
        <w:t>par</w:t>
      </w:r>
      <w:r>
        <w:rPr>
          <w:spacing w:val="-1"/>
          <w:lang w:val="fr-FR"/>
        </w:rPr>
        <w:t xml:space="preserve"> </w:t>
      </w:r>
      <w:r w:rsidRPr="00C8149D">
        <w:rPr>
          <w:spacing w:val="-1"/>
          <w:lang w:val="fr-FR"/>
        </w:rPr>
        <w:t>dessus</w:t>
      </w:r>
      <w:proofErr w:type="spellEnd"/>
      <w:r w:rsidRPr="00C8149D">
        <w:rPr>
          <w:spacing w:val="-1"/>
          <w:lang w:val="fr-FR"/>
        </w:rPr>
        <w:t xml:space="preserve"> tout, de saisir les occasions qui se présentent. En</w:t>
      </w:r>
      <w:r>
        <w:rPr>
          <w:spacing w:val="-1"/>
          <w:lang w:val="fr-FR"/>
        </w:rPr>
        <w:t> </w:t>
      </w:r>
      <w:r w:rsidRPr="00C8149D">
        <w:rPr>
          <w:spacing w:val="-1"/>
          <w:lang w:val="fr-FR"/>
        </w:rPr>
        <w:t xml:space="preserve">tant que tel, ce secteur revêt une importance essentielle pour la croissance économique, pour la lutte contre la pauvreté et pour l’amélioration du bien-être général. À cet égard, la connectivité des infrastructures est une première étape importante, et la connexion des services et la facilitation du franchissement des frontières, tant par les marchandises que par les personnes, est essentielle. Une connectivité ininterrompue sous tous ses aspects nécessite un système de gouvernance harmonisé, fondé sur un régime juridique clair et complet. </w:t>
      </w:r>
    </w:p>
    <w:p w:rsidR="00512C2D" w:rsidRPr="00077D0F" w:rsidRDefault="00512C2D" w:rsidP="00512C2D">
      <w:pPr>
        <w:pStyle w:val="SingleTxtG"/>
        <w:spacing w:after="100"/>
        <w:rPr>
          <w:lang w:val="fr-FR"/>
        </w:rPr>
      </w:pPr>
      <w:r w:rsidRPr="00077D0F">
        <w:rPr>
          <w:lang w:val="fr-FR"/>
        </w:rPr>
        <w:t>2.</w:t>
      </w:r>
      <w:r w:rsidRPr="00077D0F">
        <w:rPr>
          <w:lang w:val="fr-FR"/>
        </w:rPr>
        <w:tab/>
        <w:t>L</w:t>
      </w:r>
      <w:r>
        <w:rPr>
          <w:lang w:val="fr-FR"/>
        </w:rPr>
        <w:t>’</w:t>
      </w:r>
      <w:r w:rsidRPr="00077D0F">
        <w:rPr>
          <w:lang w:val="fr-FR"/>
        </w:rPr>
        <w:t>innovation dans les transports a révolutionné la mobilité, modifiant toutes les habitudes de déplacement, de communication et de paiement pour des services de transport, mais aussi la manière de concevoir la législation en matière de transport. La</w:t>
      </w:r>
      <w:r>
        <w:rPr>
          <w:lang w:val="fr-FR"/>
        </w:rPr>
        <w:t> </w:t>
      </w:r>
      <w:r w:rsidRPr="00077D0F">
        <w:rPr>
          <w:lang w:val="fr-FR"/>
        </w:rPr>
        <w:t>décarbonisation et la mobilité électronique ouvrent la voie de l</w:t>
      </w:r>
      <w:r>
        <w:rPr>
          <w:lang w:val="fr-FR"/>
        </w:rPr>
        <w:t>’</w:t>
      </w:r>
      <w:r w:rsidRPr="00077D0F">
        <w:rPr>
          <w:lang w:val="fr-FR"/>
        </w:rPr>
        <w:t>avenir et l</w:t>
      </w:r>
      <w:r>
        <w:rPr>
          <w:lang w:val="fr-FR"/>
        </w:rPr>
        <w:t>’</w:t>
      </w:r>
      <w:r w:rsidRPr="00077D0F">
        <w:rPr>
          <w:lang w:val="fr-FR"/>
        </w:rPr>
        <w:t>automatisation de haut niveau, spécialement des véhicules autonomes, appelle à une collaboration étroite entre les autorités de réglementation des transports et des télécommunications. Toutefois, leur avenir dépend aussi de politiques de transport globales et de l</w:t>
      </w:r>
      <w:r>
        <w:rPr>
          <w:lang w:val="fr-FR"/>
        </w:rPr>
        <w:t>’</w:t>
      </w:r>
      <w:r w:rsidRPr="00077D0F">
        <w:rPr>
          <w:lang w:val="fr-FR"/>
        </w:rPr>
        <w:t>existence d</w:t>
      </w:r>
      <w:r>
        <w:rPr>
          <w:lang w:val="fr-FR"/>
        </w:rPr>
        <w:t>’</w:t>
      </w:r>
      <w:r w:rsidRPr="00077D0F">
        <w:rPr>
          <w:lang w:val="fr-FR"/>
        </w:rPr>
        <w:t>un environnement réglementaire favorable. La numérisation et la production de documents électroniques dans les transports sont déjà en cours et améliorent l</w:t>
      </w:r>
      <w:r>
        <w:rPr>
          <w:lang w:val="fr-FR"/>
        </w:rPr>
        <w:t>’</w:t>
      </w:r>
      <w:r w:rsidRPr="00077D0F">
        <w:rPr>
          <w:lang w:val="fr-FR"/>
        </w:rPr>
        <w:t>efficacité et la gouvernance. Elles ouvrent également de nouvelles perspectives pour la prestation de services, tout en permettant de brûler les étapes normales de l</w:t>
      </w:r>
      <w:r>
        <w:rPr>
          <w:lang w:val="fr-FR"/>
        </w:rPr>
        <w:t>’</w:t>
      </w:r>
      <w:r w:rsidRPr="00077D0F">
        <w:rPr>
          <w:lang w:val="fr-FR"/>
        </w:rPr>
        <w:t>évolution technologique. L</w:t>
      </w:r>
      <w:r>
        <w:rPr>
          <w:lang w:val="fr-FR"/>
        </w:rPr>
        <w:t>’</w:t>
      </w:r>
      <w:r w:rsidRPr="00077D0F">
        <w:rPr>
          <w:lang w:val="fr-FR"/>
        </w:rPr>
        <w:t>accélération du rythme des innovations dans les infrastructures, les moyens de transport et la gestion de la mobilité permettra de rendre la mobilité plus sûre et plus respectueuse de l</w:t>
      </w:r>
      <w:r>
        <w:rPr>
          <w:lang w:val="fr-FR"/>
        </w:rPr>
        <w:t>’</w:t>
      </w:r>
      <w:r w:rsidRPr="00077D0F">
        <w:rPr>
          <w:lang w:val="fr-FR"/>
        </w:rPr>
        <w:t>environnement.</w:t>
      </w:r>
    </w:p>
    <w:p w:rsidR="00512C2D" w:rsidRPr="00077D0F" w:rsidRDefault="00512C2D" w:rsidP="00512C2D">
      <w:pPr>
        <w:pStyle w:val="SingleTxtG"/>
        <w:spacing w:after="100"/>
        <w:rPr>
          <w:lang w:val="fr-FR"/>
        </w:rPr>
      </w:pPr>
      <w:r w:rsidRPr="00077D0F">
        <w:rPr>
          <w:lang w:val="fr-FR"/>
        </w:rPr>
        <w:t>3.</w:t>
      </w:r>
      <w:r w:rsidRPr="00077D0F">
        <w:rPr>
          <w:lang w:val="fr-FR"/>
        </w:rPr>
        <w:tab/>
        <w:t>En matière de transport durable</w:t>
      </w:r>
      <w:r>
        <w:rPr>
          <w:lang w:val="fr-FR"/>
        </w:rPr>
        <w:t>,</w:t>
      </w:r>
      <w:r w:rsidRPr="00077D0F">
        <w:rPr>
          <w:lang w:val="fr-FR"/>
        </w:rPr>
        <w:t xml:space="preserve"> la sécurité, l</w:t>
      </w:r>
      <w:r>
        <w:rPr>
          <w:lang w:val="fr-FR"/>
        </w:rPr>
        <w:t>’</w:t>
      </w:r>
      <w:r w:rsidRPr="00077D0F">
        <w:rPr>
          <w:lang w:val="fr-FR"/>
        </w:rPr>
        <w:t>accessibilité, le caractère économiquement abordable, la sûreté et les incidences sur l</w:t>
      </w:r>
      <w:r>
        <w:rPr>
          <w:lang w:val="fr-FR"/>
        </w:rPr>
        <w:t>’</w:t>
      </w:r>
      <w:r w:rsidRPr="00077D0F">
        <w:rPr>
          <w:lang w:val="fr-FR"/>
        </w:rPr>
        <w:t>environnement sont les cinq principales dimensions à prendre en compte. Les transports durables du XXI</w:t>
      </w:r>
      <w:r w:rsidRPr="00136968">
        <w:rPr>
          <w:vertAlign w:val="superscript"/>
          <w:lang w:val="fr-FR"/>
        </w:rPr>
        <w:t>e</w:t>
      </w:r>
      <w:r>
        <w:rPr>
          <w:lang w:val="fr-FR"/>
        </w:rPr>
        <w:t> </w:t>
      </w:r>
      <w:r w:rsidRPr="00077D0F">
        <w:rPr>
          <w:lang w:val="fr-FR"/>
        </w:rPr>
        <w:t>siècle sont sûrs, de haute qualité, accessibles à tous et économiquement abordables pour tous, écologiquement sains et économiquement viables, tout en contribuant de manière positive au développement durable aux niveaux local, national et mondial.</w:t>
      </w:r>
    </w:p>
    <w:p w:rsidR="00512C2D" w:rsidRPr="004A0BF8" w:rsidRDefault="00512C2D" w:rsidP="00512C2D">
      <w:pPr>
        <w:pStyle w:val="HChG"/>
        <w:spacing w:before="300" w:after="200"/>
        <w:rPr>
          <w:lang w:val="fr-FR"/>
        </w:rPr>
      </w:pPr>
      <w:r w:rsidRPr="004A0BF8">
        <w:rPr>
          <w:lang w:val="fr-FR"/>
        </w:rPr>
        <w:tab/>
        <w:t>II.</w:t>
      </w:r>
      <w:r w:rsidRPr="004A0BF8">
        <w:rPr>
          <w:lang w:val="fr-FR"/>
        </w:rPr>
        <w:tab/>
      </w:r>
      <w:r>
        <w:rPr>
          <w:lang w:val="fr-FR"/>
        </w:rPr>
        <w:t>Nouvelles d</w:t>
      </w:r>
      <w:r w:rsidRPr="004A0BF8">
        <w:rPr>
          <w:lang w:val="fr-FR"/>
        </w:rPr>
        <w:t xml:space="preserve">ifficultés et </w:t>
      </w:r>
      <w:r>
        <w:rPr>
          <w:lang w:val="fr-FR"/>
        </w:rPr>
        <w:t>possibilité</w:t>
      </w:r>
      <w:r w:rsidRPr="004A0BF8">
        <w:rPr>
          <w:lang w:val="fr-FR"/>
        </w:rPr>
        <w:t>s d</w:t>
      </w:r>
      <w:r>
        <w:rPr>
          <w:lang w:val="fr-FR"/>
        </w:rPr>
        <w:t>’</w:t>
      </w:r>
      <w:r w:rsidRPr="004A0BF8">
        <w:rPr>
          <w:lang w:val="fr-FR"/>
        </w:rPr>
        <w:t>action</w:t>
      </w:r>
    </w:p>
    <w:p w:rsidR="00512C2D" w:rsidRPr="004A0BF8" w:rsidRDefault="00512C2D" w:rsidP="00512C2D">
      <w:pPr>
        <w:pStyle w:val="SingleTxtG"/>
        <w:spacing w:after="100"/>
        <w:rPr>
          <w:lang w:val="fr-FR"/>
        </w:rPr>
      </w:pPr>
      <w:r w:rsidRPr="004A0BF8">
        <w:rPr>
          <w:lang w:val="fr-FR"/>
        </w:rPr>
        <w:t>4.</w:t>
      </w:r>
      <w:r w:rsidRPr="004A0BF8">
        <w:rPr>
          <w:lang w:val="fr-FR"/>
        </w:rPr>
        <w:tab/>
        <w:t xml:space="preserve">Dans le domaine des transports intérieurs, on peut distinguer à la fois des difficultés et des </w:t>
      </w:r>
      <w:r>
        <w:rPr>
          <w:bCs/>
          <w:lang w:val="fr-FR"/>
        </w:rPr>
        <w:t>possibilités</w:t>
      </w:r>
      <w:r w:rsidRPr="004A0BF8">
        <w:rPr>
          <w:bCs/>
          <w:lang w:val="fr-FR"/>
        </w:rPr>
        <w:t xml:space="preserve"> d</w:t>
      </w:r>
      <w:r>
        <w:rPr>
          <w:bCs/>
          <w:lang w:val="fr-FR"/>
        </w:rPr>
        <w:t>’</w:t>
      </w:r>
      <w:r w:rsidRPr="004A0BF8">
        <w:rPr>
          <w:bCs/>
          <w:lang w:val="fr-FR"/>
        </w:rPr>
        <w:t>action</w:t>
      </w:r>
      <w:r w:rsidRPr="004A0BF8">
        <w:rPr>
          <w:lang w:val="fr-FR"/>
        </w:rPr>
        <w:t>, au niveau régional comme au niveau mondial. Sans chercher à établir une hiérarchie, on peut faire ressortir les éléments suivants</w:t>
      </w:r>
      <w:r>
        <w:rPr>
          <w:lang w:val="fr-FR"/>
        </w:rPr>
        <w:t> :</w:t>
      </w:r>
      <w:r w:rsidRPr="004A0BF8">
        <w:rPr>
          <w:lang w:val="fr-FR"/>
        </w:rPr>
        <w:t xml:space="preserve"> </w:t>
      </w:r>
      <w:bookmarkStart w:id="12" w:name="_Hlk512267360"/>
      <w:bookmarkEnd w:id="12"/>
    </w:p>
    <w:p w:rsidR="00512C2D" w:rsidRPr="004A0BF8" w:rsidRDefault="00512C2D" w:rsidP="00512C2D">
      <w:pPr>
        <w:pStyle w:val="H1G"/>
        <w:spacing w:before="300" w:after="200"/>
      </w:pPr>
      <w:r w:rsidRPr="004A0BF8">
        <w:rPr>
          <w:lang w:val="fr-FR"/>
        </w:rPr>
        <w:tab/>
        <w:t>A.</w:t>
      </w:r>
      <w:r w:rsidRPr="004A0BF8">
        <w:rPr>
          <w:lang w:val="fr-FR"/>
        </w:rPr>
        <w:tab/>
        <w:t>Difficultés</w:t>
      </w:r>
    </w:p>
    <w:p w:rsidR="00512C2D" w:rsidRPr="004A0BF8" w:rsidRDefault="00512C2D" w:rsidP="00512C2D">
      <w:pPr>
        <w:pStyle w:val="Bullet1G"/>
        <w:numPr>
          <w:ilvl w:val="0"/>
          <w:numId w:val="1"/>
        </w:numPr>
        <w:spacing w:after="100" w:line="236" w:lineRule="atLeast"/>
        <w:rPr>
          <w:lang w:val="fr-FR"/>
        </w:rPr>
      </w:pPr>
      <w:r w:rsidRPr="004A0BF8">
        <w:rPr>
          <w:lang w:val="fr-FR"/>
        </w:rPr>
        <w:t>La crise de la sécurité routière reste d</w:t>
      </w:r>
      <w:r>
        <w:rPr>
          <w:lang w:val="fr-FR"/>
        </w:rPr>
        <w:t>’</w:t>
      </w:r>
      <w:r w:rsidRPr="004A0BF8">
        <w:rPr>
          <w:lang w:val="fr-FR"/>
        </w:rPr>
        <w:t>actualité malgré les efforts déployés à l</w:t>
      </w:r>
      <w:r>
        <w:rPr>
          <w:lang w:val="fr-FR"/>
        </w:rPr>
        <w:t>’</w:t>
      </w:r>
      <w:r w:rsidRPr="004A0BF8">
        <w:rPr>
          <w:lang w:val="fr-FR"/>
        </w:rPr>
        <w:t>échelle mondiale pour y remédier</w:t>
      </w:r>
      <w:r>
        <w:rPr>
          <w:lang w:val="fr-FR"/>
        </w:rPr>
        <w:t> :</w:t>
      </w:r>
      <w:r w:rsidRPr="004A0BF8">
        <w:rPr>
          <w:lang w:val="fr-FR"/>
        </w:rPr>
        <w:t xml:space="preserve"> 1,2</w:t>
      </w:r>
      <w:r>
        <w:rPr>
          <w:lang w:val="fr-FR"/>
        </w:rPr>
        <w:t> </w:t>
      </w:r>
      <w:r w:rsidRPr="004A0BF8">
        <w:rPr>
          <w:lang w:val="fr-FR"/>
        </w:rPr>
        <w:t>million de personnes meurent chaque année sur les routes du monde, dont 15</w:t>
      </w:r>
      <w:r>
        <w:rPr>
          <w:lang w:val="fr-FR"/>
        </w:rPr>
        <w:t> %</w:t>
      </w:r>
      <w:r w:rsidRPr="004A0BF8">
        <w:rPr>
          <w:lang w:val="fr-FR"/>
        </w:rPr>
        <w:t xml:space="preserve"> d</w:t>
      </w:r>
      <w:r>
        <w:rPr>
          <w:lang w:val="fr-FR"/>
        </w:rPr>
        <w:t>’</w:t>
      </w:r>
      <w:r w:rsidRPr="004A0BF8">
        <w:rPr>
          <w:lang w:val="fr-FR"/>
        </w:rPr>
        <w:t>enfants. Il faut ajouter à ce bilan annuel 20 à 50</w:t>
      </w:r>
      <w:r>
        <w:rPr>
          <w:lang w:val="fr-FR"/>
        </w:rPr>
        <w:t> </w:t>
      </w:r>
      <w:r w:rsidRPr="004A0BF8">
        <w:rPr>
          <w:lang w:val="fr-FR"/>
        </w:rPr>
        <w:t>millions de personnes blessées. Quatre-vingt-dix pour cent des décès surviennent dans des pays à revenu faible ou intermédiaire et qui représentent moins de la moitié du parc automobile mondial. On estime qu</w:t>
      </w:r>
      <w:r>
        <w:rPr>
          <w:lang w:val="fr-FR"/>
        </w:rPr>
        <w:t>’</w:t>
      </w:r>
      <w:r w:rsidRPr="004A0BF8">
        <w:rPr>
          <w:lang w:val="fr-FR"/>
        </w:rPr>
        <w:t>à l</w:t>
      </w:r>
      <w:r>
        <w:rPr>
          <w:lang w:val="fr-FR"/>
        </w:rPr>
        <w:t>’</w:t>
      </w:r>
      <w:r w:rsidRPr="004A0BF8">
        <w:rPr>
          <w:lang w:val="fr-FR"/>
        </w:rPr>
        <w:t>échelle mondiale</w:t>
      </w:r>
      <w:r>
        <w:rPr>
          <w:lang w:val="fr-FR"/>
        </w:rPr>
        <w:t>,</w:t>
      </w:r>
      <w:r w:rsidRPr="004A0BF8">
        <w:rPr>
          <w:lang w:val="fr-FR"/>
        </w:rPr>
        <w:t xml:space="preserve"> les pertes annuelles imputables aux blessures résultant d</w:t>
      </w:r>
      <w:r>
        <w:rPr>
          <w:lang w:val="fr-FR"/>
        </w:rPr>
        <w:t>’</w:t>
      </w:r>
      <w:r w:rsidRPr="004A0BF8">
        <w:rPr>
          <w:lang w:val="fr-FR"/>
        </w:rPr>
        <w:t>accidents de la circulation routière s</w:t>
      </w:r>
      <w:r>
        <w:rPr>
          <w:lang w:val="fr-FR"/>
        </w:rPr>
        <w:t>’</w:t>
      </w:r>
      <w:r w:rsidRPr="004A0BF8">
        <w:rPr>
          <w:lang w:val="fr-FR"/>
        </w:rPr>
        <w:t>élèvent à 518</w:t>
      </w:r>
      <w:r>
        <w:rPr>
          <w:lang w:val="fr-FR"/>
        </w:rPr>
        <w:t> </w:t>
      </w:r>
      <w:r w:rsidRPr="004A0BF8">
        <w:rPr>
          <w:lang w:val="fr-FR"/>
        </w:rPr>
        <w:t>milliards de dollars et coûtent aux pays entre 1</w:t>
      </w:r>
      <w:r>
        <w:rPr>
          <w:lang w:val="fr-FR"/>
        </w:rPr>
        <w:t> %</w:t>
      </w:r>
      <w:r w:rsidRPr="004A0BF8">
        <w:rPr>
          <w:lang w:val="fr-FR"/>
        </w:rPr>
        <w:t xml:space="preserve"> et 3</w:t>
      </w:r>
      <w:r>
        <w:rPr>
          <w:lang w:val="fr-FR"/>
        </w:rPr>
        <w:t> %</w:t>
      </w:r>
      <w:r w:rsidRPr="004A0BF8">
        <w:rPr>
          <w:lang w:val="fr-FR"/>
        </w:rPr>
        <w:t xml:space="preserve"> de leur produit national brut. </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lastRenderedPageBreak/>
        <w:t>•</w:t>
      </w:r>
      <w:r w:rsidRPr="004A0BF8">
        <w:rPr>
          <w:lang w:val="fr-FR"/>
        </w:rPr>
        <w:tab/>
        <w:t>Les effets des transports sur l</w:t>
      </w:r>
      <w:r>
        <w:rPr>
          <w:lang w:val="fr-FR"/>
        </w:rPr>
        <w:t>’</w:t>
      </w:r>
      <w:r w:rsidRPr="004A0BF8">
        <w:rPr>
          <w:lang w:val="fr-FR"/>
        </w:rPr>
        <w:t>environnement, en particulier en ce qui concerne les changements climatiques et la qualité de l</w:t>
      </w:r>
      <w:r>
        <w:rPr>
          <w:lang w:val="fr-FR"/>
        </w:rPr>
        <w:t>’</w:t>
      </w:r>
      <w:r w:rsidRPr="004A0BF8">
        <w:rPr>
          <w:lang w:val="fr-FR"/>
        </w:rPr>
        <w:t>air, mettent en péril d</w:t>
      </w:r>
      <w:r>
        <w:rPr>
          <w:lang w:val="fr-FR"/>
        </w:rPr>
        <w:t>’</w:t>
      </w:r>
      <w:r w:rsidRPr="004A0BF8">
        <w:rPr>
          <w:lang w:val="fr-FR"/>
        </w:rPr>
        <w:t>une façon de plus en plus alarmante la capacité des économies à rester concurrentielles, ainsi que le bien-être et la santé publique. En réaction à cela, la quasi-totalité des pays du monde se sont engagés, dans le cadre de l</w:t>
      </w:r>
      <w:r>
        <w:rPr>
          <w:lang w:val="fr-FR"/>
        </w:rPr>
        <w:t>’</w:t>
      </w:r>
      <w:r w:rsidRPr="004A0BF8">
        <w:rPr>
          <w:lang w:val="fr-FR"/>
        </w:rPr>
        <w:t>Accord de Paris sur le climat, à atténuer les changements climatiques et à s</w:t>
      </w:r>
      <w:r>
        <w:rPr>
          <w:lang w:val="fr-FR"/>
        </w:rPr>
        <w:t>’</w:t>
      </w:r>
      <w:r w:rsidRPr="004A0BF8">
        <w:rPr>
          <w:lang w:val="fr-FR"/>
        </w:rPr>
        <w:t>y adapter. Ce fait est particulièrement important pour les transports, qui jouent un rôle non négligeable et de plus en plus important dans les changements climatiques. La part du secteur des transports dans les émissions de gaz à effet de serre à l</w:t>
      </w:r>
      <w:r>
        <w:rPr>
          <w:lang w:val="fr-FR"/>
        </w:rPr>
        <w:t>’</w:t>
      </w:r>
      <w:r w:rsidRPr="004A0BF8">
        <w:rPr>
          <w:lang w:val="fr-FR"/>
        </w:rPr>
        <w:t>échelle mondiale a augmenté jusqu</w:t>
      </w:r>
      <w:r>
        <w:rPr>
          <w:lang w:val="fr-FR"/>
        </w:rPr>
        <w:t>’</w:t>
      </w:r>
      <w:r w:rsidRPr="004A0BF8">
        <w:rPr>
          <w:lang w:val="fr-FR"/>
        </w:rPr>
        <w:t>à représenter, en 2015, plus de 20</w:t>
      </w:r>
      <w:r>
        <w:rPr>
          <w:lang w:val="fr-FR"/>
        </w:rPr>
        <w:t xml:space="preserve"> % </w:t>
      </w:r>
      <w:r w:rsidRPr="004A0BF8">
        <w:rPr>
          <w:lang w:val="fr-FR"/>
        </w:rPr>
        <w:t>des émissions de gaz à effet de serre liées à l</w:t>
      </w:r>
      <w:r>
        <w:rPr>
          <w:lang w:val="fr-FR"/>
        </w:rPr>
        <w:t>’</w:t>
      </w:r>
      <w:r w:rsidRPr="004A0BF8">
        <w:rPr>
          <w:lang w:val="fr-FR"/>
        </w:rPr>
        <w:t>énergie. Dans la région de la CEE, cette part a presque doublé entre 1960 et 2015. En 2014, l</w:t>
      </w:r>
      <w:r>
        <w:rPr>
          <w:lang w:val="fr-FR"/>
        </w:rPr>
        <w:t>’</w:t>
      </w:r>
      <w:r w:rsidRPr="004A0BF8">
        <w:rPr>
          <w:lang w:val="fr-FR"/>
        </w:rPr>
        <w:t>OMS a publié ses dernières estimations concernant l</w:t>
      </w:r>
      <w:r>
        <w:rPr>
          <w:lang w:val="fr-FR"/>
        </w:rPr>
        <w:t>’</w:t>
      </w:r>
      <w:r w:rsidRPr="004A0BF8">
        <w:rPr>
          <w:lang w:val="fr-FR"/>
        </w:rPr>
        <w:t>impact global de la pollution atmosphérique extérieure et intérieure sur la santé. La majorité des décès liés à la pollution de l</w:t>
      </w:r>
      <w:r>
        <w:rPr>
          <w:lang w:val="fr-FR"/>
        </w:rPr>
        <w:t>’</w:t>
      </w:r>
      <w:r w:rsidRPr="004A0BF8">
        <w:rPr>
          <w:lang w:val="fr-FR"/>
        </w:rPr>
        <w:t xml:space="preserve">air sont dus à des maladies cardiovasculaires, </w:t>
      </w:r>
      <w:proofErr w:type="spellStart"/>
      <w:r w:rsidRPr="004A0BF8">
        <w:rPr>
          <w:lang w:val="fr-FR"/>
        </w:rPr>
        <w:t>cérébrovasculaires</w:t>
      </w:r>
      <w:proofErr w:type="spellEnd"/>
      <w:r w:rsidRPr="004A0BF8">
        <w:rPr>
          <w:lang w:val="fr-FR"/>
        </w:rPr>
        <w:t xml:space="preserve"> et respiratoires, ainsi qu</w:t>
      </w:r>
      <w:r>
        <w:rPr>
          <w:lang w:val="fr-FR"/>
        </w:rPr>
        <w:t>’</w:t>
      </w:r>
      <w:r w:rsidRPr="004A0BF8">
        <w:rPr>
          <w:lang w:val="fr-FR"/>
        </w:rPr>
        <w:t>à des cancers du poumon. En 2015, cette organisation a en outre estimé que, pour les pays de la région Europe, le coût économique annuel total de la pollution atmosphérique, compte tenu des décès et des maladies qu</w:t>
      </w:r>
      <w:r>
        <w:rPr>
          <w:lang w:val="fr-FR"/>
        </w:rPr>
        <w:t>’</w:t>
      </w:r>
      <w:r w:rsidRPr="004A0BF8">
        <w:rPr>
          <w:lang w:val="fr-FR"/>
        </w:rPr>
        <w:t>elle provoque, s</w:t>
      </w:r>
      <w:r>
        <w:rPr>
          <w:lang w:val="fr-FR"/>
        </w:rPr>
        <w:t>’</w:t>
      </w:r>
      <w:r w:rsidRPr="004A0BF8">
        <w:rPr>
          <w:lang w:val="fr-FR"/>
        </w:rPr>
        <w:t>élevait à 1</w:t>
      </w:r>
      <w:r>
        <w:rPr>
          <w:lang w:val="fr-FR"/>
        </w:rPr>
        <w:t> </w:t>
      </w:r>
      <w:r w:rsidRPr="004A0BF8">
        <w:rPr>
          <w:lang w:val="fr-FR"/>
        </w:rPr>
        <w:t>575</w:t>
      </w:r>
      <w:r>
        <w:rPr>
          <w:lang w:val="fr-FR"/>
        </w:rPr>
        <w:t> </w:t>
      </w:r>
      <w:r w:rsidRPr="004A0BF8">
        <w:rPr>
          <w:lang w:val="fr-FR"/>
        </w:rPr>
        <w:t>milliards de dollars des États-Unis</w:t>
      </w:r>
      <w:r>
        <w:rPr>
          <w:lang w:val="fr-FR"/>
        </w:rPr>
        <w:t> ;</w:t>
      </w:r>
      <w:r w:rsidRPr="004A0BF8">
        <w:rPr>
          <w:lang w:val="fr-FR"/>
        </w:rPr>
        <w:t xml:space="preserve"> cette estimation ne se limitait pas aux transports. </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Les embouteillages demeurent une préoccupation majeure pour les responsables des politiques des transports et pour le développement des économies dans le monde entier. Les populations prennent chaque année de plus en plus de temps pour se rendre sur leur lieu de travail.</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bookmarkStart w:id="13" w:name="_Hlk512412888"/>
      <w:r w:rsidRPr="004A0BF8">
        <w:rPr>
          <w:lang w:val="fr-FR"/>
        </w:rPr>
        <w:t>•</w:t>
      </w:r>
      <w:r w:rsidRPr="004A0BF8">
        <w:rPr>
          <w:lang w:val="fr-FR"/>
        </w:rPr>
        <w:tab/>
        <w:t xml:space="preserve">Les nombreuses innovations technologiques de pointe </w:t>
      </w:r>
      <w:r>
        <w:rPr>
          <w:lang w:val="fr-FR"/>
        </w:rPr>
        <w:t>−</w:t>
      </w:r>
      <w:r w:rsidRPr="004A0BF8">
        <w:rPr>
          <w:lang w:val="fr-FR"/>
        </w:rPr>
        <w:t xml:space="preserve"> en particulier dans les domaines de la numérisation, de l</w:t>
      </w:r>
      <w:r>
        <w:rPr>
          <w:lang w:val="fr-FR"/>
        </w:rPr>
        <w:t>’</w:t>
      </w:r>
      <w:r w:rsidRPr="004A0BF8">
        <w:rPr>
          <w:lang w:val="fr-FR"/>
        </w:rPr>
        <w:t>automatisation et de l</w:t>
      </w:r>
      <w:r>
        <w:rPr>
          <w:lang w:val="fr-FR"/>
        </w:rPr>
        <w:t>’</w:t>
      </w:r>
      <w:r w:rsidRPr="004A0BF8">
        <w:rPr>
          <w:lang w:val="fr-FR"/>
        </w:rPr>
        <w:t xml:space="preserve">électrification </w:t>
      </w:r>
      <w:r>
        <w:rPr>
          <w:lang w:val="fr-FR"/>
        </w:rPr>
        <w:t>−</w:t>
      </w:r>
      <w:r w:rsidRPr="004A0BF8">
        <w:rPr>
          <w:lang w:val="fr-FR"/>
        </w:rPr>
        <w:t xml:space="preserve"> arrivent à point nommé pour promouvoir et accélérer le changement. L</w:t>
      </w:r>
      <w:r>
        <w:rPr>
          <w:lang w:val="fr-FR"/>
        </w:rPr>
        <w:t>’</w:t>
      </w:r>
      <w:r w:rsidRPr="004A0BF8">
        <w:rPr>
          <w:lang w:val="fr-FR"/>
        </w:rPr>
        <w:t>application des technologies de l</w:t>
      </w:r>
      <w:r>
        <w:rPr>
          <w:lang w:val="fr-FR"/>
        </w:rPr>
        <w:t>’</w:t>
      </w:r>
      <w:r w:rsidRPr="004A0BF8">
        <w:rPr>
          <w:lang w:val="fr-FR"/>
        </w:rPr>
        <w:t>information et de la communication (TIC) progresse de façon étonnante, en particulier pour l</w:t>
      </w:r>
      <w:r>
        <w:rPr>
          <w:lang w:val="fr-FR"/>
        </w:rPr>
        <w:t>’</w:t>
      </w:r>
      <w:r w:rsidRPr="004A0BF8">
        <w:rPr>
          <w:lang w:val="fr-FR"/>
        </w:rPr>
        <w:t>automatisation des véhicules. Toutefois, l</w:t>
      </w:r>
      <w:r>
        <w:rPr>
          <w:lang w:val="fr-FR"/>
        </w:rPr>
        <w:t>’</w:t>
      </w:r>
      <w:r w:rsidRPr="004A0BF8">
        <w:rPr>
          <w:lang w:val="fr-FR"/>
        </w:rPr>
        <w:t>appui à l</w:t>
      </w:r>
      <w:r>
        <w:rPr>
          <w:lang w:val="fr-FR"/>
        </w:rPr>
        <w:t>’</w:t>
      </w:r>
      <w:r w:rsidRPr="004A0BF8">
        <w:rPr>
          <w:lang w:val="fr-FR"/>
        </w:rPr>
        <w:t>établissement de normes et à l</w:t>
      </w:r>
      <w:r>
        <w:rPr>
          <w:lang w:val="fr-FR"/>
        </w:rPr>
        <w:t>’</w:t>
      </w:r>
      <w:r w:rsidRPr="004A0BF8">
        <w:rPr>
          <w:lang w:val="fr-FR"/>
        </w:rPr>
        <w:t>adaptation des cadres réglementaires existants n</w:t>
      </w:r>
      <w:r>
        <w:rPr>
          <w:lang w:val="fr-FR"/>
        </w:rPr>
        <w:t>’</w:t>
      </w:r>
      <w:r w:rsidRPr="004A0BF8">
        <w:rPr>
          <w:lang w:val="fr-FR"/>
        </w:rPr>
        <w:t>a pas suivi le rythme de la progression des applications des TIC. Cette réalité suscite des inquiétudes quant à l</w:t>
      </w:r>
      <w:r>
        <w:rPr>
          <w:lang w:val="fr-FR"/>
        </w:rPr>
        <w:t>’</w:t>
      </w:r>
      <w:r w:rsidRPr="004A0BF8">
        <w:rPr>
          <w:lang w:val="fr-FR"/>
        </w:rPr>
        <w:t>interopérabilité et au gaspillage des investissements. Elle</w:t>
      </w:r>
      <w:r>
        <w:rPr>
          <w:lang w:val="fr-FR"/>
        </w:rPr>
        <w:t> </w:t>
      </w:r>
      <w:r w:rsidRPr="004A0BF8">
        <w:rPr>
          <w:lang w:val="fr-FR"/>
        </w:rPr>
        <w:t>soulève également des questions non techniques, notamment en ce qui concerne la protection de la vie privée, la sécurité, la sûreté et la responsabilité juridique en cas d</w:t>
      </w:r>
      <w:r>
        <w:rPr>
          <w:lang w:val="fr-FR"/>
        </w:rPr>
        <w:t>’</w:t>
      </w:r>
      <w:r w:rsidRPr="004A0BF8">
        <w:rPr>
          <w:lang w:val="fr-FR"/>
        </w:rPr>
        <w:t>accident de la circulation ou de dysfonctionnement. Le CTI et ses groupes de travail se doivent d</w:t>
      </w:r>
      <w:r>
        <w:rPr>
          <w:lang w:val="fr-FR"/>
        </w:rPr>
        <w:t>’</w:t>
      </w:r>
      <w:r w:rsidRPr="004A0BF8">
        <w:rPr>
          <w:lang w:val="fr-FR"/>
        </w:rPr>
        <w:t>accélérer leur action en matière d</w:t>
      </w:r>
      <w:r>
        <w:rPr>
          <w:lang w:val="fr-FR"/>
        </w:rPr>
        <w:t>’</w:t>
      </w:r>
      <w:r w:rsidRPr="004A0BF8">
        <w:rPr>
          <w:lang w:val="fr-FR"/>
        </w:rPr>
        <w:t>établissement de normes et de réglementation, d</w:t>
      </w:r>
      <w:r>
        <w:rPr>
          <w:lang w:val="fr-FR"/>
        </w:rPr>
        <w:t>’</w:t>
      </w:r>
      <w:r w:rsidRPr="004A0BF8">
        <w:rPr>
          <w:lang w:val="fr-FR"/>
        </w:rPr>
        <w:t>une manière inclusive.</w:t>
      </w:r>
    </w:p>
    <w:bookmarkEnd w:id="13"/>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Le transport transfrontalier et le transport en transit par voie terrestre dans les pays en développement, en particulier dans les pays en développement sans littoral, constituent un obstacle majeur à leur intégration effective aux chaînes d</w:t>
      </w:r>
      <w:r>
        <w:rPr>
          <w:lang w:val="fr-FR"/>
        </w:rPr>
        <w:t>’</w:t>
      </w:r>
      <w:r w:rsidRPr="004A0BF8">
        <w:rPr>
          <w:lang w:val="fr-FR"/>
        </w:rPr>
        <w:t>approvisionnement et aux marchés mondiaux. Les formalités et les procédures sont longues et pesantes en raison de l</w:t>
      </w:r>
      <w:r>
        <w:rPr>
          <w:lang w:val="fr-FR"/>
        </w:rPr>
        <w:t>’</w:t>
      </w:r>
      <w:r w:rsidRPr="004A0BF8">
        <w:rPr>
          <w:lang w:val="fr-FR"/>
        </w:rPr>
        <w:t>absence de politiques, de réglementations et de systèmes de renforcement des capacités adéquat dans ces pays, mais aussi des différences entre les législations et les normes nationales, ce qui augmente les coûts de transport et diminue la compétitivité. On observe des difficultés similaires en ce qui concerne les transports au sein de la région de la CEE, dans les pays en développement sans littoral et de transit,</w:t>
      </w:r>
      <w:r>
        <w:rPr>
          <w:lang w:val="fr-FR"/>
        </w:rPr>
        <w:t xml:space="preserve"> </w:t>
      </w:r>
      <w:r w:rsidRPr="004A0BF8">
        <w:rPr>
          <w:lang w:val="fr-FR"/>
        </w:rPr>
        <w:t>et entre les États membres de l</w:t>
      </w:r>
      <w:r>
        <w:rPr>
          <w:lang w:val="fr-FR"/>
        </w:rPr>
        <w:t>’</w:t>
      </w:r>
      <w:r w:rsidRPr="004A0BF8">
        <w:rPr>
          <w:lang w:val="fr-FR"/>
        </w:rPr>
        <w:t>UE et les États non membres de l</w:t>
      </w:r>
      <w:r>
        <w:rPr>
          <w:lang w:val="fr-FR"/>
        </w:rPr>
        <w:t>’</w:t>
      </w:r>
      <w:r w:rsidRPr="004A0BF8">
        <w:rPr>
          <w:lang w:val="fr-FR"/>
        </w:rPr>
        <w:t>UE. La numérisation rapide des procédures en général et, en particulier, l</w:t>
      </w:r>
      <w:r>
        <w:rPr>
          <w:lang w:val="fr-FR"/>
        </w:rPr>
        <w:t>’</w:t>
      </w:r>
      <w:r w:rsidRPr="004A0BF8">
        <w:rPr>
          <w:lang w:val="fr-FR"/>
        </w:rPr>
        <w:t>informatisation du régime TIR, sont essentielles pour relever les défis que posent l</w:t>
      </w:r>
      <w:r>
        <w:rPr>
          <w:lang w:val="fr-FR"/>
        </w:rPr>
        <w:t>’</w:t>
      </w:r>
      <w:r w:rsidRPr="004A0BF8">
        <w:rPr>
          <w:lang w:val="fr-FR"/>
        </w:rPr>
        <w:t>augmentation des problèmes et des retards, ainsi que les files d</w:t>
      </w:r>
      <w:r>
        <w:rPr>
          <w:lang w:val="fr-FR"/>
        </w:rPr>
        <w:t>’</w:t>
      </w:r>
      <w:r w:rsidRPr="004A0BF8">
        <w:rPr>
          <w:lang w:val="fr-FR"/>
        </w:rPr>
        <w:t>attente aux postes frontière.</w:t>
      </w:r>
      <w:bookmarkStart w:id="14" w:name="_Hlk512413134"/>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Lacunes en matière d</w:t>
      </w:r>
      <w:r>
        <w:rPr>
          <w:lang w:val="fr-FR"/>
        </w:rPr>
        <w:t>’</w:t>
      </w:r>
      <w:r w:rsidRPr="004A0BF8">
        <w:rPr>
          <w:lang w:val="fr-FR"/>
        </w:rPr>
        <w:t>infrastructure et mobilisation mondiale d</w:t>
      </w:r>
      <w:r>
        <w:rPr>
          <w:lang w:val="fr-FR"/>
        </w:rPr>
        <w:t>’</w:t>
      </w:r>
      <w:r w:rsidRPr="004A0BF8">
        <w:rPr>
          <w:lang w:val="fr-FR"/>
        </w:rPr>
        <w:t>investissements suffisants pour les infrastructures</w:t>
      </w:r>
      <w:r>
        <w:rPr>
          <w:lang w:val="fr-FR"/>
        </w:rPr>
        <w:t> :</w:t>
      </w:r>
      <w:r w:rsidRPr="004A0BF8">
        <w:rPr>
          <w:lang w:val="fr-FR"/>
        </w:rPr>
        <w:t xml:space="preserve"> 1</w:t>
      </w:r>
      <w:r>
        <w:rPr>
          <w:lang w:val="fr-FR"/>
        </w:rPr>
        <w:t> </w:t>
      </w:r>
      <w:r w:rsidRPr="004A0BF8">
        <w:rPr>
          <w:lang w:val="fr-FR"/>
        </w:rPr>
        <w:t>milliard de personnes ne sont pas raccordé</w:t>
      </w:r>
      <w:r>
        <w:rPr>
          <w:lang w:val="fr-FR"/>
        </w:rPr>
        <w:t>e</w:t>
      </w:r>
      <w:r w:rsidRPr="004A0BF8">
        <w:rPr>
          <w:lang w:val="fr-FR"/>
        </w:rPr>
        <w:t>s à la ville la plus proche par une route praticable en toutes saisons. De nombreux pays en développement manquent encore d</w:t>
      </w:r>
      <w:r>
        <w:rPr>
          <w:lang w:val="fr-FR"/>
        </w:rPr>
        <w:t>’</w:t>
      </w:r>
      <w:r w:rsidRPr="004A0BF8">
        <w:rPr>
          <w:lang w:val="fr-FR"/>
        </w:rPr>
        <w:t>infrastructures de qualité et de liaisons internationales compatibles. D</w:t>
      </w:r>
      <w:r>
        <w:rPr>
          <w:lang w:val="fr-FR"/>
        </w:rPr>
        <w:t>’</w:t>
      </w:r>
      <w:r w:rsidRPr="004A0BF8">
        <w:rPr>
          <w:lang w:val="fr-FR"/>
        </w:rPr>
        <w:t>un autre côté, de nombreux pays développés sont confrontés au vieillissement des infrastructures.</w:t>
      </w:r>
      <w:bookmarkEnd w:id="14"/>
    </w:p>
    <w:p w:rsidR="00512C2D" w:rsidRPr="004A0BF8" w:rsidRDefault="00512C2D" w:rsidP="00512C2D">
      <w:pPr>
        <w:pStyle w:val="H1G"/>
      </w:pPr>
      <w:r w:rsidRPr="004A0BF8">
        <w:rPr>
          <w:lang w:val="fr-FR"/>
        </w:rPr>
        <w:lastRenderedPageBreak/>
        <w:tab/>
        <w:t>B.</w:t>
      </w:r>
      <w:r w:rsidRPr="004A0BF8">
        <w:rPr>
          <w:lang w:val="fr-FR"/>
        </w:rPr>
        <w:tab/>
      </w:r>
      <w:r>
        <w:rPr>
          <w:lang w:val="fr-FR"/>
        </w:rPr>
        <w:t>Possibilité</w:t>
      </w:r>
      <w:r w:rsidRPr="004A0BF8">
        <w:rPr>
          <w:bCs/>
          <w:lang w:val="fr-FR"/>
        </w:rPr>
        <w:t>s d</w:t>
      </w:r>
      <w:r>
        <w:rPr>
          <w:bCs/>
          <w:lang w:val="fr-FR"/>
        </w:rPr>
        <w:t>’</w:t>
      </w:r>
      <w:r w:rsidRPr="004A0BF8">
        <w:rPr>
          <w:bCs/>
          <w:lang w:val="fr-FR"/>
        </w:rPr>
        <w:t>action</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Au sein du CTI, le nombre des Parties contractantes aux instruments juridiques des Nations Unies relevant de la compétence du Comité a atteint un niveau respectable et ne cesse de croître. Pourtant, il reste faible si l</w:t>
      </w:r>
      <w:r>
        <w:rPr>
          <w:lang w:val="fr-FR"/>
        </w:rPr>
        <w:t>’</w:t>
      </w:r>
      <w:r w:rsidRPr="004A0BF8">
        <w:rPr>
          <w:lang w:val="fr-FR"/>
        </w:rPr>
        <w:t>on tient compte de la nécessité d</w:t>
      </w:r>
      <w:r>
        <w:rPr>
          <w:lang w:val="fr-FR"/>
        </w:rPr>
        <w:t>’</w:t>
      </w:r>
      <w:r w:rsidRPr="004A0BF8">
        <w:rPr>
          <w:lang w:val="fr-FR"/>
        </w:rPr>
        <w:t>une harmonisation plus poussée de certains systèmes de transport intérieur. Sachant que les Conventions des Nations Unies intéressant les transports sont un pilier de la réalisation des objectifs de développement durable (ODD), la stratégie du CTI offre une occasion unique de soutenir et d</w:t>
      </w:r>
      <w:r>
        <w:rPr>
          <w:lang w:val="fr-FR"/>
        </w:rPr>
        <w:t>’</w:t>
      </w:r>
      <w:r w:rsidRPr="004A0BF8">
        <w:rPr>
          <w:lang w:val="fr-FR"/>
        </w:rPr>
        <w:t>accélérer le processus des adhésions aux instruments juridiques à l</w:t>
      </w:r>
      <w:r>
        <w:rPr>
          <w:lang w:val="fr-FR"/>
        </w:rPr>
        <w:t>’</w:t>
      </w:r>
      <w:r w:rsidRPr="004A0BF8">
        <w:rPr>
          <w:lang w:val="fr-FR"/>
        </w:rPr>
        <w:t>échelle mondiale, mais ainsi d</w:t>
      </w:r>
      <w:r>
        <w:rPr>
          <w:lang w:val="fr-FR"/>
        </w:rPr>
        <w:t>’</w:t>
      </w:r>
      <w:r w:rsidRPr="004A0BF8">
        <w:rPr>
          <w:lang w:val="fr-FR"/>
        </w:rPr>
        <w:t>impliquer activement et équitablement une majorité d</w:t>
      </w:r>
      <w:r>
        <w:rPr>
          <w:lang w:val="fr-FR"/>
        </w:rPr>
        <w:t>’</w:t>
      </w:r>
      <w:r w:rsidRPr="004A0BF8">
        <w:rPr>
          <w:lang w:val="fr-FR"/>
        </w:rPr>
        <w:t>États Membres des Nations Unies, y compris les États non membres de la CEE, dans les travaux du CTI.</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Les accords mondiaux déterminent des orientations à l</w:t>
      </w:r>
      <w:r>
        <w:rPr>
          <w:lang w:val="fr-FR"/>
        </w:rPr>
        <w:t>’</w:t>
      </w:r>
      <w:r w:rsidRPr="004A0BF8">
        <w:rPr>
          <w:lang w:val="fr-FR"/>
        </w:rPr>
        <w:t>échelle mondiale en vue de modifier la voie suivie pour le développement, et les travaux du Comité doivent les favoriser et les soutenir. Les plus importants d</w:t>
      </w:r>
      <w:r>
        <w:rPr>
          <w:lang w:val="fr-FR"/>
        </w:rPr>
        <w:t>’</w:t>
      </w:r>
      <w:r w:rsidRPr="004A0BF8">
        <w:rPr>
          <w:lang w:val="fr-FR"/>
        </w:rPr>
        <w:t>entre eux sont</w:t>
      </w:r>
      <w:r>
        <w:rPr>
          <w:lang w:val="fr-FR"/>
        </w:rPr>
        <w:t> :</w:t>
      </w:r>
      <w:r w:rsidRPr="004A0BF8">
        <w:rPr>
          <w:lang w:val="fr-FR"/>
        </w:rPr>
        <w:t xml:space="preserve"> le Programme de développement durable à l</w:t>
      </w:r>
      <w:r>
        <w:rPr>
          <w:lang w:val="fr-FR"/>
        </w:rPr>
        <w:t>’</w:t>
      </w:r>
      <w:r w:rsidRPr="004A0BF8">
        <w:rPr>
          <w:lang w:val="fr-FR"/>
        </w:rPr>
        <w:t>horizon 2030 et les objectifs de développement durable</w:t>
      </w:r>
      <w:r>
        <w:rPr>
          <w:lang w:val="fr-FR"/>
        </w:rPr>
        <w:t> ;</w:t>
      </w:r>
      <w:r w:rsidRPr="004A0BF8">
        <w:rPr>
          <w:lang w:val="fr-FR"/>
        </w:rPr>
        <w:t xml:space="preserve"> en ce qui concerne l</w:t>
      </w:r>
      <w:r>
        <w:rPr>
          <w:lang w:val="fr-FR"/>
        </w:rPr>
        <w:t>’</w:t>
      </w:r>
      <w:r w:rsidRPr="004A0BF8">
        <w:rPr>
          <w:lang w:val="fr-FR"/>
        </w:rPr>
        <w:t>atténuation des changements climatiques et l</w:t>
      </w:r>
      <w:r>
        <w:rPr>
          <w:lang w:val="fr-FR"/>
        </w:rPr>
        <w:t>’</w:t>
      </w:r>
      <w:r w:rsidRPr="004A0BF8">
        <w:rPr>
          <w:lang w:val="fr-FR"/>
        </w:rPr>
        <w:t>adaptation à ces changements, l</w:t>
      </w:r>
      <w:r>
        <w:rPr>
          <w:lang w:val="fr-FR"/>
        </w:rPr>
        <w:t>’</w:t>
      </w:r>
      <w:r w:rsidRPr="004A0BF8">
        <w:rPr>
          <w:lang w:val="fr-FR"/>
        </w:rPr>
        <w:t>Accord de Paris conclu au titre de la Convention-cadre des Nations Unies sur les changements climatiques</w:t>
      </w:r>
      <w:r>
        <w:rPr>
          <w:lang w:val="fr-FR"/>
        </w:rPr>
        <w:t> ;</w:t>
      </w:r>
      <w:r w:rsidRPr="004A0BF8">
        <w:rPr>
          <w:lang w:val="fr-FR"/>
        </w:rPr>
        <w:t xml:space="preserve"> en ce qui concerne le soutien financier au développement, le Programme d</w:t>
      </w:r>
      <w:r>
        <w:rPr>
          <w:lang w:val="fr-FR"/>
        </w:rPr>
        <w:t>’</w:t>
      </w:r>
      <w:r w:rsidRPr="004A0BF8">
        <w:rPr>
          <w:lang w:val="fr-FR"/>
        </w:rPr>
        <w:t>action d</w:t>
      </w:r>
      <w:r>
        <w:rPr>
          <w:lang w:val="fr-FR"/>
        </w:rPr>
        <w:t>’</w:t>
      </w:r>
      <w:r w:rsidRPr="004A0BF8">
        <w:rPr>
          <w:lang w:val="fr-FR"/>
        </w:rPr>
        <w:t>Addis-Abeba issu de la troisième Conférence internationale sur le financement du développement</w:t>
      </w:r>
      <w:r>
        <w:rPr>
          <w:lang w:val="fr-FR"/>
        </w:rPr>
        <w:t> ;</w:t>
      </w:r>
      <w:r w:rsidRPr="004A0BF8">
        <w:rPr>
          <w:lang w:val="fr-FR"/>
        </w:rPr>
        <w:t xml:space="preserve"> le Nouveau Programme pour les villes adopté à Quito</w:t>
      </w:r>
      <w:r>
        <w:rPr>
          <w:lang w:val="fr-FR"/>
        </w:rPr>
        <w:t> ;</w:t>
      </w:r>
      <w:r w:rsidRPr="004A0BF8">
        <w:rPr>
          <w:lang w:val="fr-FR"/>
        </w:rPr>
        <w:t xml:space="preserve"> </w:t>
      </w:r>
      <w:r>
        <w:rPr>
          <w:lang w:val="fr-FR"/>
        </w:rPr>
        <w:t>l</w:t>
      </w:r>
      <w:r w:rsidRPr="004A0BF8">
        <w:rPr>
          <w:lang w:val="fr-FR"/>
        </w:rPr>
        <w:t>a Décennie d</w:t>
      </w:r>
      <w:r>
        <w:rPr>
          <w:lang w:val="fr-FR"/>
        </w:rPr>
        <w:t>’</w:t>
      </w:r>
      <w:r w:rsidRPr="004A0BF8">
        <w:rPr>
          <w:lang w:val="fr-FR"/>
        </w:rPr>
        <w:t xml:space="preserve">action des Nations Unies pour la sécurité routière. </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Des initiatives mondiales telles que l</w:t>
      </w:r>
      <w:r>
        <w:rPr>
          <w:lang w:val="fr-FR"/>
        </w:rPr>
        <w:t>’</w:t>
      </w:r>
      <w:r w:rsidRPr="004A0BF8">
        <w:rPr>
          <w:lang w:val="fr-FR"/>
        </w:rPr>
        <w:t xml:space="preserve">initiative de la Banque mondiale en faveur de la mobilité durable pour tous (SuM4All) et </w:t>
      </w:r>
      <w:r>
        <w:rPr>
          <w:lang w:val="fr-FR"/>
        </w:rPr>
        <w:t>« </w:t>
      </w:r>
      <w:r w:rsidRPr="00BF1BFC">
        <w:rPr>
          <w:lang w:val="fr-FR"/>
        </w:rPr>
        <w:t>UN Transport</w:t>
      </w:r>
      <w:r>
        <w:rPr>
          <w:lang w:val="fr-FR"/>
        </w:rPr>
        <w:t> »</w:t>
      </w:r>
      <w:r w:rsidRPr="004A0BF8">
        <w:rPr>
          <w:lang w:val="fr-FR"/>
        </w:rPr>
        <w:t>, un mécanisme de coordination des Nations Unies en cours de constitution, contribuent à l</w:t>
      </w:r>
      <w:r>
        <w:rPr>
          <w:lang w:val="fr-FR"/>
        </w:rPr>
        <w:t>’</w:t>
      </w:r>
      <w:r w:rsidRPr="004A0BF8">
        <w:rPr>
          <w:lang w:val="fr-FR"/>
        </w:rPr>
        <w:t xml:space="preserve">échelle mondiale à améliorer la communication et la coordination entre les trois </w:t>
      </w:r>
      <w:r>
        <w:rPr>
          <w:lang w:val="fr-FR"/>
        </w:rPr>
        <w:t>piliers</w:t>
      </w:r>
      <w:r w:rsidRPr="004A0BF8">
        <w:rPr>
          <w:lang w:val="fr-FR"/>
        </w:rPr>
        <w:t xml:space="preserve"> d</w:t>
      </w:r>
      <w:r>
        <w:rPr>
          <w:lang w:val="fr-FR"/>
        </w:rPr>
        <w:t>u</w:t>
      </w:r>
      <w:r w:rsidRPr="004A0BF8">
        <w:rPr>
          <w:lang w:val="fr-FR"/>
        </w:rPr>
        <w:t xml:space="preserve"> transport, à savoir le transport aérien, le transport par voie maritime et les transports intérieurs. La CEE devrait jouer un rôle essentiel en ce qui concerne le</w:t>
      </w:r>
      <w:r>
        <w:rPr>
          <w:lang w:val="fr-FR"/>
        </w:rPr>
        <w:t xml:space="preserve"> pilier « </w:t>
      </w:r>
      <w:r w:rsidRPr="004A0BF8">
        <w:rPr>
          <w:lang w:val="fr-FR"/>
        </w:rPr>
        <w:t>transports intérieurs</w:t>
      </w:r>
      <w:r>
        <w:rPr>
          <w:lang w:val="fr-FR"/>
        </w:rPr>
        <w:t> »</w:t>
      </w:r>
      <w:r w:rsidRPr="004A0BF8">
        <w:rPr>
          <w:lang w:val="fr-FR"/>
        </w:rPr>
        <w:t>.</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4A0BF8">
        <w:rPr>
          <w:lang w:val="fr-FR"/>
        </w:rPr>
        <w:t>•</w:t>
      </w:r>
      <w:r w:rsidRPr="004A0BF8">
        <w:rPr>
          <w:lang w:val="fr-FR"/>
        </w:rPr>
        <w:tab/>
        <w:t>Les percées technologiques, telles que les systèmes de transport intelligents, la numérisation et l</w:t>
      </w:r>
      <w:r>
        <w:rPr>
          <w:lang w:val="fr-FR"/>
        </w:rPr>
        <w:t>’</w:t>
      </w:r>
      <w:r w:rsidRPr="004A0BF8">
        <w:rPr>
          <w:lang w:val="fr-FR"/>
        </w:rPr>
        <w:t>automatisation, font qu</w:t>
      </w:r>
      <w:r>
        <w:rPr>
          <w:lang w:val="fr-FR"/>
        </w:rPr>
        <w:t>’</w:t>
      </w:r>
      <w:r w:rsidRPr="004A0BF8">
        <w:rPr>
          <w:lang w:val="fr-FR"/>
        </w:rPr>
        <w:t>il est d</w:t>
      </w:r>
      <w:r>
        <w:rPr>
          <w:lang w:val="fr-FR"/>
        </w:rPr>
        <w:t>’</w:t>
      </w:r>
      <w:r w:rsidRPr="004A0BF8">
        <w:rPr>
          <w:lang w:val="fr-FR"/>
        </w:rPr>
        <w:t>autant plus nécessaire de repenser, sur le plan stratégique, les travaux du Comité. Les applications innovantes des TIC en matière de transports intérieurs pourraient apporter des solutions intégrées pour accroître l</w:t>
      </w:r>
      <w:r>
        <w:rPr>
          <w:lang w:val="fr-FR"/>
        </w:rPr>
        <w:t>’</w:t>
      </w:r>
      <w:r w:rsidRPr="004A0BF8">
        <w:rPr>
          <w:lang w:val="fr-FR"/>
        </w:rPr>
        <w:t xml:space="preserve">efficacité économique, prévenir les accidents de la circulation et réduire les émissions. </w:t>
      </w:r>
    </w:p>
    <w:p w:rsidR="00512C2D" w:rsidRPr="004A0BF8" w:rsidRDefault="00512C2D" w:rsidP="00512C2D">
      <w:pPr>
        <w:pStyle w:val="Bullet1G"/>
        <w:numPr>
          <w:ilvl w:val="0"/>
          <w:numId w:val="0"/>
        </w:numPr>
        <w:tabs>
          <w:tab w:val="left" w:pos="1701"/>
        </w:tabs>
        <w:kinsoku/>
        <w:overflowPunct/>
        <w:autoSpaceDE/>
        <w:autoSpaceDN/>
        <w:adjustRightInd/>
        <w:snapToGrid/>
        <w:ind w:left="1701" w:hanging="170"/>
        <w:rPr>
          <w:lang w:val="fr-FR"/>
        </w:rPr>
      </w:pPr>
      <w:bookmarkStart w:id="15" w:name="_Hlk524603264"/>
      <w:r w:rsidRPr="004A0BF8">
        <w:rPr>
          <w:lang w:val="fr-FR"/>
        </w:rPr>
        <w:t>•</w:t>
      </w:r>
      <w:r w:rsidRPr="004A0BF8">
        <w:rPr>
          <w:lang w:val="fr-FR"/>
        </w:rPr>
        <w:tab/>
        <w:t>Les grandes tendances mondiales, parmi lesquelles la dynamique démographique et l</w:t>
      </w:r>
      <w:r>
        <w:rPr>
          <w:lang w:val="fr-FR"/>
        </w:rPr>
        <w:t>’</w:t>
      </w:r>
      <w:r w:rsidRPr="004A0BF8">
        <w:rPr>
          <w:lang w:val="fr-FR"/>
        </w:rPr>
        <w:t>urbanisation, redéfinissent systémiquement la demande de services de transport à l</w:t>
      </w:r>
      <w:r>
        <w:rPr>
          <w:lang w:val="fr-FR"/>
        </w:rPr>
        <w:t>’</w:t>
      </w:r>
      <w:r w:rsidRPr="004A0BF8">
        <w:rPr>
          <w:lang w:val="fr-FR"/>
        </w:rPr>
        <w:t>échelle mondiale. L</w:t>
      </w:r>
      <w:r>
        <w:rPr>
          <w:lang w:val="fr-FR"/>
        </w:rPr>
        <w:t>’</w:t>
      </w:r>
      <w:r w:rsidRPr="004A0BF8">
        <w:rPr>
          <w:lang w:val="fr-FR"/>
        </w:rPr>
        <w:t xml:space="preserve">augmentation de la demande de transports, en particulier en milieu urbain, est en grande partie responsable de la surcharge des infrastructures de transport existantes. Ce problème ne sera pas résolu par le seul développement des infrastructures. Il convient plutôt </w:t>
      </w:r>
      <w:r>
        <w:rPr>
          <w:lang w:val="fr-FR"/>
        </w:rPr>
        <w:t>d’</w:t>
      </w:r>
      <w:r w:rsidRPr="00BF1BFC">
        <w:rPr>
          <w:lang w:val="fr-FR"/>
        </w:rPr>
        <w:t>optimiser la constitution</w:t>
      </w:r>
      <w:r>
        <w:rPr>
          <w:lang w:val="fr-FR"/>
        </w:rPr>
        <w:t xml:space="preserve"> </w:t>
      </w:r>
      <w:r w:rsidRPr="00BF1BFC">
        <w:rPr>
          <w:lang w:val="fr-FR"/>
        </w:rPr>
        <w:t>de la demande de transports</w:t>
      </w:r>
      <w:r w:rsidRPr="004A0BF8">
        <w:rPr>
          <w:lang w:val="fr-FR"/>
        </w:rPr>
        <w:t>, notamment en améliorant la coordination et l</w:t>
      </w:r>
      <w:r>
        <w:rPr>
          <w:lang w:val="fr-FR"/>
        </w:rPr>
        <w:t>’</w:t>
      </w:r>
      <w:r w:rsidRPr="004A0BF8">
        <w:rPr>
          <w:lang w:val="fr-FR"/>
        </w:rPr>
        <w:t>intégration entre la politique des transports et la politique d</w:t>
      </w:r>
      <w:r>
        <w:rPr>
          <w:lang w:val="fr-FR"/>
        </w:rPr>
        <w:t>’</w:t>
      </w:r>
      <w:r w:rsidRPr="004A0BF8">
        <w:rPr>
          <w:lang w:val="fr-FR"/>
        </w:rPr>
        <w:t xml:space="preserve">aménagement du territoire et de développement urbain. </w:t>
      </w:r>
      <w:bookmarkEnd w:id="15"/>
    </w:p>
    <w:p w:rsidR="00512C2D" w:rsidRPr="004A0BF8" w:rsidRDefault="00512C2D" w:rsidP="00512C2D">
      <w:pPr>
        <w:pStyle w:val="Bullet1G"/>
        <w:numPr>
          <w:ilvl w:val="0"/>
          <w:numId w:val="0"/>
        </w:numPr>
        <w:ind w:left="1701" w:hanging="171"/>
        <w:rPr>
          <w:lang w:val="fr-FR"/>
        </w:rPr>
      </w:pPr>
      <w:r w:rsidRPr="004A0BF8">
        <w:rPr>
          <w:lang w:val="fr-FR"/>
        </w:rPr>
        <w:t>•</w:t>
      </w:r>
      <w:r w:rsidRPr="004A0BF8">
        <w:rPr>
          <w:lang w:val="fr-FR"/>
        </w:rPr>
        <w:tab/>
        <w:t>La demande d</w:t>
      </w:r>
      <w:r>
        <w:rPr>
          <w:lang w:val="fr-FR"/>
        </w:rPr>
        <w:t>’</w:t>
      </w:r>
      <w:r w:rsidRPr="004A0BF8">
        <w:rPr>
          <w:lang w:val="fr-FR"/>
        </w:rPr>
        <w:t>amélioration de la connectivité infrastructurelle et opérationnelle va croissant. Pour continuer à promouvoir le développement de réseaux d</w:t>
      </w:r>
      <w:r>
        <w:rPr>
          <w:lang w:val="fr-FR"/>
        </w:rPr>
        <w:t>’</w:t>
      </w:r>
      <w:r w:rsidRPr="004A0BF8">
        <w:rPr>
          <w:lang w:val="fr-FR"/>
        </w:rPr>
        <w:t>infrastructures internationaux cohérents dans un environnement géopolitique en rapide évolution, il sera peut-être nécessaire de développer plus rapidement les relations entre les accords existants et les initiatives menées aux niveaux régional, interrégional et international. Une telle demande a récemment conduit l</w:t>
      </w:r>
      <w:r>
        <w:rPr>
          <w:lang w:val="fr-FR"/>
        </w:rPr>
        <w:t>’</w:t>
      </w:r>
      <w:r w:rsidRPr="004A0BF8">
        <w:rPr>
          <w:lang w:val="fr-FR"/>
        </w:rPr>
        <w:t>Arabie saoudite, l</w:t>
      </w:r>
      <w:r>
        <w:rPr>
          <w:lang w:val="fr-FR"/>
        </w:rPr>
        <w:t>’</w:t>
      </w:r>
      <w:r w:rsidRPr="004A0BF8">
        <w:rPr>
          <w:lang w:val="fr-FR"/>
        </w:rPr>
        <w:t>Argentine, la Chine, l</w:t>
      </w:r>
      <w:r>
        <w:rPr>
          <w:lang w:val="fr-FR"/>
        </w:rPr>
        <w:t>’</w:t>
      </w:r>
      <w:r w:rsidRPr="004A0BF8">
        <w:rPr>
          <w:lang w:val="fr-FR"/>
        </w:rPr>
        <w:t xml:space="preserve">Inde, le Pakistan et le Qatar à adhérer à la Convention TIR. </w:t>
      </w:r>
    </w:p>
    <w:p w:rsidR="00512C2D" w:rsidRPr="004A0BF8" w:rsidRDefault="00512C2D" w:rsidP="00512C2D">
      <w:pPr>
        <w:pStyle w:val="Bullet1G"/>
        <w:keepLines/>
        <w:numPr>
          <w:ilvl w:val="0"/>
          <w:numId w:val="0"/>
        </w:numPr>
        <w:tabs>
          <w:tab w:val="left" w:pos="1701"/>
        </w:tabs>
        <w:kinsoku/>
        <w:overflowPunct/>
        <w:autoSpaceDE/>
        <w:autoSpaceDN/>
        <w:adjustRightInd/>
        <w:snapToGrid/>
        <w:spacing w:after="100"/>
        <w:ind w:left="1701" w:hanging="170"/>
        <w:rPr>
          <w:lang w:val="fr-FR"/>
        </w:rPr>
      </w:pPr>
      <w:r w:rsidRPr="004A0BF8">
        <w:rPr>
          <w:lang w:val="fr-FR"/>
        </w:rPr>
        <w:lastRenderedPageBreak/>
        <w:t>•</w:t>
      </w:r>
      <w:r w:rsidRPr="004A0BF8">
        <w:rPr>
          <w:lang w:val="fr-FR"/>
        </w:rPr>
        <w:tab/>
        <w:t>En outre, des accords pratiques régionaux et sous-régionaux (par exemple, l</w:t>
      </w:r>
      <w:r>
        <w:rPr>
          <w:lang w:val="fr-FR"/>
        </w:rPr>
        <w:t>’</w:t>
      </w:r>
      <w:r w:rsidRPr="004A0BF8">
        <w:rPr>
          <w:lang w:val="fr-FR"/>
        </w:rPr>
        <w:t>accord international de transport routier entre les États membres de l</w:t>
      </w:r>
      <w:r>
        <w:rPr>
          <w:lang w:val="fr-FR"/>
        </w:rPr>
        <w:t>’</w:t>
      </w:r>
      <w:r w:rsidRPr="004A0BF8">
        <w:rPr>
          <w:lang w:val="fr-FR"/>
        </w:rPr>
        <w:t>Organisation de Shanghai pour la coopération et l</w:t>
      </w:r>
      <w:r>
        <w:rPr>
          <w:lang w:val="fr-FR"/>
        </w:rPr>
        <w:t>’</w:t>
      </w:r>
      <w:r w:rsidRPr="004A0BF8">
        <w:rPr>
          <w:lang w:val="fr-FR"/>
        </w:rPr>
        <w:t>accord sur les véhicules automobiles conclu entre le Bangladesh, le Bhoutan, l</w:t>
      </w:r>
      <w:r>
        <w:rPr>
          <w:lang w:val="fr-FR"/>
        </w:rPr>
        <w:t>’</w:t>
      </w:r>
      <w:r w:rsidRPr="004A0BF8">
        <w:rPr>
          <w:lang w:val="fr-FR"/>
        </w:rPr>
        <w:t>Inde et le Népal) ouvrent les frontières et les routes intérieures au transport international et facilitent l</w:t>
      </w:r>
      <w:r>
        <w:rPr>
          <w:lang w:val="fr-FR"/>
        </w:rPr>
        <w:t>’</w:t>
      </w:r>
      <w:r w:rsidRPr="004A0BF8">
        <w:rPr>
          <w:lang w:val="fr-FR"/>
        </w:rPr>
        <w:t>application des instruments juridiques des Nations Unies sous la responsabilité du CTI et de ses organes subsidiaires.</w:t>
      </w:r>
    </w:p>
    <w:p w:rsidR="00512C2D" w:rsidRPr="002E40B1" w:rsidRDefault="00512C2D" w:rsidP="00512C2D">
      <w:pPr>
        <w:pStyle w:val="SingleTxtG"/>
        <w:spacing w:after="100"/>
        <w:rPr>
          <w:lang w:val="fr-FR"/>
        </w:rPr>
      </w:pPr>
      <w:r w:rsidRPr="002E40B1">
        <w:rPr>
          <w:lang w:val="fr-FR"/>
        </w:rPr>
        <w:t>5.</w:t>
      </w:r>
      <w:r w:rsidRPr="002E40B1">
        <w:rPr>
          <w:lang w:val="fr-FR"/>
        </w:rPr>
        <w:tab/>
        <w:t>Pour l</w:t>
      </w:r>
      <w:r>
        <w:rPr>
          <w:lang w:val="fr-FR"/>
        </w:rPr>
        <w:t>’</w:t>
      </w:r>
      <w:r w:rsidRPr="002E40B1">
        <w:rPr>
          <w:lang w:val="fr-FR"/>
        </w:rPr>
        <w:t>adaptation aux changements et au</w:t>
      </w:r>
      <w:r>
        <w:rPr>
          <w:lang w:val="fr-FR"/>
        </w:rPr>
        <w:t>x</w:t>
      </w:r>
      <w:r w:rsidRPr="002E40B1">
        <w:rPr>
          <w:lang w:val="fr-FR"/>
        </w:rPr>
        <w:t xml:space="preserve"> leviers d</w:t>
      </w:r>
      <w:r>
        <w:rPr>
          <w:lang w:val="fr-FR"/>
        </w:rPr>
        <w:t>’</w:t>
      </w:r>
      <w:r w:rsidRPr="002E40B1">
        <w:rPr>
          <w:lang w:val="fr-FR"/>
        </w:rPr>
        <w:t>action mentionnés ci-dessus, de nouvelles façons de déterminer les formes les plus appropriées de gouvernance et de réglementation dans le secteur des transports s</w:t>
      </w:r>
      <w:r>
        <w:rPr>
          <w:lang w:val="fr-FR"/>
        </w:rPr>
        <w:t>’</w:t>
      </w:r>
      <w:r w:rsidRPr="002E40B1">
        <w:rPr>
          <w:lang w:val="fr-FR"/>
        </w:rPr>
        <w:t>imposent. En l</w:t>
      </w:r>
      <w:r>
        <w:rPr>
          <w:lang w:val="fr-FR"/>
        </w:rPr>
        <w:t>’</w:t>
      </w:r>
      <w:r w:rsidRPr="002E40B1">
        <w:rPr>
          <w:lang w:val="fr-FR"/>
        </w:rPr>
        <w:t>absence d</w:t>
      </w:r>
      <w:r>
        <w:rPr>
          <w:lang w:val="fr-FR"/>
        </w:rPr>
        <w:t>’</w:t>
      </w:r>
      <w:r w:rsidRPr="002E40B1">
        <w:rPr>
          <w:lang w:val="fr-FR"/>
        </w:rPr>
        <w:t>une organisation des transports intérieurs à l</w:t>
      </w:r>
      <w:r>
        <w:rPr>
          <w:lang w:val="fr-FR"/>
        </w:rPr>
        <w:t>’</w:t>
      </w:r>
      <w:r w:rsidRPr="002E40B1">
        <w:rPr>
          <w:lang w:val="fr-FR"/>
        </w:rPr>
        <w:t>échelle mondiale, les grandes organisations s</w:t>
      </w:r>
      <w:r>
        <w:rPr>
          <w:lang w:val="fr-FR"/>
        </w:rPr>
        <w:t>’</w:t>
      </w:r>
      <w:r w:rsidRPr="002E40B1">
        <w:rPr>
          <w:lang w:val="fr-FR"/>
        </w:rPr>
        <w:t>occupant des questions de transport se repositionnent de façon à mieux relever les défis à venir. Il est donc d</w:t>
      </w:r>
      <w:r>
        <w:rPr>
          <w:lang w:val="fr-FR"/>
        </w:rPr>
        <w:t>’</w:t>
      </w:r>
      <w:r w:rsidRPr="002E40B1">
        <w:rPr>
          <w:lang w:val="fr-FR"/>
        </w:rPr>
        <w:t>autant plus indispensable de veiller à ce que les transports intérieurs soient traités de manière globale, en tant que troisième pilier du transport durable, à côté et au même titre que le transport aérien, qui est servi par l</w:t>
      </w:r>
      <w:r>
        <w:rPr>
          <w:lang w:val="fr-FR"/>
        </w:rPr>
        <w:t>’</w:t>
      </w:r>
      <w:r w:rsidRPr="002E40B1">
        <w:rPr>
          <w:lang w:val="fr-FR"/>
        </w:rPr>
        <w:t>Organisation de l</w:t>
      </w:r>
      <w:r>
        <w:rPr>
          <w:lang w:val="fr-FR"/>
        </w:rPr>
        <w:t>’</w:t>
      </w:r>
      <w:r w:rsidRPr="002E40B1">
        <w:rPr>
          <w:lang w:val="fr-FR"/>
        </w:rPr>
        <w:t>aviation civile internationale (OACI) et le transport par voie maritime, qui est servi par l</w:t>
      </w:r>
      <w:r>
        <w:rPr>
          <w:lang w:val="fr-FR"/>
        </w:rPr>
        <w:t>’</w:t>
      </w:r>
      <w:r w:rsidRPr="002E40B1">
        <w:rPr>
          <w:lang w:val="fr-FR"/>
        </w:rPr>
        <w:t>Organisation maritime internationale (OMI). L</w:t>
      </w:r>
      <w:r>
        <w:rPr>
          <w:lang w:val="fr-FR"/>
        </w:rPr>
        <w:t>’</w:t>
      </w:r>
      <w:r w:rsidRPr="002E40B1">
        <w:rPr>
          <w:lang w:val="fr-FR"/>
        </w:rPr>
        <w:t>exemple récent d</w:t>
      </w:r>
      <w:r>
        <w:rPr>
          <w:lang w:val="fr-FR"/>
        </w:rPr>
        <w:t>’</w:t>
      </w:r>
      <w:r w:rsidRPr="002E40B1">
        <w:rPr>
          <w:lang w:val="fr-FR"/>
        </w:rPr>
        <w:t>une étude qui, comme des propositions antérieures similaires, préconisait la création d</w:t>
      </w:r>
      <w:r>
        <w:rPr>
          <w:lang w:val="fr-FR"/>
        </w:rPr>
        <w:t>’</w:t>
      </w:r>
      <w:r w:rsidRPr="002E40B1">
        <w:rPr>
          <w:lang w:val="fr-FR"/>
        </w:rPr>
        <w:t>une organisation mondiale du transport routier, qui n</w:t>
      </w:r>
      <w:r>
        <w:rPr>
          <w:lang w:val="fr-FR"/>
        </w:rPr>
        <w:t>’</w:t>
      </w:r>
      <w:r w:rsidRPr="002E40B1">
        <w:rPr>
          <w:lang w:val="fr-FR"/>
        </w:rPr>
        <w:t>est qu</w:t>
      </w:r>
      <w:r>
        <w:rPr>
          <w:lang w:val="fr-FR"/>
        </w:rPr>
        <w:t>’</w:t>
      </w:r>
      <w:r w:rsidRPr="002E40B1">
        <w:rPr>
          <w:lang w:val="fr-FR"/>
        </w:rPr>
        <w:t>un mode de transport intérieur parmi d</w:t>
      </w:r>
      <w:r>
        <w:rPr>
          <w:lang w:val="fr-FR"/>
        </w:rPr>
        <w:t>’</w:t>
      </w:r>
      <w:r w:rsidRPr="002E40B1">
        <w:rPr>
          <w:lang w:val="fr-FR"/>
        </w:rPr>
        <w:t>autres, est emblématique du risque de fragmentation institutionnelle qui plane sur les transports intérieurs et de la nécessité qu</w:t>
      </w:r>
      <w:r>
        <w:rPr>
          <w:lang w:val="fr-FR"/>
        </w:rPr>
        <w:t>’</w:t>
      </w:r>
      <w:r w:rsidRPr="002E40B1">
        <w:rPr>
          <w:lang w:val="fr-FR"/>
        </w:rPr>
        <w:t xml:space="preserve">il y a à élaborer un régime réglementaire global et une architecture institutionnelle appropriée offrant un appui intergouvernemental intégré à tous les modes de transport intérieur. </w:t>
      </w:r>
    </w:p>
    <w:p w:rsidR="00512C2D" w:rsidRPr="00FA5F56" w:rsidRDefault="00512C2D" w:rsidP="00512C2D">
      <w:pPr>
        <w:pStyle w:val="SingleTxtG"/>
        <w:spacing w:after="100"/>
        <w:rPr>
          <w:lang w:val="fr-FR"/>
        </w:rPr>
      </w:pPr>
      <w:r w:rsidRPr="002E40B1">
        <w:rPr>
          <w:lang w:val="fr-FR"/>
        </w:rPr>
        <w:t>6.</w:t>
      </w:r>
      <w:r w:rsidRPr="002E40B1">
        <w:rPr>
          <w:lang w:val="fr-FR"/>
        </w:rPr>
        <w:tab/>
        <w:t>Enfin, si l</w:t>
      </w:r>
      <w:r>
        <w:rPr>
          <w:lang w:val="fr-FR"/>
        </w:rPr>
        <w:t>’</w:t>
      </w:r>
      <w:r w:rsidRPr="002E40B1">
        <w:rPr>
          <w:lang w:val="fr-FR"/>
        </w:rPr>
        <w:t>on veut relever les défis susmentionnés, il est nécessaire, compte tenu des caractéristiques de l</w:t>
      </w:r>
      <w:r>
        <w:rPr>
          <w:lang w:val="fr-FR"/>
        </w:rPr>
        <w:t>’</w:t>
      </w:r>
      <w:r w:rsidRPr="002E40B1">
        <w:rPr>
          <w:lang w:val="fr-FR"/>
        </w:rPr>
        <w:t>architecture institutionnelle des transports ainsi que de la nécessité d</w:t>
      </w:r>
      <w:r>
        <w:rPr>
          <w:lang w:val="fr-FR"/>
        </w:rPr>
        <w:t>’</w:t>
      </w:r>
      <w:r w:rsidRPr="002E40B1">
        <w:rPr>
          <w:lang w:val="fr-FR"/>
        </w:rPr>
        <w:t>un renforcement de la coordination et de l</w:t>
      </w:r>
      <w:r>
        <w:rPr>
          <w:lang w:val="fr-FR"/>
        </w:rPr>
        <w:t>’</w:t>
      </w:r>
      <w:r w:rsidRPr="002E40B1">
        <w:rPr>
          <w:lang w:val="fr-FR"/>
        </w:rPr>
        <w:t>harmonisation à l</w:t>
      </w:r>
      <w:r>
        <w:rPr>
          <w:lang w:val="fr-FR"/>
        </w:rPr>
        <w:t>’</w:t>
      </w:r>
      <w:r w:rsidRPr="002E40B1">
        <w:rPr>
          <w:lang w:val="fr-FR"/>
        </w:rPr>
        <w:t>échelon mondial, de mener une analyse attentive afin de déterminer comment le CTI pourra à l</w:t>
      </w:r>
      <w:r>
        <w:rPr>
          <w:lang w:val="fr-FR"/>
        </w:rPr>
        <w:t>’</w:t>
      </w:r>
      <w:r w:rsidRPr="002E40B1">
        <w:rPr>
          <w:lang w:val="fr-FR"/>
        </w:rPr>
        <w:t>avenir jouer le rôle le plus efficace. L</w:t>
      </w:r>
      <w:r>
        <w:rPr>
          <w:lang w:val="fr-FR"/>
        </w:rPr>
        <w:t>’</w:t>
      </w:r>
      <w:r w:rsidRPr="002E40B1">
        <w:rPr>
          <w:lang w:val="fr-FR"/>
        </w:rPr>
        <w:t>une des caractéristiques de cette architecture est l</w:t>
      </w:r>
      <w:r>
        <w:rPr>
          <w:lang w:val="fr-FR"/>
        </w:rPr>
        <w:t>’</w:t>
      </w:r>
      <w:r w:rsidRPr="002E40B1">
        <w:rPr>
          <w:lang w:val="fr-FR"/>
        </w:rPr>
        <w:t>absence d</w:t>
      </w:r>
      <w:r>
        <w:rPr>
          <w:lang w:val="fr-FR"/>
        </w:rPr>
        <w:t>’</w:t>
      </w:r>
      <w:r w:rsidRPr="002E40B1">
        <w:rPr>
          <w:lang w:val="fr-FR"/>
        </w:rPr>
        <w:t>une coordination mondiale adéquate dans certains domaines des transports intérieurs, à laquelle il faut remédier. Afin d</w:t>
      </w:r>
      <w:r>
        <w:rPr>
          <w:lang w:val="fr-FR"/>
        </w:rPr>
        <w:t>’</w:t>
      </w:r>
      <w:r w:rsidRPr="002E40B1">
        <w:rPr>
          <w:lang w:val="fr-FR"/>
        </w:rPr>
        <w:t>améliorer la coordination et l</w:t>
      </w:r>
      <w:r>
        <w:rPr>
          <w:lang w:val="fr-FR"/>
        </w:rPr>
        <w:t>’</w:t>
      </w:r>
      <w:r w:rsidRPr="002E40B1">
        <w:rPr>
          <w:lang w:val="fr-FR"/>
        </w:rPr>
        <w:t>harmonisation dans le domaine des transports intérieurs, le CTI devra peut-être continuer d</w:t>
      </w:r>
      <w:r>
        <w:rPr>
          <w:lang w:val="fr-FR"/>
        </w:rPr>
        <w:t>’</w:t>
      </w:r>
      <w:r w:rsidRPr="002E40B1">
        <w:rPr>
          <w:lang w:val="fr-FR"/>
        </w:rPr>
        <w:t>intensifier les efforts déployés en vue du développement des instruments juridiques relevant de sa compétence et de l</w:t>
      </w:r>
      <w:r>
        <w:rPr>
          <w:lang w:val="fr-FR"/>
        </w:rPr>
        <w:t>’</w:t>
      </w:r>
      <w:r w:rsidRPr="002E40B1">
        <w:rPr>
          <w:lang w:val="fr-FR"/>
        </w:rPr>
        <w:t>adhésion à ces instruments, ce qui pourrait donner lieu à des situations nouvelles dans la mise en œuvre des instruments juridiques.</w:t>
      </w:r>
    </w:p>
    <w:p w:rsidR="00512C2D" w:rsidRPr="00366FB0" w:rsidRDefault="00512C2D" w:rsidP="00512C2D">
      <w:pPr>
        <w:pStyle w:val="HChG"/>
        <w:rPr>
          <w:lang w:val="fr-FR"/>
        </w:rPr>
      </w:pPr>
      <w:r>
        <w:rPr>
          <w:lang w:val="fr-FR"/>
        </w:rPr>
        <w:tab/>
      </w:r>
      <w:r w:rsidRPr="00366FB0">
        <w:rPr>
          <w:lang w:val="fr-FR"/>
        </w:rPr>
        <w:t>III.</w:t>
      </w:r>
      <w:r w:rsidRPr="00366FB0">
        <w:rPr>
          <w:lang w:val="fr-FR"/>
        </w:rPr>
        <w:tab/>
        <w:t xml:space="preserve">Le rôle essentiel du Comité des transports intérieurs </w:t>
      </w:r>
      <w:r>
        <w:rPr>
          <w:lang w:val="fr-FR"/>
        </w:rPr>
        <w:br/>
        <w:t xml:space="preserve">face aux </w:t>
      </w:r>
      <w:r w:rsidRPr="00366FB0">
        <w:rPr>
          <w:lang w:val="fr-FR"/>
        </w:rPr>
        <w:t xml:space="preserve">défis et </w:t>
      </w:r>
      <w:r>
        <w:rPr>
          <w:lang w:val="fr-FR"/>
        </w:rPr>
        <w:t xml:space="preserve">dans la </w:t>
      </w:r>
      <w:r w:rsidRPr="00366FB0">
        <w:rPr>
          <w:lang w:val="fr-FR"/>
        </w:rPr>
        <w:t>recherche</w:t>
      </w:r>
      <w:r>
        <w:rPr>
          <w:lang w:val="fr-FR"/>
        </w:rPr>
        <w:t xml:space="preserve"> de</w:t>
      </w:r>
      <w:r w:rsidRPr="00366FB0">
        <w:rPr>
          <w:lang w:val="fr-FR"/>
        </w:rPr>
        <w:t xml:space="preserve"> solutions</w:t>
      </w:r>
    </w:p>
    <w:p w:rsidR="00512C2D" w:rsidRPr="00366FB0" w:rsidRDefault="00512C2D" w:rsidP="00512C2D">
      <w:pPr>
        <w:pStyle w:val="SingleTxtG"/>
        <w:spacing w:after="100" w:line="238" w:lineRule="atLeast"/>
        <w:rPr>
          <w:lang w:val="fr-FR"/>
        </w:rPr>
      </w:pPr>
      <w:r w:rsidRPr="00366FB0">
        <w:rPr>
          <w:lang w:val="fr-FR"/>
        </w:rPr>
        <w:t>7.</w:t>
      </w:r>
      <w:r w:rsidRPr="00366FB0">
        <w:rPr>
          <w:lang w:val="fr-FR"/>
        </w:rPr>
        <w:tab/>
      </w:r>
      <w:r>
        <w:rPr>
          <w:lang w:val="fr-FR"/>
        </w:rPr>
        <w:t xml:space="preserve">Le </w:t>
      </w:r>
      <w:r w:rsidRPr="00366FB0">
        <w:rPr>
          <w:lang w:val="fr-FR"/>
        </w:rPr>
        <w:t>CTI (</w:t>
      </w:r>
      <w:r>
        <w:rPr>
          <w:lang w:val="fr-FR"/>
        </w:rPr>
        <w:t xml:space="preserve">c’est-à-dire </w:t>
      </w:r>
      <w:r w:rsidRPr="00366FB0">
        <w:rPr>
          <w:lang w:val="fr-FR"/>
        </w:rPr>
        <w:t xml:space="preserve">le CTI lui-même </w:t>
      </w:r>
      <w:r>
        <w:rPr>
          <w:lang w:val="fr-FR"/>
        </w:rPr>
        <w:t>et</w:t>
      </w:r>
      <w:r w:rsidRPr="00366FB0">
        <w:rPr>
          <w:lang w:val="fr-FR"/>
        </w:rPr>
        <w:t xml:space="preserve"> ses organes subsidiaires)</w:t>
      </w:r>
      <w:r>
        <w:rPr>
          <w:lang w:val="fr-FR"/>
        </w:rPr>
        <w:t xml:space="preserve"> possède de sérieux atouts. Pour des raisons </w:t>
      </w:r>
      <w:r w:rsidRPr="00366FB0">
        <w:rPr>
          <w:lang w:val="fr-FR"/>
        </w:rPr>
        <w:t>historiques, l</w:t>
      </w:r>
      <w:r>
        <w:rPr>
          <w:lang w:val="fr-FR"/>
        </w:rPr>
        <w:t>e Comité</w:t>
      </w:r>
      <w:r w:rsidRPr="00366FB0">
        <w:rPr>
          <w:lang w:val="fr-FR"/>
        </w:rPr>
        <w:t xml:space="preserve"> est le dépositaire des conventions mondiales et régionales sur les transports qui constituent le fondement de la gouvernance réglementaire pour la viabilité des transports intérieurs et de la mobilité</w:t>
      </w:r>
      <w:r>
        <w:rPr>
          <w:lang w:val="fr-FR"/>
        </w:rPr>
        <w:t>.</w:t>
      </w:r>
      <w:r w:rsidRPr="00366FB0">
        <w:rPr>
          <w:lang w:val="fr-FR"/>
        </w:rPr>
        <w:t xml:space="preserve"> Plus de la moitié des conventions dont </w:t>
      </w:r>
      <w:r>
        <w:rPr>
          <w:lang w:val="fr-FR"/>
        </w:rPr>
        <w:t xml:space="preserve">il s’occupe </w:t>
      </w:r>
      <w:r w:rsidRPr="00366FB0">
        <w:rPr>
          <w:lang w:val="fr-FR"/>
        </w:rPr>
        <w:t>ont des Parties contractantes qui ne sont pas membres de la CEE. En fait, sur les 193 États Membres de l</w:t>
      </w:r>
      <w:r>
        <w:rPr>
          <w:lang w:val="fr-FR"/>
        </w:rPr>
        <w:t>’</w:t>
      </w:r>
      <w:r w:rsidRPr="00366FB0">
        <w:rPr>
          <w:lang w:val="fr-FR"/>
        </w:rPr>
        <w:t>ONU, 146 (soit 76</w:t>
      </w:r>
      <w:r>
        <w:rPr>
          <w:lang w:val="fr-FR"/>
        </w:rPr>
        <w:t> %</w:t>
      </w:r>
      <w:r w:rsidRPr="00366FB0">
        <w:rPr>
          <w:lang w:val="fr-FR"/>
        </w:rPr>
        <w:t xml:space="preserve">) sont Parties contractantes à au moins un instrument juridique relatif aux transports intérieurs, un chiffre auquel il </w:t>
      </w:r>
      <w:r>
        <w:rPr>
          <w:lang w:val="fr-FR"/>
        </w:rPr>
        <w:t>convient d’</w:t>
      </w:r>
      <w:r w:rsidRPr="00366FB0">
        <w:rPr>
          <w:lang w:val="fr-FR"/>
        </w:rPr>
        <w:t xml:space="preserve">ajouter deux </w:t>
      </w:r>
      <w:r>
        <w:rPr>
          <w:lang w:val="fr-FR"/>
        </w:rPr>
        <w:t>O</w:t>
      </w:r>
      <w:r w:rsidRPr="00366FB0">
        <w:rPr>
          <w:lang w:val="fr-FR"/>
        </w:rPr>
        <w:t>bservateurs permanents auprès de l</w:t>
      </w:r>
      <w:r>
        <w:rPr>
          <w:lang w:val="fr-FR"/>
        </w:rPr>
        <w:t>’</w:t>
      </w:r>
      <w:r w:rsidRPr="00366FB0">
        <w:rPr>
          <w:lang w:val="fr-FR"/>
        </w:rPr>
        <w:t>ONU et une Partie contractante non étatique. Parmi ces États Membres de l</w:t>
      </w:r>
      <w:r>
        <w:rPr>
          <w:lang w:val="fr-FR"/>
        </w:rPr>
        <w:t>’</w:t>
      </w:r>
      <w:r w:rsidRPr="00366FB0">
        <w:rPr>
          <w:lang w:val="fr-FR"/>
        </w:rPr>
        <w:t>ONU qui sont Parties contractantes, 9</w:t>
      </w:r>
      <w:r>
        <w:rPr>
          <w:lang w:val="fr-FR"/>
        </w:rPr>
        <w:t>0</w:t>
      </w:r>
      <w:r w:rsidRPr="00366FB0">
        <w:rPr>
          <w:lang w:val="fr-FR"/>
        </w:rPr>
        <w:t xml:space="preserve"> (soit 62</w:t>
      </w:r>
      <w:r>
        <w:rPr>
          <w:lang w:val="fr-FR"/>
        </w:rPr>
        <w:t> %</w:t>
      </w:r>
      <w:r w:rsidRPr="00366FB0">
        <w:rPr>
          <w:lang w:val="fr-FR"/>
        </w:rPr>
        <w:t>) ne sont pas membres de la CEE.</w:t>
      </w:r>
    </w:p>
    <w:p w:rsidR="00512C2D" w:rsidRPr="00366FB0" w:rsidRDefault="00512C2D" w:rsidP="00512C2D">
      <w:pPr>
        <w:pStyle w:val="SingleTxtG"/>
        <w:keepNext/>
        <w:spacing w:after="100" w:line="238" w:lineRule="atLeast"/>
        <w:rPr>
          <w:lang w:val="fr-FR"/>
        </w:rPr>
      </w:pPr>
      <w:r w:rsidRPr="00366FB0">
        <w:rPr>
          <w:lang w:val="fr-FR"/>
        </w:rPr>
        <w:t>8.</w:t>
      </w:r>
      <w:r w:rsidRPr="00366FB0">
        <w:rPr>
          <w:lang w:val="fr-FR"/>
        </w:rPr>
        <w:tab/>
        <w:t xml:space="preserve">Dans le cadre de ses travaux, le CTI </w:t>
      </w:r>
      <w:r>
        <w:rPr>
          <w:lang w:val="fr-FR"/>
        </w:rPr>
        <w:t>(</w:t>
      </w:r>
      <w:r w:rsidRPr="00366FB0">
        <w:rPr>
          <w:lang w:val="fr-FR"/>
        </w:rPr>
        <w:t xml:space="preserve">et le sous-programme </w:t>
      </w:r>
      <w:r>
        <w:rPr>
          <w:lang w:val="fr-FR"/>
        </w:rPr>
        <w:t>« </w:t>
      </w:r>
      <w:r w:rsidRPr="00366FB0">
        <w:rPr>
          <w:lang w:val="fr-FR"/>
        </w:rPr>
        <w:t>Transports</w:t>
      </w:r>
      <w:r>
        <w:rPr>
          <w:lang w:val="fr-FR"/>
        </w:rPr>
        <w:t> ») :</w:t>
      </w:r>
      <w:r w:rsidRPr="00366FB0">
        <w:rPr>
          <w:lang w:val="fr-FR"/>
        </w:rPr>
        <w:t xml:space="preserve"> </w:t>
      </w:r>
      <w:bookmarkStart w:id="16" w:name="_Hlk509215161"/>
      <w:bookmarkEnd w:id="16"/>
    </w:p>
    <w:p w:rsidR="00512C2D" w:rsidRPr="00366FB0" w:rsidRDefault="00512C2D" w:rsidP="00512C2D">
      <w:pPr>
        <w:pStyle w:val="Bullet1G"/>
        <w:numPr>
          <w:ilvl w:val="0"/>
          <w:numId w:val="0"/>
        </w:numPr>
        <w:tabs>
          <w:tab w:val="left" w:pos="1701"/>
        </w:tabs>
        <w:kinsoku/>
        <w:overflowPunct/>
        <w:autoSpaceDE/>
        <w:autoSpaceDN/>
        <w:adjustRightInd/>
        <w:snapToGrid/>
        <w:spacing w:after="100" w:line="238" w:lineRule="atLeast"/>
        <w:ind w:left="1701" w:hanging="170"/>
        <w:rPr>
          <w:lang w:val="fr-FR"/>
        </w:rPr>
      </w:pPr>
      <w:r w:rsidRPr="00366FB0">
        <w:rPr>
          <w:lang w:val="fr-FR"/>
        </w:rPr>
        <w:t>•</w:t>
      </w:r>
      <w:r w:rsidRPr="00366FB0">
        <w:rPr>
          <w:lang w:val="fr-FR"/>
        </w:rPr>
        <w:tab/>
        <w:t xml:space="preserve">Est devenu </w:t>
      </w:r>
      <w:r>
        <w:rPr>
          <w:lang w:val="fr-FR"/>
        </w:rPr>
        <w:t>incontournable en ce qui concerne les</w:t>
      </w:r>
      <w:r w:rsidRPr="00366FB0">
        <w:rPr>
          <w:lang w:val="fr-FR"/>
        </w:rPr>
        <w:t xml:space="preserve"> instruments juridiques multilatéraux intéressant les transports intérieur</w:t>
      </w:r>
      <w:r>
        <w:rPr>
          <w:lang w:val="fr-FR"/>
        </w:rPr>
        <w:t>s</w:t>
      </w:r>
      <w:r w:rsidRPr="00366FB0">
        <w:rPr>
          <w:lang w:val="fr-FR"/>
        </w:rPr>
        <w:t xml:space="preserve"> </w:t>
      </w:r>
      <w:r>
        <w:rPr>
          <w:lang w:val="fr-FR"/>
        </w:rPr>
        <w:t>pour :</w:t>
      </w:r>
      <w:r w:rsidRPr="00366FB0">
        <w:rPr>
          <w:lang w:val="fr-FR"/>
        </w:rPr>
        <w:t xml:space="preserve"> la réglementation de la construction des véhicules routiers et les règles de contrôle périodique à l</w:t>
      </w:r>
      <w:r>
        <w:rPr>
          <w:lang w:val="fr-FR"/>
        </w:rPr>
        <w:t>’</w:t>
      </w:r>
      <w:r w:rsidRPr="00366FB0">
        <w:rPr>
          <w:lang w:val="fr-FR"/>
        </w:rPr>
        <w:t>échelle mondiale</w:t>
      </w:r>
      <w:r>
        <w:rPr>
          <w:lang w:val="fr-FR"/>
        </w:rPr>
        <w:t> ;</w:t>
      </w:r>
      <w:r w:rsidRPr="00366FB0">
        <w:rPr>
          <w:lang w:val="fr-FR"/>
        </w:rPr>
        <w:t xml:space="preserve"> l</w:t>
      </w:r>
      <w:r>
        <w:rPr>
          <w:lang w:val="fr-FR"/>
        </w:rPr>
        <w:t>’</w:t>
      </w:r>
      <w:r w:rsidRPr="00366FB0">
        <w:rPr>
          <w:lang w:val="fr-FR"/>
        </w:rPr>
        <w:t>uniformisation des règles de circulation et de la signalisation routières pour l</w:t>
      </w:r>
      <w:r>
        <w:rPr>
          <w:lang w:val="fr-FR"/>
        </w:rPr>
        <w:t>’</w:t>
      </w:r>
      <w:r w:rsidRPr="00366FB0">
        <w:rPr>
          <w:lang w:val="fr-FR"/>
        </w:rPr>
        <w:t>ensemble de la planète</w:t>
      </w:r>
      <w:r>
        <w:rPr>
          <w:lang w:val="fr-FR"/>
        </w:rPr>
        <w:t> ;</w:t>
      </w:r>
      <w:r w:rsidRPr="00366FB0">
        <w:rPr>
          <w:lang w:val="fr-FR"/>
        </w:rPr>
        <w:t xml:space="preserve"> les prescriptions relatives au transport de marchandises dangereuses à l</w:t>
      </w:r>
      <w:r>
        <w:rPr>
          <w:lang w:val="fr-FR"/>
        </w:rPr>
        <w:t>’</w:t>
      </w:r>
      <w:r w:rsidRPr="00366FB0">
        <w:rPr>
          <w:lang w:val="fr-FR"/>
        </w:rPr>
        <w:t>échelle mondiale</w:t>
      </w:r>
      <w:r>
        <w:rPr>
          <w:lang w:val="fr-FR"/>
        </w:rPr>
        <w:t> ;</w:t>
      </w:r>
      <w:r w:rsidRPr="00366FB0">
        <w:rPr>
          <w:lang w:val="fr-FR"/>
        </w:rPr>
        <w:t xml:space="preserve"> la mise en place de réseaux d</w:t>
      </w:r>
      <w:r>
        <w:rPr>
          <w:lang w:val="fr-FR"/>
        </w:rPr>
        <w:t>’</w:t>
      </w:r>
      <w:r w:rsidRPr="00366FB0">
        <w:rPr>
          <w:lang w:val="fr-FR"/>
        </w:rPr>
        <w:t>infrastructures régionaux cohérents</w:t>
      </w:r>
      <w:r>
        <w:rPr>
          <w:lang w:val="fr-FR"/>
        </w:rPr>
        <w:t> ;</w:t>
      </w:r>
      <w:r w:rsidRPr="00366FB0">
        <w:rPr>
          <w:lang w:val="fr-FR"/>
        </w:rPr>
        <w:t xml:space="preserve"> l</w:t>
      </w:r>
      <w:r>
        <w:rPr>
          <w:lang w:val="fr-FR"/>
        </w:rPr>
        <w:t>’</w:t>
      </w:r>
      <w:r w:rsidRPr="00366FB0">
        <w:rPr>
          <w:lang w:val="fr-FR"/>
        </w:rPr>
        <w:t>harmonisation et la simplification des procédures de franchissement des frontières</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lastRenderedPageBreak/>
        <w:t>•</w:t>
      </w:r>
      <w:r w:rsidRPr="00366FB0">
        <w:rPr>
          <w:lang w:val="fr-FR"/>
        </w:rPr>
        <w:tab/>
      </w:r>
      <w:r>
        <w:rPr>
          <w:lang w:val="fr-FR"/>
        </w:rPr>
        <w:t>Facilite les</w:t>
      </w:r>
      <w:r w:rsidRPr="00366FB0">
        <w:rPr>
          <w:lang w:val="fr-FR"/>
        </w:rPr>
        <w:t xml:space="preserve"> synergies et l</w:t>
      </w:r>
      <w:r>
        <w:rPr>
          <w:lang w:val="fr-FR"/>
        </w:rPr>
        <w:t>’</w:t>
      </w:r>
      <w:r w:rsidRPr="00366FB0">
        <w:rPr>
          <w:lang w:val="fr-FR"/>
        </w:rPr>
        <w:t>intégration de tous les modes de transport intérieur en assurant un niveau élevé d</w:t>
      </w:r>
      <w:r>
        <w:rPr>
          <w:lang w:val="fr-FR"/>
        </w:rPr>
        <w:t>’</w:t>
      </w:r>
      <w:r w:rsidRPr="00366FB0">
        <w:rPr>
          <w:lang w:val="fr-FR"/>
        </w:rPr>
        <w:t>efficacité, de sécurité et de performance environnementale pour le transport international par route, par rail et par voies navigables intérieures, ainsi que pour le transport intermodal</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r>
      <w:r>
        <w:rPr>
          <w:lang w:val="fr-FR"/>
        </w:rPr>
        <w:t>Favorise</w:t>
      </w:r>
      <w:r w:rsidRPr="00366FB0">
        <w:rPr>
          <w:lang w:val="fr-FR"/>
        </w:rPr>
        <w:t xml:space="preserve"> une mobilité sûre aux niveaux régional et mondial </w:t>
      </w:r>
      <w:r>
        <w:rPr>
          <w:lang w:val="fr-FR"/>
        </w:rPr>
        <w:t>grâce :</w:t>
      </w:r>
      <w:r w:rsidRPr="00366FB0">
        <w:rPr>
          <w:lang w:val="fr-FR"/>
        </w:rPr>
        <w:t xml:space="preserve"> </w:t>
      </w:r>
      <w:r>
        <w:rPr>
          <w:lang w:val="fr-FR"/>
        </w:rPr>
        <w:t xml:space="preserve">à </w:t>
      </w:r>
      <w:r w:rsidRPr="00366FB0">
        <w:rPr>
          <w:lang w:val="fr-FR"/>
        </w:rPr>
        <w:t>l</w:t>
      </w:r>
      <w:r>
        <w:rPr>
          <w:lang w:val="fr-FR"/>
        </w:rPr>
        <w:t>’</w:t>
      </w:r>
      <w:r w:rsidRPr="00366FB0">
        <w:rPr>
          <w:lang w:val="fr-FR"/>
        </w:rPr>
        <w:t>harmonisation des règles et de la signalisation routières</w:t>
      </w:r>
      <w:r>
        <w:rPr>
          <w:lang w:val="fr-FR"/>
        </w:rPr>
        <w:t> ;</w:t>
      </w:r>
      <w:r w:rsidRPr="00366FB0">
        <w:rPr>
          <w:lang w:val="fr-FR"/>
        </w:rPr>
        <w:t xml:space="preserve"> </w:t>
      </w:r>
      <w:r>
        <w:rPr>
          <w:lang w:val="fr-FR"/>
        </w:rPr>
        <w:t xml:space="preserve">à </w:t>
      </w:r>
      <w:r w:rsidRPr="00366FB0">
        <w:rPr>
          <w:lang w:val="fr-FR"/>
        </w:rPr>
        <w:t>la réglementation de la construction des véhicules routiers et du contrôle périodique</w:t>
      </w:r>
      <w:r>
        <w:rPr>
          <w:lang w:val="fr-FR"/>
        </w:rPr>
        <w:t> ;</w:t>
      </w:r>
      <w:r w:rsidRPr="00366FB0">
        <w:rPr>
          <w:lang w:val="fr-FR"/>
        </w:rPr>
        <w:t xml:space="preserve"> </w:t>
      </w:r>
      <w:r>
        <w:rPr>
          <w:lang w:val="fr-FR"/>
        </w:rPr>
        <w:t>aux</w:t>
      </w:r>
      <w:r w:rsidRPr="00366FB0">
        <w:rPr>
          <w:lang w:val="fr-FR"/>
        </w:rPr>
        <w:t xml:space="preserve"> prescriptions relatives au transport de marchandises dangereuses</w:t>
      </w:r>
      <w:r>
        <w:rPr>
          <w:lang w:val="fr-FR"/>
        </w:rPr>
        <w:t> ;</w:t>
      </w:r>
      <w:r w:rsidRPr="00366FB0">
        <w:rPr>
          <w:lang w:val="fr-FR"/>
        </w:rPr>
        <w:t xml:space="preserve"> </w:t>
      </w:r>
      <w:r>
        <w:rPr>
          <w:lang w:val="fr-FR"/>
        </w:rPr>
        <w:t xml:space="preserve">à </w:t>
      </w:r>
      <w:r w:rsidRPr="00366FB0">
        <w:rPr>
          <w:lang w:val="fr-FR"/>
        </w:rPr>
        <w:t>la facilitation de la prise en compte de la technologie dans les instruments juridiques relatifs à la sécurité routière</w:t>
      </w:r>
      <w:r>
        <w:rPr>
          <w:lang w:val="fr-FR"/>
        </w:rPr>
        <w:t> ;</w:t>
      </w:r>
      <w:r w:rsidRPr="00366FB0">
        <w:rPr>
          <w:lang w:val="fr-FR"/>
        </w:rPr>
        <w:t xml:space="preserve"> </w:t>
      </w:r>
      <w:r>
        <w:rPr>
          <w:lang w:val="fr-FR"/>
        </w:rPr>
        <w:t xml:space="preserve">à </w:t>
      </w:r>
      <w:r w:rsidRPr="00366FB0">
        <w:rPr>
          <w:lang w:val="fr-FR"/>
        </w:rPr>
        <w:t>la promotion de l</w:t>
      </w:r>
      <w:r>
        <w:rPr>
          <w:lang w:val="fr-FR"/>
        </w:rPr>
        <w:t>’</w:t>
      </w:r>
      <w:r w:rsidRPr="00366FB0">
        <w:rPr>
          <w:lang w:val="fr-FR"/>
        </w:rPr>
        <w:t>éducation à la sécurité routière pour tous les types d</w:t>
      </w:r>
      <w:r>
        <w:rPr>
          <w:lang w:val="fr-FR"/>
        </w:rPr>
        <w:t>’</w:t>
      </w:r>
      <w:r w:rsidRPr="00366FB0">
        <w:rPr>
          <w:lang w:val="fr-FR"/>
        </w:rPr>
        <w:t>usagers de la route grâce à l</w:t>
      </w:r>
      <w:r>
        <w:rPr>
          <w:lang w:val="fr-FR"/>
        </w:rPr>
        <w:t>’</w:t>
      </w:r>
      <w:r w:rsidRPr="00366FB0">
        <w:rPr>
          <w:lang w:val="fr-FR"/>
        </w:rPr>
        <w:t>échange des meilleures pratiques</w:t>
      </w:r>
      <w:r>
        <w:rPr>
          <w:lang w:val="fr-FR"/>
        </w:rPr>
        <w:t> ;</w:t>
      </w:r>
      <w:r w:rsidRPr="00366FB0">
        <w:rPr>
          <w:lang w:val="fr-FR"/>
        </w:rPr>
        <w:t xml:space="preserve"> </w:t>
      </w:r>
      <w:r>
        <w:rPr>
          <w:lang w:val="fr-FR"/>
        </w:rPr>
        <w:t>à des</w:t>
      </w:r>
      <w:r w:rsidRPr="00366FB0">
        <w:rPr>
          <w:lang w:val="fr-FR"/>
        </w:rPr>
        <w:t xml:space="preserve"> études de performance en matière de sécurité routière</w:t>
      </w:r>
      <w:r>
        <w:rPr>
          <w:lang w:val="fr-FR"/>
        </w:rPr>
        <w:t> ;</w:t>
      </w:r>
      <w:r w:rsidRPr="00366FB0">
        <w:rPr>
          <w:lang w:val="fr-FR"/>
        </w:rPr>
        <w:t xml:space="preserve"> </w:t>
      </w:r>
      <w:r>
        <w:rPr>
          <w:lang w:val="fr-FR"/>
        </w:rPr>
        <w:t>aux</w:t>
      </w:r>
      <w:r w:rsidRPr="00366FB0">
        <w:rPr>
          <w:lang w:val="fr-FR"/>
        </w:rPr>
        <w:t xml:space="preserve"> statistiques des transports</w:t>
      </w:r>
      <w:r>
        <w:rPr>
          <w:lang w:val="fr-FR"/>
        </w:rPr>
        <w:t> ;</w:t>
      </w:r>
      <w:r w:rsidRPr="00366FB0">
        <w:rPr>
          <w:lang w:val="fr-FR"/>
        </w:rPr>
        <w:t xml:space="preserve"> </w:t>
      </w:r>
      <w:r>
        <w:rPr>
          <w:lang w:val="fr-FR"/>
        </w:rPr>
        <w:t>au</w:t>
      </w:r>
      <w:r w:rsidRPr="00366FB0">
        <w:rPr>
          <w:lang w:val="fr-FR"/>
        </w:rPr>
        <w:t xml:space="preserve"> Code CTU (Code de bonnes pratiques OMI/OIT/CEE pour le chargement des cargaisons dans des engins de transport)</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t>Administre les conventions et accords régionaux relatifs à la route, au rail et à la navigation intérieure</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t>Accélère le rythme de l</w:t>
      </w:r>
      <w:r>
        <w:rPr>
          <w:lang w:val="fr-FR"/>
        </w:rPr>
        <w:t>’</w:t>
      </w:r>
      <w:r w:rsidRPr="00366FB0">
        <w:rPr>
          <w:lang w:val="fr-FR"/>
        </w:rPr>
        <w:t>introduction réussie d</w:t>
      </w:r>
      <w:r>
        <w:rPr>
          <w:lang w:val="fr-FR"/>
        </w:rPr>
        <w:t>’</w:t>
      </w:r>
      <w:r w:rsidRPr="00366FB0">
        <w:rPr>
          <w:lang w:val="fr-FR"/>
        </w:rPr>
        <w:t>innovations en matière d</w:t>
      </w:r>
      <w:r>
        <w:rPr>
          <w:lang w:val="fr-FR"/>
        </w:rPr>
        <w:t>’</w:t>
      </w:r>
      <w:r w:rsidRPr="00366FB0">
        <w:rPr>
          <w:lang w:val="fr-FR"/>
        </w:rPr>
        <w:t>infrastructures, de véhicules, de carburants écologiques et de motorisation électrique, ainsi que de gestion de la mobilité, et rend ainsi la mobilité plus sûre, plus efficace et plus écologique</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r>
      <w:r>
        <w:rPr>
          <w:lang w:val="fr-FR"/>
        </w:rPr>
        <w:t>Favorise</w:t>
      </w:r>
      <w:r w:rsidRPr="00366FB0">
        <w:rPr>
          <w:lang w:val="fr-FR"/>
        </w:rPr>
        <w:t xml:space="preserve"> le commerce mondial et le développement économique par la mise en œuvre et l</w:t>
      </w:r>
      <w:r>
        <w:rPr>
          <w:lang w:val="fr-FR"/>
        </w:rPr>
        <w:t>’</w:t>
      </w:r>
      <w:r w:rsidRPr="00366FB0">
        <w:rPr>
          <w:lang w:val="fr-FR"/>
        </w:rPr>
        <w:t>actualisation des principaux instruments juridiques mondiaux relatifs à la facilitation du passage des frontières, c</w:t>
      </w:r>
      <w:r>
        <w:rPr>
          <w:lang w:val="fr-FR"/>
        </w:rPr>
        <w:t>’</w:t>
      </w:r>
      <w:r w:rsidRPr="00366FB0">
        <w:rPr>
          <w:lang w:val="fr-FR"/>
        </w:rPr>
        <w:t>est à dire principalement la Convention TIR (1975) et la Convention internationale sur l</w:t>
      </w:r>
      <w:r>
        <w:rPr>
          <w:lang w:val="fr-FR"/>
        </w:rPr>
        <w:t>’</w:t>
      </w:r>
      <w:r w:rsidRPr="00366FB0">
        <w:rPr>
          <w:lang w:val="fr-FR"/>
        </w:rPr>
        <w:t>harmonisation des contrôles des marchandises aux frontières (1982)</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t>Facilite l</w:t>
      </w:r>
      <w:r>
        <w:rPr>
          <w:lang w:val="fr-FR"/>
        </w:rPr>
        <w:t>’</w:t>
      </w:r>
      <w:r w:rsidRPr="00366FB0">
        <w:rPr>
          <w:lang w:val="fr-FR"/>
        </w:rPr>
        <w:t>élaboration d</w:t>
      </w:r>
      <w:r>
        <w:rPr>
          <w:lang w:val="fr-FR"/>
        </w:rPr>
        <w:t>’</w:t>
      </w:r>
      <w:r w:rsidRPr="00366FB0">
        <w:rPr>
          <w:lang w:val="fr-FR"/>
        </w:rPr>
        <w:t>une approche harmonisée de l</w:t>
      </w:r>
      <w:r>
        <w:rPr>
          <w:lang w:val="fr-FR"/>
        </w:rPr>
        <w:t>’</w:t>
      </w:r>
      <w:r w:rsidRPr="00366FB0">
        <w:rPr>
          <w:lang w:val="fr-FR"/>
        </w:rPr>
        <w:t xml:space="preserve">utilisation des signatures électroniques </w:t>
      </w:r>
      <w:r>
        <w:rPr>
          <w:lang w:val="fr-FR"/>
        </w:rPr>
        <w:t xml:space="preserve">en </w:t>
      </w:r>
      <w:r w:rsidRPr="00366FB0">
        <w:rPr>
          <w:lang w:val="fr-FR"/>
        </w:rPr>
        <w:t>permettant aux personnes qui ne sont pas résidentes permanentes d</w:t>
      </w:r>
      <w:r>
        <w:rPr>
          <w:lang w:val="fr-FR"/>
        </w:rPr>
        <w:t>’</w:t>
      </w:r>
      <w:r w:rsidRPr="00366FB0">
        <w:rPr>
          <w:lang w:val="fr-FR"/>
        </w:rPr>
        <w:t>un pays donné d</w:t>
      </w:r>
      <w:r>
        <w:rPr>
          <w:lang w:val="fr-FR"/>
        </w:rPr>
        <w:t>’</w:t>
      </w:r>
      <w:r w:rsidRPr="00366FB0">
        <w:rPr>
          <w:lang w:val="fr-FR"/>
        </w:rPr>
        <w:t>utiliser une signature électronique</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t>Promeut l</w:t>
      </w:r>
      <w:r>
        <w:rPr>
          <w:lang w:val="fr-FR"/>
        </w:rPr>
        <w:t>’</w:t>
      </w:r>
      <w:r w:rsidRPr="00366FB0">
        <w:rPr>
          <w:lang w:val="fr-FR"/>
        </w:rPr>
        <w:t>intermodalité et l</w:t>
      </w:r>
      <w:r>
        <w:rPr>
          <w:lang w:val="fr-FR"/>
        </w:rPr>
        <w:t>’</w:t>
      </w:r>
      <w:r w:rsidRPr="00366FB0">
        <w:rPr>
          <w:lang w:val="fr-FR"/>
        </w:rPr>
        <w:t>optimisation de la logistique, ce qui est fondamental pour réduire l</w:t>
      </w:r>
      <w:r>
        <w:rPr>
          <w:lang w:val="fr-FR"/>
        </w:rPr>
        <w:t>’</w:t>
      </w:r>
      <w:r w:rsidRPr="00366FB0">
        <w:rPr>
          <w:lang w:val="fr-FR"/>
        </w:rPr>
        <w:t>impact environnemental du secteur. Le choix de la combinaison optimale des différents modes de transport doit être fondé, entre autres, sur des politiques stratégiques, un objectif que les travaux du Comité et de ses organes subsidiaires compétents contribuent à réaliser</w:t>
      </w:r>
      <w:r>
        <w:rPr>
          <w:lang w:val="fr-FR"/>
        </w:rPr>
        <w:t> ;</w:t>
      </w:r>
    </w:p>
    <w:p w:rsidR="00512C2D" w:rsidRPr="00366FB0" w:rsidRDefault="00512C2D" w:rsidP="00512C2D">
      <w:pPr>
        <w:pStyle w:val="Bullet1G"/>
        <w:numPr>
          <w:ilvl w:val="0"/>
          <w:numId w:val="0"/>
        </w:numPr>
        <w:tabs>
          <w:tab w:val="left" w:pos="1701"/>
        </w:tabs>
        <w:kinsoku/>
        <w:overflowPunct/>
        <w:autoSpaceDE/>
        <w:autoSpaceDN/>
        <w:adjustRightInd/>
        <w:snapToGrid/>
        <w:ind w:left="1701" w:hanging="170"/>
        <w:rPr>
          <w:lang w:val="fr-FR"/>
        </w:rPr>
      </w:pPr>
      <w:r w:rsidRPr="00366FB0">
        <w:rPr>
          <w:lang w:val="fr-FR"/>
        </w:rPr>
        <w:t>•</w:t>
      </w:r>
      <w:r w:rsidRPr="00366FB0">
        <w:rPr>
          <w:lang w:val="fr-FR"/>
        </w:rPr>
        <w:tab/>
        <w:t>A une forte incidence sur les résultats économiques des branches professionnelles liées au transport, et par conséquent sur les économies du monde entier. Par exemple, le large éventail d</w:t>
      </w:r>
      <w:r>
        <w:rPr>
          <w:lang w:val="fr-FR"/>
        </w:rPr>
        <w:t>’</w:t>
      </w:r>
      <w:r w:rsidRPr="00366FB0">
        <w:rPr>
          <w:lang w:val="fr-FR"/>
        </w:rPr>
        <w:t>activités réglementaires du Forum mondial de l</w:t>
      </w:r>
      <w:r>
        <w:rPr>
          <w:lang w:val="fr-FR"/>
        </w:rPr>
        <w:t>’</w:t>
      </w:r>
      <w:r w:rsidRPr="00366FB0">
        <w:rPr>
          <w:lang w:val="fr-FR"/>
        </w:rPr>
        <w:t>harmonisation des Règlements concernant les véhicules (WP.29) de l</w:t>
      </w:r>
      <w:r>
        <w:rPr>
          <w:lang w:val="fr-FR"/>
        </w:rPr>
        <w:t>’</w:t>
      </w:r>
      <w:r w:rsidRPr="00366FB0">
        <w:rPr>
          <w:lang w:val="fr-FR"/>
        </w:rPr>
        <w:t xml:space="preserve">ITC </w:t>
      </w:r>
      <w:r>
        <w:rPr>
          <w:lang w:val="fr-FR"/>
        </w:rPr>
        <w:t>a des répercussions sur</w:t>
      </w:r>
      <w:r w:rsidRPr="00366FB0">
        <w:rPr>
          <w:lang w:val="fr-FR"/>
        </w:rPr>
        <w:t xml:space="preserve"> 50 millions d</w:t>
      </w:r>
      <w:r>
        <w:rPr>
          <w:lang w:val="fr-FR"/>
        </w:rPr>
        <w:t>’</w:t>
      </w:r>
      <w:r w:rsidRPr="00366FB0">
        <w:rPr>
          <w:lang w:val="fr-FR"/>
        </w:rPr>
        <w:t>emplois de l</w:t>
      </w:r>
      <w:r>
        <w:rPr>
          <w:lang w:val="fr-FR"/>
        </w:rPr>
        <w:t>’</w:t>
      </w:r>
      <w:r w:rsidRPr="00366FB0">
        <w:rPr>
          <w:lang w:val="fr-FR"/>
        </w:rPr>
        <w:t>industrie automobile et des activités manufacturières et services connexes dans le monde entier.</w:t>
      </w:r>
    </w:p>
    <w:p w:rsidR="00512C2D" w:rsidRDefault="00512C2D" w:rsidP="00512C2D">
      <w:pPr>
        <w:pStyle w:val="SingleTxtG"/>
        <w:rPr>
          <w:lang w:val="fr-FR"/>
        </w:rPr>
      </w:pPr>
      <w:r w:rsidRPr="00366FB0">
        <w:rPr>
          <w:lang w:val="fr-FR"/>
        </w:rPr>
        <w:t>9.</w:t>
      </w:r>
      <w:r w:rsidRPr="00366FB0">
        <w:rPr>
          <w:lang w:val="fr-FR"/>
        </w:rPr>
        <w:tab/>
        <w:t xml:space="preserve">Avec le temps, </w:t>
      </w:r>
      <w:r>
        <w:rPr>
          <w:lang w:val="fr-FR"/>
        </w:rPr>
        <w:t xml:space="preserve">et </w:t>
      </w:r>
      <w:r w:rsidRPr="00366FB0">
        <w:rPr>
          <w:lang w:val="fr-FR"/>
        </w:rPr>
        <w:t>avec l</w:t>
      </w:r>
      <w:r>
        <w:rPr>
          <w:lang w:val="fr-FR"/>
        </w:rPr>
        <w:t>’</w:t>
      </w:r>
      <w:r w:rsidRPr="00366FB0">
        <w:rPr>
          <w:lang w:val="fr-FR"/>
        </w:rPr>
        <w:t xml:space="preserve">application croissante des </w:t>
      </w:r>
      <w:r>
        <w:rPr>
          <w:lang w:val="fr-FR"/>
        </w:rPr>
        <w:t>Conventions des Nations Unies</w:t>
      </w:r>
      <w:r w:rsidRPr="00366FB0">
        <w:rPr>
          <w:lang w:val="fr-FR"/>
        </w:rPr>
        <w:t xml:space="preserve"> dont le Comité assure le service, certains instruments réglementant les véhicules et le transport des marchandises dangereuses ont été directement transposés dans la législation de l</w:t>
      </w:r>
      <w:r>
        <w:rPr>
          <w:lang w:val="fr-FR"/>
        </w:rPr>
        <w:t>’</w:t>
      </w:r>
      <w:r w:rsidRPr="00366FB0">
        <w:rPr>
          <w:lang w:val="fr-FR"/>
        </w:rPr>
        <w:t>Union européenne et mis en œuvre dans le cadre des transports nationaux et internationaux dans l</w:t>
      </w:r>
      <w:r>
        <w:rPr>
          <w:lang w:val="fr-FR"/>
        </w:rPr>
        <w:t>’</w:t>
      </w:r>
      <w:r w:rsidRPr="00366FB0">
        <w:rPr>
          <w:lang w:val="fr-FR"/>
        </w:rPr>
        <w:t>Union européenne, sans cesser d</w:t>
      </w:r>
      <w:r>
        <w:rPr>
          <w:lang w:val="fr-FR"/>
        </w:rPr>
        <w:t>’</w:t>
      </w:r>
      <w:r w:rsidRPr="00366FB0">
        <w:rPr>
          <w:lang w:val="fr-FR"/>
        </w:rPr>
        <w:t>être gérés et examinés par les groupes de travail du CTI. Il existe également une application similaire dans certains pays, par exemple dans la Fédération de Russie. Cela a renforcé l</w:t>
      </w:r>
      <w:r>
        <w:rPr>
          <w:lang w:val="fr-FR"/>
        </w:rPr>
        <w:t>’</w:t>
      </w:r>
      <w:r w:rsidRPr="00366FB0">
        <w:rPr>
          <w:lang w:val="fr-FR"/>
        </w:rPr>
        <w:t xml:space="preserve">harmonisation de la législation sur les transports </w:t>
      </w:r>
      <w:proofErr w:type="gramStart"/>
      <w:r w:rsidRPr="00366FB0">
        <w:rPr>
          <w:lang w:val="fr-FR"/>
        </w:rPr>
        <w:t>au</w:t>
      </w:r>
      <w:proofErr w:type="gramEnd"/>
      <w:r w:rsidRPr="00366FB0">
        <w:rPr>
          <w:lang w:val="fr-FR"/>
        </w:rPr>
        <w:t xml:space="preserve"> plan international et permis de réaliser des économies à l</w:t>
      </w:r>
      <w:r>
        <w:rPr>
          <w:lang w:val="fr-FR"/>
        </w:rPr>
        <w:t>’</w:t>
      </w:r>
      <w:r w:rsidRPr="00366FB0">
        <w:rPr>
          <w:lang w:val="fr-FR"/>
        </w:rPr>
        <w:t>échelle de la région et des États concernés, qui n</w:t>
      </w:r>
      <w:r>
        <w:rPr>
          <w:lang w:val="fr-FR"/>
        </w:rPr>
        <w:t>’ont</w:t>
      </w:r>
      <w:r w:rsidRPr="00366FB0">
        <w:rPr>
          <w:lang w:val="fr-FR"/>
        </w:rPr>
        <w:t xml:space="preserve"> plus à élaborer leur propre réglementation</w:t>
      </w:r>
      <w:r>
        <w:rPr>
          <w:lang w:val="fr-FR"/>
        </w:rPr>
        <w:t>.</w:t>
      </w:r>
      <w:r w:rsidRPr="00366FB0">
        <w:rPr>
          <w:lang w:val="fr-FR"/>
        </w:rPr>
        <w:t xml:space="preserve"> Les avantages sont évidents, à la fois en ce qui concerne les économies d</w:t>
      </w:r>
      <w:r>
        <w:rPr>
          <w:lang w:val="fr-FR"/>
        </w:rPr>
        <w:t>’</w:t>
      </w:r>
      <w:r w:rsidRPr="00366FB0">
        <w:rPr>
          <w:lang w:val="fr-FR"/>
        </w:rPr>
        <w:t>échelle (nombre de pays utilisant les instruments juridiques de l</w:t>
      </w:r>
      <w:r>
        <w:rPr>
          <w:lang w:val="fr-FR"/>
        </w:rPr>
        <w:t>’</w:t>
      </w:r>
      <w:r w:rsidRPr="00366FB0">
        <w:rPr>
          <w:lang w:val="fr-FR"/>
        </w:rPr>
        <w:t>ONU), et l</w:t>
      </w:r>
      <w:r>
        <w:rPr>
          <w:lang w:val="fr-FR"/>
        </w:rPr>
        <w:t>’</w:t>
      </w:r>
      <w:r w:rsidRPr="00366FB0">
        <w:rPr>
          <w:lang w:val="fr-FR"/>
        </w:rPr>
        <w:t>élargissement de la portée (application des instruments juridiques des Nations Unies non seulement au transport international, mais aussi aux activités et au trafic nationaux).</w:t>
      </w:r>
    </w:p>
    <w:p w:rsidR="00917E66" w:rsidRPr="00917E66" w:rsidRDefault="00917E66" w:rsidP="00917E6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17E66" w:rsidRPr="00917E66" w:rsidSect="003A38DC">
      <w:footnotePr>
        <w:numRestart w:val="eachSect"/>
      </w:footnotePr>
      <w:endnotePr>
        <w:numFmt w:val="decimal"/>
      </w:endnotePr>
      <w:type w:val="oddPage"/>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5AF" w:rsidRDefault="006D65AF" w:rsidP="00F95C08">
      <w:pPr>
        <w:spacing w:line="240" w:lineRule="auto"/>
      </w:pPr>
    </w:p>
  </w:endnote>
  <w:endnote w:type="continuationSeparator" w:id="0">
    <w:p w:rsidR="006D65AF" w:rsidRPr="00AC3823" w:rsidRDefault="006D65AF" w:rsidP="00AC3823">
      <w:pPr>
        <w:pStyle w:val="Footer"/>
      </w:pPr>
    </w:p>
  </w:endnote>
  <w:endnote w:type="continuationNotice" w:id="1">
    <w:p w:rsidR="006D65AF" w:rsidRDefault="006D65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AF" w:rsidRPr="00526573" w:rsidRDefault="006D65AF" w:rsidP="00526573">
    <w:pPr>
      <w:pStyle w:val="Footer"/>
      <w:tabs>
        <w:tab w:val="right" w:pos="9638"/>
      </w:tabs>
    </w:pPr>
    <w:r w:rsidRPr="00526573">
      <w:rPr>
        <w:b/>
        <w:sz w:val="18"/>
      </w:rPr>
      <w:fldChar w:fldCharType="begin"/>
    </w:r>
    <w:r w:rsidRPr="00526573">
      <w:rPr>
        <w:b/>
        <w:sz w:val="18"/>
      </w:rPr>
      <w:instrText xml:space="preserve"> PAGE  \* MERGEFORMAT </w:instrText>
    </w:r>
    <w:r w:rsidRPr="00526573">
      <w:rPr>
        <w:b/>
        <w:sz w:val="18"/>
      </w:rPr>
      <w:fldChar w:fldCharType="separate"/>
    </w:r>
    <w:r w:rsidR="00FF15F4">
      <w:rPr>
        <w:b/>
        <w:noProof/>
        <w:sz w:val="18"/>
      </w:rPr>
      <w:t>12</w:t>
    </w:r>
    <w:r w:rsidRPr="0052657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AF" w:rsidRPr="00526573" w:rsidRDefault="006D65AF" w:rsidP="00526573">
    <w:pPr>
      <w:pStyle w:val="Footer"/>
      <w:tabs>
        <w:tab w:val="right" w:pos="9638"/>
      </w:tabs>
      <w:rPr>
        <w:b/>
        <w:sz w:val="18"/>
      </w:rPr>
    </w:pPr>
    <w:r>
      <w:tab/>
    </w:r>
    <w:r w:rsidRPr="00526573">
      <w:rPr>
        <w:b/>
        <w:sz w:val="18"/>
      </w:rPr>
      <w:fldChar w:fldCharType="begin"/>
    </w:r>
    <w:r w:rsidRPr="00526573">
      <w:rPr>
        <w:b/>
        <w:sz w:val="18"/>
      </w:rPr>
      <w:instrText xml:space="preserve"> PAGE  \* MERGEFORMAT </w:instrText>
    </w:r>
    <w:r w:rsidRPr="00526573">
      <w:rPr>
        <w:b/>
        <w:sz w:val="18"/>
      </w:rPr>
      <w:fldChar w:fldCharType="separate"/>
    </w:r>
    <w:r w:rsidR="00FF15F4">
      <w:rPr>
        <w:b/>
        <w:noProof/>
        <w:sz w:val="18"/>
      </w:rPr>
      <w:t>13</w:t>
    </w:r>
    <w:r w:rsidRPr="0052657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5AF" w:rsidRPr="00AC3823" w:rsidRDefault="006D65AF" w:rsidP="00AC3823">
      <w:pPr>
        <w:pStyle w:val="Footer"/>
        <w:tabs>
          <w:tab w:val="right" w:pos="2155"/>
        </w:tabs>
        <w:spacing w:after="80" w:line="240" w:lineRule="atLeast"/>
        <w:ind w:left="680"/>
        <w:rPr>
          <w:u w:val="single"/>
        </w:rPr>
      </w:pPr>
      <w:r>
        <w:rPr>
          <w:u w:val="single"/>
        </w:rPr>
        <w:tab/>
      </w:r>
    </w:p>
  </w:footnote>
  <w:footnote w:type="continuationSeparator" w:id="0">
    <w:p w:rsidR="006D65AF" w:rsidRPr="00AC3823" w:rsidRDefault="006D65AF" w:rsidP="00AC3823">
      <w:pPr>
        <w:pStyle w:val="Footer"/>
        <w:tabs>
          <w:tab w:val="right" w:pos="2155"/>
        </w:tabs>
        <w:spacing w:after="80" w:line="240" w:lineRule="atLeast"/>
        <w:ind w:left="680"/>
        <w:rPr>
          <w:u w:val="single"/>
        </w:rPr>
      </w:pPr>
      <w:r>
        <w:rPr>
          <w:u w:val="single"/>
        </w:rPr>
        <w:tab/>
      </w:r>
    </w:p>
  </w:footnote>
  <w:footnote w:type="continuationNotice" w:id="1">
    <w:p w:rsidR="006D65AF" w:rsidRPr="00AC3823" w:rsidRDefault="006D65AF">
      <w:pPr>
        <w:spacing w:line="240" w:lineRule="auto"/>
        <w:rPr>
          <w:sz w:val="2"/>
          <w:szCs w:val="2"/>
        </w:rPr>
      </w:pPr>
    </w:p>
  </w:footnote>
  <w:footnote w:id="2">
    <w:p w:rsidR="008217C8" w:rsidRPr="006C285A" w:rsidRDefault="008217C8" w:rsidP="008217C8">
      <w:pPr>
        <w:pStyle w:val="FootnoteText"/>
        <w:rPr>
          <w:lang w:val="fr-FR"/>
        </w:rPr>
      </w:pPr>
      <w:r>
        <w:rPr>
          <w:lang w:val="fr-FR"/>
        </w:rPr>
        <w:tab/>
      </w:r>
      <w:r w:rsidRPr="00FF032A">
        <w:rPr>
          <w:rStyle w:val="FootnoteReference"/>
        </w:rPr>
        <w:footnoteRef/>
      </w:r>
      <w:r>
        <w:rPr>
          <w:lang w:val="fr-FR"/>
        </w:rPr>
        <w:tab/>
        <w:t xml:space="preserve">On trouvera le texte complet de la </w:t>
      </w:r>
      <w:r>
        <w:rPr>
          <w:i/>
          <w:iCs/>
          <w:lang w:val="fr-FR"/>
        </w:rPr>
        <w:t>Résolution ministérielle de 2017</w:t>
      </w:r>
      <w:r>
        <w:rPr>
          <w:lang w:val="fr-FR"/>
        </w:rPr>
        <w:t xml:space="preserve"> à l’annexe II. Pour un supplément d’informations d’ordre général, voir l’annexe X.</w:t>
      </w:r>
    </w:p>
  </w:footnote>
  <w:footnote w:id="3">
    <w:p w:rsidR="008217C8" w:rsidRPr="006C285A" w:rsidRDefault="008217C8" w:rsidP="008217C8">
      <w:pPr>
        <w:pStyle w:val="FootnoteText"/>
        <w:rPr>
          <w:lang w:val="fr-FR"/>
        </w:rPr>
      </w:pPr>
      <w:r>
        <w:rPr>
          <w:lang w:val="fr-FR"/>
        </w:rPr>
        <w:tab/>
      </w:r>
      <w:r w:rsidRPr="00FF032A">
        <w:rPr>
          <w:rStyle w:val="FootnoteReference"/>
        </w:rPr>
        <w:footnoteRef/>
      </w:r>
      <w:r>
        <w:rPr>
          <w:lang w:val="fr-FR"/>
        </w:rPr>
        <w:tab/>
        <w:t xml:space="preserve">On trouvera une citation plus complète des parties pertinentes de la décision A(65) à l’annexe IV. </w:t>
      </w:r>
    </w:p>
  </w:footnote>
  <w:footnote w:id="4">
    <w:p w:rsidR="008217C8" w:rsidRPr="006C285A" w:rsidRDefault="008217C8" w:rsidP="008217C8">
      <w:pPr>
        <w:pStyle w:val="FootnoteText"/>
        <w:rPr>
          <w:lang w:val="fr-FR"/>
        </w:rPr>
      </w:pPr>
      <w:r>
        <w:rPr>
          <w:lang w:val="fr-FR"/>
        </w:rPr>
        <w:tab/>
      </w:r>
      <w:r w:rsidRPr="00FF032A">
        <w:rPr>
          <w:rStyle w:val="FootnoteReference"/>
        </w:rPr>
        <w:footnoteRef/>
      </w:r>
      <w:r>
        <w:rPr>
          <w:lang w:val="fr-FR"/>
        </w:rPr>
        <w:tab/>
        <w:t xml:space="preserve">Le mandat actuel du CTI figure à l’annexe V. On trouvera à l’annexe VI une présentation du CTI et de la structure du sous-programme « Transports ». </w:t>
      </w:r>
    </w:p>
  </w:footnote>
  <w:footnote w:id="5">
    <w:p w:rsidR="008217C8" w:rsidRPr="006C285A" w:rsidRDefault="008217C8" w:rsidP="008217C8">
      <w:pPr>
        <w:pStyle w:val="FootnoteText"/>
        <w:rPr>
          <w:lang w:val="fr-FR"/>
        </w:rPr>
      </w:pPr>
      <w:r>
        <w:rPr>
          <w:lang w:val="fr-FR"/>
        </w:rPr>
        <w:tab/>
      </w:r>
      <w:r w:rsidRPr="00FF032A">
        <w:rPr>
          <w:rStyle w:val="FootnoteReference"/>
        </w:rPr>
        <w:footnoteRef/>
      </w:r>
      <w:r>
        <w:rPr>
          <w:lang w:val="fr-FR"/>
        </w:rPr>
        <w:tab/>
        <w:t>L’annexe VIII présente la liste complète des cibles volontaires et indicateurs associés.</w:t>
      </w:r>
    </w:p>
  </w:footnote>
  <w:footnote w:id="6">
    <w:p w:rsidR="008217C8" w:rsidRPr="006C285A" w:rsidRDefault="008217C8" w:rsidP="008217C8">
      <w:pPr>
        <w:pStyle w:val="FootnoteText"/>
        <w:rPr>
          <w:lang w:val="fr-FR"/>
        </w:rPr>
      </w:pPr>
      <w:r>
        <w:rPr>
          <w:lang w:val="fr-FR"/>
        </w:rPr>
        <w:tab/>
      </w:r>
      <w:r w:rsidRPr="00FF032A">
        <w:rPr>
          <w:rStyle w:val="FootnoteReference"/>
        </w:rPr>
        <w:footnoteRef/>
      </w:r>
      <w:r>
        <w:rPr>
          <w:lang w:val="fr-FR"/>
        </w:rPr>
        <w:tab/>
        <w:t xml:space="preserve">On trouvera à l’annexe IX un tableau complet des sigles et acronymes employés. </w:t>
      </w:r>
    </w:p>
  </w:footnote>
  <w:footnote w:id="7">
    <w:p w:rsidR="003A38DC" w:rsidRPr="00C45558" w:rsidRDefault="003A38DC" w:rsidP="003A38DC">
      <w:pPr>
        <w:pStyle w:val="FootnoteText"/>
        <w:rPr>
          <w:lang w:val="fr-FR"/>
        </w:rPr>
      </w:pPr>
      <w:r w:rsidRPr="006C285A">
        <w:rPr>
          <w:lang w:val="fr-FR"/>
        </w:rPr>
        <w:tab/>
      </w:r>
      <w:r w:rsidRPr="00FF032A">
        <w:rPr>
          <w:rStyle w:val="FootnoteReference"/>
        </w:rPr>
        <w:footnoteRef/>
      </w:r>
      <w:r w:rsidRPr="00C45558">
        <w:rPr>
          <w:lang w:val="fr-FR"/>
        </w:rPr>
        <w:tab/>
        <w:t>Dans la présente annexe, les modifications qu</w:t>
      </w:r>
      <w:r>
        <w:rPr>
          <w:lang w:val="fr-FR"/>
        </w:rPr>
        <w:t>’</w:t>
      </w:r>
      <w:r w:rsidRPr="00C45558">
        <w:rPr>
          <w:lang w:val="fr-FR"/>
        </w:rPr>
        <w:t>il est proposé d</w:t>
      </w:r>
      <w:r>
        <w:rPr>
          <w:lang w:val="fr-FR"/>
        </w:rPr>
        <w:t>’</w:t>
      </w:r>
      <w:r w:rsidRPr="00C45558">
        <w:rPr>
          <w:lang w:val="fr-FR"/>
        </w:rPr>
        <w:t>apporter figurent en caractères gras pour les ajouts e</w:t>
      </w:r>
      <w:r>
        <w:rPr>
          <w:lang w:val="fr-FR"/>
        </w:rPr>
        <w:t>t biffés pour les suppressions.</w:t>
      </w:r>
      <w:r w:rsidRPr="00C45558">
        <w:rPr>
          <w:lang w:val="fr-FR"/>
        </w:rPr>
        <w:t xml:space="preserve"> </w:t>
      </w:r>
    </w:p>
  </w:footnote>
  <w:footnote w:id="8">
    <w:p w:rsidR="00512C2D" w:rsidRPr="00FE466E" w:rsidRDefault="00512C2D" w:rsidP="00512C2D">
      <w:pPr>
        <w:pStyle w:val="FootnoteText"/>
        <w:rPr>
          <w:lang w:val="fr-FR"/>
        </w:rPr>
      </w:pPr>
      <w:r w:rsidRPr="00C45558">
        <w:rPr>
          <w:lang w:val="fr-FR"/>
        </w:rPr>
        <w:tab/>
      </w:r>
      <w:r w:rsidRPr="00FF032A">
        <w:rPr>
          <w:rStyle w:val="FootnoteReference"/>
        </w:rPr>
        <w:footnoteRef/>
      </w:r>
      <w:r>
        <w:rPr>
          <w:lang w:val="fr-FR"/>
        </w:rPr>
        <w:tab/>
        <w:t xml:space="preserve">Telle(s) qu’approuvée(s) à la réunion des États membres ayant pour objet de conclure les travaux d’élaboration des cibles </w:t>
      </w:r>
      <w:r w:rsidRPr="00CB0FB8">
        <w:rPr>
          <w:lang w:val="fr-FR"/>
        </w:rPr>
        <w:t>volontaires à l</w:t>
      </w:r>
      <w:r>
        <w:rPr>
          <w:lang w:val="fr-FR"/>
        </w:rPr>
        <w:t>’</w:t>
      </w:r>
      <w:r w:rsidRPr="00CB0FB8">
        <w:rPr>
          <w:lang w:val="fr-FR"/>
        </w:rPr>
        <w:t>échelle mondiale concernant la sécurité routière, les facteurs de risque et les mécanismes de prestation de services</w:t>
      </w:r>
      <w:r>
        <w:rPr>
          <w:i/>
          <w:lang w:val="fr-FR"/>
        </w:rPr>
        <w:t xml:space="preserve"> </w:t>
      </w:r>
      <w:r>
        <w:rPr>
          <w:lang w:val="fr-FR"/>
        </w:rPr>
        <w:t>(Genève, 20 et 21 novembre 2017). Voir l’annexe au rapport de cette réunion, disponible à l’adresse suivante : www.who.int/violence _injury_prevention/road_traffic/Report-of-the-meeting-of-member-states-Annex.pdf?ua=1.</w:t>
      </w:r>
    </w:p>
  </w:footnote>
  <w:footnote w:id="9">
    <w:p w:rsidR="00512C2D" w:rsidRPr="00FE466E" w:rsidRDefault="00512C2D" w:rsidP="00512C2D">
      <w:pPr>
        <w:pStyle w:val="FootnoteText"/>
        <w:rPr>
          <w:lang w:val="fr-FR"/>
        </w:rPr>
      </w:pPr>
      <w:r>
        <w:rPr>
          <w:lang w:val="fr-FR"/>
        </w:rPr>
        <w:tab/>
      </w:r>
      <w:r w:rsidRPr="00FF032A">
        <w:rPr>
          <w:rStyle w:val="FootnoteReference"/>
        </w:rPr>
        <w:footnoteRef/>
      </w:r>
      <w:r>
        <w:rPr>
          <w:lang w:val="fr-FR"/>
        </w:rPr>
        <w:tab/>
        <w:t xml:space="preserve">Indicateurs présentés, n’ayant pas été officiellement adoptés. Document tel qu’affiché à l’écran le vendredi 23 février 2018 à 14 h 30 au cours de la consultation informelle des États membres organisée par l’OMS (pour envoi).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AF" w:rsidRPr="00526573" w:rsidRDefault="00715587">
    <w:pPr>
      <w:pStyle w:val="Header"/>
    </w:pPr>
    <w:r>
      <w:fldChar w:fldCharType="begin"/>
    </w:r>
    <w:r>
      <w:instrText xml:space="preserve"> TITLE  \* MERGEFORMAT </w:instrText>
    </w:r>
    <w:r>
      <w:fldChar w:fldCharType="separate"/>
    </w:r>
    <w:r w:rsidR="0075460A">
      <w:t>ECE/TRANS/2</w:t>
    </w:r>
    <w:r w:rsidR="0039498F">
      <w:t>88</w:t>
    </w:r>
    <w:r w:rsidR="0075460A">
      <w:t>/Add.</w:t>
    </w:r>
    <w:r>
      <w:fldChar w:fldCharType="end"/>
    </w:r>
    <w:r w:rsidR="0039498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AF" w:rsidRPr="00526573" w:rsidRDefault="00715587" w:rsidP="00526573">
    <w:pPr>
      <w:pStyle w:val="Header"/>
      <w:jc w:val="right"/>
    </w:pPr>
    <w:r>
      <w:fldChar w:fldCharType="begin"/>
    </w:r>
    <w:r>
      <w:instrText xml:space="preserve"> TITLE  \* MERGEFORMAT </w:instrText>
    </w:r>
    <w:r>
      <w:fldChar w:fldCharType="separate"/>
    </w:r>
    <w:r w:rsidR="0075460A">
      <w:t>ECE/TRANS/2</w:t>
    </w:r>
    <w:r w:rsidR="0039498F">
      <w:t>88</w:t>
    </w:r>
    <w:r w:rsidR="0075460A">
      <w:t>/Add.</w:t>
    </w:r>
    <w:r>
      <w:fldChar w:fldCharType="end"/>
    </w:r>
    <w:r w:rsidR="0039498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0B" w:rsidRDefault="002746F6" w:rsidP="00E53C0B">
    <w:pPr>
      <w:pStyle w:val="Header"/>
      <w:jc w:val="right"/>
    </w:pPr>
    <w:fldSimple w:instr=" TITLE  \* MERGEFORMAT ">
      <w:r w:rsidR="00E53C0B">
        <w:t>ECE/TRANS/288/Add.</w:t>
      </w:r>
    </w:fldSimple>
    <w:r w:rsidR="00E53C0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50B18"/>
    <w:multiLevelType w:val="hybridMultilevel"/>
    <w:tmpl w:val="7AF6927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5CF1761"/>
    <w:multiLevelType w:val="hybridMultilevel"/>
    <w:tmpl w:val="3A06433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1C36986"/>
    <w:multiLevelType w:val="multilevel"/>
    <w:tmpl w:val="003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94168"/>
    <w:multiLevelType w:val="multilevel"/>
    <w:tmpl w:val="D5F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6" w15:restartNumberingAfterBreak="0">
    <w:nsid w:val="2D375400"/>
    <w:multiLevelType w:val="hybridMultilevel"/>
    <w:tmpl w:val="3E2A4310"/>
    <w:lvl w:ilvl="0" w:tplc="D4A422C4">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1F2858"/>
    <w:multiLevelType w:val="hybridMultilevel"/>
    <w:tmpl w:val="CA328D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BC46D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847E7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D7F2163"/>
    <w:multiLevelType w:val="hybridMultilevel"/>
    <w:tmpl w:val="093E09F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40977A9"/>
    <w:multiLevelType w:val="hybridMultilevel"/>
    <w:tmpl w:val="9F3C29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3A55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5"/>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7"/>
  </w:num>
  <w:num w:numId="16">
    <w:abstractNumId w:val="12"/>
  </w:num>
  <w:num w:numId="17">
    <w:abstractNumId w:val="24"/>
  </w:num>
  <w:num w:numId="18">
    <w:abstractNumId w:val="28"/>
  </w:num>
  <w:num w:numId="19">
    <w:abstractNumId w:val="15"/>
  </w:num>
  <w:num w:numId="20">
    <w:abstractNumId w:val="27"/>
  </w:num>
  <w:num w:numId="21">
    <w:abstractNumId w:val="19"/>
  </w:num>
  <w:num w:numId="22">
    <w:abstractNumId w:val="20"/>
  </w:num>
  <w:num w:numId="23">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6"/>
  </w:num>
  <w:num w:numId="26">
    <w:abstractNumId w:val="11"/>
  </w:num>
  <w:num w:numId="27">
    <w:abstractNumId w:val="22"/>
  </w:num>
  <w:num w:numId="28">
    <w:abstractNumId w:val="18"/>
  </w:num>
  <w:num w:numId="29">
    <w:abstractNumId w:val="10"/>
  </w:num>
  <w:num w:numId="30">
    <w:abstractNumId w:val="21"/>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71C"/>
    <w:rsid w:val="00017F94"/>
    <w:rsid w:val="00023842"/>
    <w:rsid w:val="000334F9"/>
    <w:rsid w:val="00045FEB"/>
    <w:rsid w:val="0007796D"/>
    <w:rsid w:val="00080E79"/>
    <w:rsid w:val="000814FC"/>
    <w:rsid w:val="000B7790"/>
    <w:rsid w:val="000F530B"/>
    <w:rsid w:val="00111F2F"/>
    <w:rsid w:val="00123673"/>
    <w:rsid w:val="0014365E"/>
    <w:rsid w:val="00143C66"/>
    <w:rsid w:val="00176178"/>
    <w:rsid w:val="00180ED0"/>
    <w:rsid w:val="00185081"/>
    <w:rsid w:val="00194354"/>
    <w:rsid w:val="001C18B2"/>
    <w:rsid w:val="001D15AB"/>
    <w:rsid w:val="001F525A"/>
    <w:rsid w:val="00223272"/>
    <w:rsid w:val="0024779E"/>
    <w:rsid w:val="00257168"/>
    <w:rsid w:val="002573CD"/>
    <w:rsid w:val="002744B8"/>
    <w:rsid w:val="002746F6"/>
    <w:rsid w:val="00275197"/>
    <w:rsid w:val="002832AC"/>
    <w:rsid w:val="0029769C"/>
    <w:rsid w:val="002D7C93"/>
    <w:rsid w:val="00305801"/>
    <w:rsid w:val="0035122A"/>
    <w:rsid w:val="00355669"/>
    <w:rsid w:val="003916DE"/>
    <w:rsid w:val="0039498F"/>
    <w:rsid w:val="003A27D7"/>
    <w:rsid w:val="003A38DC"/>
    <w:rsid w:val="003B4FF4"/>
    <w:rsid w:val="003E02E8"/>
    <w:rsid w:val="0042144F"/>
    <w:rsid w:val="004315B6"/>
    <w:rsid w:val="00441C3B"/>
    <w:rsid w:val="00446FE5"/>
    <w:rsid w:val="00450370"/>
    <w:rsid w:val="00452396"/>
    <w:rsid w:val="004567BD"/>
    <w:rsid w:val="004837D8"/>
    <w:rsid w:val="004C59C2"/>
    <w:rsid w:val="004E30DD"/>
    <w:rsid w:val="004E468C"/>
    <w:rsid w:val="004E53FF"/>
    <w:rsid w:val="004E758D"/>
    <w:rsid w:val="005112C1"/>
    <w:rsid w:val="00512C2D"/>
    <w:rsid w:val="00516A1B"/>
    <w:rsid w:val="00526573"/>
    <w:rsid w:val="005505B7"/>
    <w:rsid w:val="00573BE5"/>
    <w:rsid w:val="005868FA"/>
    <w:rsid w:val="00586ED3"/>
    <w:rsid w:val="00596AA9"/>
    <w:rsid w:val="005F4973"/>
    <w:rsid w:val="00641906"/>
    <w:rsid w:val="0064744B"/>
    <w:rsid w:val="006A5461"/>
    <w:rsid w:val="006D65AF"/>
    <w:rsid w:val="00715587"/>
    <w:rsid w:val="0071601D"/>
    <w:rsid w:val="00720CB7"/>
    <w:rsid w:val="00746668"/>
    <w:rsid w:val="0075460A"/>
    <w:rsid w:val="00773D48"/>
    <w:rsid w:val="007826BD"/>
    <w:rsid w:val="007A62E6"/>
    <w:rsid w:val="007B3E69"/>
    <w:rsid w:val="007E07C3"/>
    <w:rsid w:val="007E47E8"/>
    <w:rsid w:val="007F20FA"/>
    <w:rsid w:val="0080684C"/>
    <w:rsid w:val="008217C8"/>
    <w:rsid w:val="00863CF0"/>
    <w:rsid w:val="00871C75"/>
    <w:rsid w:val="008776DC"/>
    <w:rsid w:val="008B6206"/>
    <w:rsid w:val="008C14C3"/>
    <w:rsid w:val="00917E66"/>
    <w:rsid w:val="009419E6"/>
    <w:rsid w:val="009446C0"/>
    <w:rsid w:val="009705C8"/>
    <w:rsid w:val="00975262"/>
    <w:rsid w:val="00984FB8"/>
    <w:rsid w:val="009A6616"/>
    <w:rsid w:val="009C1CF4"/>
    <w:rsid w:val="009F6B74"/>
    <w:rsid w:val="00A30353"/>
    <w:rsid w:val="00AA2819"/>
    <w:rsid w:val="00AC3823"/>
    <w:rsid w:val="00AD28B0"/>
    <w:rsid w:val="00AE1D0E"/>
    <w:rsid w:val="00AE323C"/>
    <w:rsid w:val="00AF0CB5"/>
    <w:rsid w:val="00B00181"/>
    <w:rsid w:val="00B00B0D"/>
    <w:rsid w:val="00B45838"/>
    <w:rsid w:val="00B765F7"/>
    <w:rsid w:val="00BA0CA9"/>
    <w:rsid w:val="00BB4C95"/>
    <w:rsid w:val="00BD380A"/>
    <w:rsid w:val="00C02897"/>
    <w:rsid w:val="00C761EF"/>
    <w:rsid w:val="00C97039"/>
    <w:rsid w:val="00CF199E"/>
    <w:rsid w:val="00D2305C"/>
    <w:rsid w:val="00D3439C"/>
    <w:rsid w:val="00D64CAA"/>
    <w:rsid w:val="00D8797C"/>
    <w:rsid w:val="00D97F02"/>
    <w:rsid w:val="00DA3146"/>
    <w:rsid w:val="00DB1831"/>
    <w:rsid w:val="00DD3BFD"/>
    <w:rsid w:val="00DD6A2C"/>
    <w:rsid w:val="00DF6678"/>
    <w:rsid w:val="00E0299A"/>
    <w:rsid w:val="00E423E1"/>
    <w:rsid w:val="00E53C0B"/>
    <w:rsid w:val="00E85C74"/>
    <w:rsid w:val="00E92B6E"/>
    <w:rsid w:val="00EA6547"/>
    <w:rsid w:val="00EE48B5"/>
    <w:rsid w:val="00EF2E22"/>
    <w:rsid w:val="00F35BAF"/>
    <w:rsid w:val="00F433A2"/>
    <w:rsid w:val="00F660DF"/>
    <w:rsid w:val="00F94664"/>
    <w:rsid w:val="00F9573C"/>
    <w:rsid w:val="00F95C08"/>
    <w:rsid w:val="00FB071C"/>
    <w:rsid w:val="00FF15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B5D75F"/>
  <w15:docId w15:val="{FA92C3BB-0926-4A50-A4EE-BF1FD3EE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numbering" w:styleId="1ai">
    <w:name w:val="Outline List 1"/>
    <w:basedOn w:val="NoList"/>
    <w:semiHidden/>
    <w:rsid w:val="00526573"/>
    <w:pPr>
      <w:numPr>
        <w:numId w:val="17"/>
      </w:numPr>
    </w:pPr>
  </w:style>
  <w:style w:type="character" w:customStyle="1" w:styleId="HChGChar">
    <w:name w:val="_ H _Ch_G Char"/>
    <w:link w:val="HChG"/>
    <w:rsid w:val="00526573"/>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9A6616"/>
    <w:rPr>
      <w:rFonts w:ascii="Times New Roman" w:eastAsiaTheme="minorHAnsi" w:hAnsi="Times New Roman" w:cs="Times New Roman"/>
      <w:sz w:val="20"/>
      <w:szCs w:val="20"/>
      <w:lang w:eastAsia="en-US"/>
    </w:rPr>
  </w:style>
  <w:style w:type="table" w:styleId="TableClassic1">
    <w:name w:val="Table Classic 1"/>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A6616"/>
    <w:pPr>
      <w:suppressAutoHyphens/>
      <w:spacing w:after="0" w:line="240" w:lineRule="auto"/>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9A6616"/>
    <w:pPr>
      <w:suppressAutoHyphens/>
      <w:spacing w:after="0" w:line="240" w:lineRule="auto"/>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9A6616"/>
    <w:pPr>
      <w:suppressAutoHyphens/>
      <w:spacing w:after="0" w:line="240" w:lineRule="auto"/>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A6616"/>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A6616"/>
    <w:pPr>
      <w:suppressAutoHyphens/>
      <w:spacing w:after="0" w:line="240" w:lineRule="auto"/>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A6616"/>
    <w:pPr>
      <w:suppressAutoHyphens/>
      <w:spacing w:after="0" w:line="240" w:lineRule="auto"/>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1">
    <w:name w:val="Table List 1"/>
    <w:basedOn w:val="Table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A6616"/>
    <w:pPr>
      <w:suppressAutoHyphens/>
      <w:spacing w:after="0" w:line="240" w:lineRule="auto"/>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9A6616"/>
    <w:pPr>
      <w:suppressAutoHyphens/>
      <w:spacing w:after="0" w:line="240" w:lineRule="auto"/>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A6616"/>
    <w:pPr>
      <w:suppressAutoHyphens/>
      <w:spacing w:after="0" w:line="240" w:lineRule="auto"/>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A6616"/>
    <w:pPr>
      <w:suppressAutoHyphens/>
      <w:spacing w:after="0" w:line="240" w:lineRule="auto"/>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6616"/>
    <w:pPr>
      <w:suppressAutoHyphens/>
      <w:spacing w:after="0" w:line="240" w:lineRule="auto"/>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9A6616"/>
    <w:pPr>
      <w:suppressAutoHyphens/>
      <w:spacing w:after="0" w:line="240" w:lineRule="auto"/>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A6616"/>
    <w:pPr>
      <w:suppressAutoHyphens/>
      <w:spacing w:after="0" w:line="240" w:lineRule="auto"/>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A6616"/>
    <w:pPr>
      <w:suppressAutoHyphens/>
      <w:spacing w:after="0" w:line="240" w:lineRule="auto"/>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A6616"/>
    <w:pPr>
      <w:suppressAutoHyphens/>
      <w:spacing w:after="0" w:line="240" w:lineRule="auto"/>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9A6616"/>
    <w:pPr>
      <w:suppressAutoHyphens/>
      <w:spacing w:after="0" w:line="240" w:lineRule="auto"/>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9A6616"/>
    <w:pPr>
      <w:spacing w:after="0" w:line="240" w:lineRule="auto"/>
    </w:pPr>
    <w:rPr>
      <w:rFonts w:ascii="Times New Roman" w:hAnsi="Times New Roman" w:cs="Times New Roman"/>
      <w:sz w:val="20"/>
      <w:szCs w:val="20"/>
      <w:lang w:eastAsia="en-US"/>
    </w:rPr>
  </w:style>
  <w:style w:type="table" w:customStyle="1" w:styleId="TableGrid10">
    <w:name w:val="Table Grid1"/>
    <w:basedOn w:val="TableNormal"/>
    <w:next w:val="TableGrid"/>
    <w:uiPriority w:val="39"/>
    <w:rsid w:val="009A6616"/>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qFormat/>
    <w:rsid w:val="008217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b/>
      <w:spacing w:val="4"/>
      <w:w w:val="103"/>
      <w:kern w:val="14"/>
      <w:lang w:val="en-GB"/>
    </w:rPr>
  </w:style>
  <w:style w:type="paragraph" w:customStyle="1" w:styleId="SingleTxt">
    <w:name w:val="__Single Txt"/>
    <w:basedOn w:val="Normal"/>
    <w:rsid w:val="008217C8"/>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lang w:val="en-GB"/>
    </w:rPr>
  </w:style>
  <w:style w:type="table" w:customStyle="1" w:styleId="TableGrid20">
    <w:name w:val="Table Grid2"/>
    <w:basedOn w:val="TableNormal"/>
    <w:next w:val="TableGrid"/>
    <w:uiPriority w:val="59"/>
    <w:rsid w:val="008217C8"/>
    <w:pPr>
      <w:spacing w:after="0" w:line="240" w:lineRule="auto"/>
    </w:pPr>
    <w:rPr>
      <w:rFonts w:ascii="Calibri" w:eastAsia="SimSun"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17C8"/>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742955">
      <w:bodyDiv w:val="1"/>
      <w:marLeft w:val="0"/>
      <w:marRight w:val="0"/>
      <w:marTop w:val="0"/>
      <w:marBottom w:val="0"/>
      <w:divBdr>
        <w:top w:val="none" w:sz="0" w:space="0" w:color="auto"/>
        <w:left w:val="none" w:sz="0" w:space="0" w:color="auto"/>
        <w:bottom w:val="none" w:sz="0" w:space="0" w:color="auto"/>
        <w:right w:val="none" w:sz="0" w:space="0" w:color="auto"/>
      </w:divBdr>
    </w:div>
    <w:div w:id="19863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8D1F-32C1-44C0-98C5-BECB11EE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41</Pages>
  <Words>17280</Words>
  <Characters>98499</Characters>
  <Application>Microsoft Office Word</Application>
  <DocSecurity>0</DocSecurity>
  <Lines>820</Lines>
  <Paragraphs>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ECE/TRANS/274/Add.1</vt:lpstr>
      <vt:lpstr>ECE/TRANS/274/Add.1</vt:lpstr>
    </vt:vector>
  </TitlesOfParts>
  <Company>DCM</Company>
  <LinksUpToDate>false</LinksUpToDate>
  <CharactersWithSpaces>115548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ECE/TRANS/274/Add.1</dc:title>
  <dc:subject/>
  <dc:creator>Corinne ROBERT</dc:creator>
  <cp:keywords/>
  <cp:lastModifiedBy>Anastasia Barinova</cp:lastModifiedBy>
  <cp:revision>22</cp:revision>
  <cp:lastPrinted>2018-06-11T09:50:00Z</cp:lastPrinted>
  <dcterms:created xsi:type="dcterms:W3CDTF">2019-02-28T10:59:00Z</dcterms:created>
  <dcterms:modified xsi:type="dcterms:W3CDTF">2019-04-01T13:27:00Z</dcterms:modified>
</cp:coreProperties>
</file>