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7231FDD" w14:textId="77777777" w:rsidTr="00387CD4">
        <w:trPr>
          <w:trHeight w:hRule="exact" w:val="851"/>
        </w:trPr>
        <w:tc>
          <w:tcPr>
            <w:tcW w:w="142" w:type="dxa"/>
            <w:tcBorders>
              <w:bottom w:val="single" w:sz="4" w:space="0" w:color="auto"/>
            </w:tcBorders>
          </w:tcPr>
          <w:p w14:paraId="0CB45C02" w14:textId="77777777" w:rsidR="002D5AAC" w:rsidRDefault="002D5AAC" w:rsidP="0095132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7E3A72F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3588CED" w14:textId="77777777" w:rsidR="002D5AAC" w:rsidRDefault="0095132E" w:rsidP="0095132E">
            <w:pPr>
              <w:jc w:val="right"/>
            </w:pPr>
            <w:r w:rsidRPr="0095132E">
              <w:rPr>
                <w:sz w:val="40"/>
              </w:rPr>
              <w:t>ECE</w:t>
            </w:r>
            <w:r>
              <w:t>/TRANS/WP.29/2019/102</w:t>
            </w:r>
          </w:p>
        </w:tc>
      </w:tr>
      <w:tr w:rsidR="002D5AAC" w:rsidRPr="00EB268D" w14:paraId="7D65ECDA" w14:textId="77777777" w:rsidTr="00387CD4">
        <w:trPr>
          <w:trHeight w:hRule="exact" w:val="2835"/>
        </w:trPr>
        <w:tc>
          <w:tcPr>
            <w:tcW w:w="1280" w:type="dxa"/>
            <w:gridSpan w:val="2"/>
            <w:tcBorders>
              <w:top w:val="single" w:sz="4" w:space="0" w:color="auto"/>
              <w:bottom w:val="single" w:sz="12" w:space="0" w:color="auto"/>
            </w:tcBorders>
          </w:tcPr>
          <w:p w14:paraId="398A2ADE" w14:textId="77777777" w:rsidR="002D5AAC" w:rsidRDefault="002E5067" w:rsidP="00387CD4">
            <w:pPr>
              <w:spacing w:before="120"/>
              <w:jc w:val="center"/>
            </w:pPr>
            <w:r>
              <w:rPr>
                <w:noProof/>
                <w:lang w:eastAsia="ru-RU"/>
              </w:rPr>
              <w:drawing>
                <wp:inline distT="0" distB="0" distL="0" distR="0" wp14:anchorId="07C292A0" wp14:editId="4E7FB56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49B485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433D6B9" w14:textId="77777777" w:rsidR="002D5AAC" w:rsidRDefault="0095132E" w:rsidP="00387CD4">
            <w:pPr>
              <w:spacing w:before="240"/>
              <w:rPr>
                <w:lang w:val="en-US"/>
              </w:rPr>
            </w:pPr>
            <w:r>
              <w:rPr>
                <w:lang w:val="en-US"/>
              </w:rPr>
              <w:t>Distr.: General</w:t>
            </w:r>
          </w:p>
          <w:p w14:paraId="63C16739" w14:textId="77777777" w:rsidR="0095132E" w:rsidRDefault="007C1CA6" w:rsidP="0095132E">
            <w:pPr>
              <w:spacing w:line="240" w:lineRule="exact"/>
              <w:rPr>
                <w:lang w:val="en-US"/>
              </w:rPr>
            </w:pPr>
            <w:r>
              <w:rPr>
                <w:lang w:val="en-US"/>
              </w:rPr>
              <w:t>23</w:t>
            </w:r>
            <w:r w:rsidR="0095132E">
              <w:rPr>
                <w:lang w:val="en-US"/>
              </w:rPr>
              <w:t xml:space="preserve"> August 2019</w:t>
            </w:r>
          </w:p>
          <w:p w14:paraId="0DA1E4C1" w14:textId="77777777" w:rsidR="0095132E" w:rsidRDefault="0095132E" w:rsidP="0095132E">
            <w:pPr>
              <w:spacing w:line="240" w:lineRule="exact"/>
              <w:rPr>
                <w:lang w:val="en-US"/>
              </w:rPr>
            </w:pPr>
            <w:r>
              <w:rPr>
                <w:lang w:val="en-US"/>
              </w:rPr>
              <w:t>Russian</w:t>
            </w:r>
          </w:p>
          <w:p w14:paraId="16D17AEF" w14:textId="77777777" w:rsidR="0095132E" w:rsidRPr="008D53B6" w:rsidRDefault="0095132E" w:rsidP="0095132E">
            <w:pPr>
              <w:spacing w:line="240" w:lineRule="exact"/>
              <w:rPr>
                <w:lang w:val="en-US"/>
              </w:rPr>
            </w:pPr>
            <w:r>
              <w:rPr>
                <w:lang w:val="en-US"/>
              </w:rPr>
              <w:t>Original: English</w:t>
            </w:r>
          </w:p>
        </w:tc>
      </w:tr>
    </w:tbl>
    <w:p w14:paraId="4A3C52B8" w14:textId="77777777" w:rsidR="0095132E" w:rsidRDefault="008A37C8" w:rsidP="00255343">
      <w:pPr>
        <w:spacing w:before="120"/>
        <w:rPr>
          <w:b/>
          <w:sz w:val="28"/>
          <w:szCs w:val="28"/>
        </w:rPr>
      </w:pPr>
      <w:r w:rsidRPr="00245892">
        <w:rPr>
          <w:b/>
          <w:sz w:val="28"/>
          <w:szCs w:val="28"/>
        </w:rPr>
        <w:t>Европейская экономическая комиссия</w:t>
      </w:r>
    </w:p>
    <w:p w14:paraId="073E2980" w14:textId="77777777" w:rsidR="0095132E" w:rsidRPr="0095132E" w:rsidRDefault="0095132E" w:rsidP="0095132E">
      <w:pPr>
        <w:spacing w:before="120"/>
        <w:rPr>
          <w:sz w:val="28"/>
          <w:szCs w:val="28"/>
        </w:rPr>
      </w:pPr>
      <w:r w:rsidRPr="0095132E">
        <w:rPr>
          <w:sz w:val="28"/>
          <w:szCs w:val="28"/>
        </w:rPr>
        <w:t>Комитет по внутреннему транспорту</w:t>
      </w:r>
    </w:p>
    <w:p w14:paraId="76CAC001" w14:textId="77777777" w:rsidR="0095132E" w:rsidRPr="0095132E" w:rsidRDefault="0095132E" w:rsidP="0095132E">
      <w:pPr>
        <w:spacing w:before="120"/>
        <w:rPr>
          <w:b/>
          <w:sz w:val="24"/>
          <w:szCs w:val="24"/>
        </w:rPr>
      </w:pPr>
      <w:r w:rsidRPr="0095132E">
        <w:rPr>
          <w:b/>
          <w:bCs/>
          <w:sz w:val="24"/>
          <w:szCs w:val="24"/>
        </w:rPr>
        <w:t xml:space="preserve">Всемирный форум для согласования правил </w:t>
      </w:r>
      <w:r>
        <w:rPr>
          <w:b/>
          <w:bCs/>
          <w:sz w:val="24"/>
          <w:szCs w:val="24"/>
        </w:rPr>
        <w:br/>
      </w:r>
      <w:r w:rsidRPr="0095132E">
        <w:rPr>
          <w:b/>
          <w:bCs/>
          <w:sz w:val="24"/>
          <w:szCs w:val="24"/>
        </w:rPr>
        <w:t>в области транспортных средств</w:t>
      </w:r>
    </w:p>
    <w:p w14:paraId="5B34E285" w14:textId="77777777" w:rsidR="0095132E" w:rsidRPr="009A358C" w:rsidRDefault="0095132E" w:rsidP="0095132E">
      <w:pPr>
        <w:tabs>
          <w:tab w:val="center" w:pos="4819"/>
        </w:tabs>
        <w:spacing w:before="120"/>
        <w:rPr>
          <w:b/>
        </w:rPr>
      </w:pPr>
      <w:r>
        <w:rPr>
          <w:b/>
          <w:bCs/>
        </w:rPr>
        <w:t>179-я сессия</w:t>
      </w:r>
    </w:p>
    <w:p w14:paraId="16E2E169" w14:textId="77777777" w:rsidR="0095132E" w:rsidRPr="009A358C" w:rsidRDefault="0095132E" w:rsidP="0095132E">
      <w:r>
        <w:t>Женева, 12–14 ноября 2019 года</w:t>
      </w:r>
    </w:p>
    <w:p w14:paraId="18EE2B80" w14:textId="77777777" w:rsidR="0095132E" w:rsidRPr="009A358C" w:rsidRDefault="0095132E" w:rsidP="0095132E">
      <w:r>
        <w:t>Пункт 4.7.10 предварительной повестки дня</w:t>
      </w:r>
    </w:p>
    <w:p w14:paraId="04078361" w14:textId="77777777" w:rsidR="0095132E" w:rsidRDefault="0095132E" w:rsidP="0095132E">
      <w:pPr>
        <w:rPr>
          <w:b/>
          <w:bCs/>
        </w:rPr>
      </w:pPr>
      <w:r>
        <w:rPr>
          <w:b/>
          <w:bCs/>
        </w:rPr>
        <w:t xml:space="preserve">Соглашение 1958 года: </w:t>
      </w:r>
    </w:p>
    <w:p w14:paraId="2F47C45B" w14:textId="77777777" w:rsidR="0095132E" w:rsidRPr="009A358C" w:rsidRDefault="0095132E" w:rsidP="0095132E">
      <w:pPr>
        <w:rPr>
          <w:b/>
        </w:rPr>
      </w:pPr>
      <w:r>
        <w:rPr>
          <w:b/>
          <w:bCs/>
        </w:rPr>
        <w:t xml:space="preserve">Рассмотрение проектов поправок к существующим </w:t>
      </w:r>
      <w:r>
        <w:rPr>
          <w:b/>
          <w:bCs/>
        </w:rPr>
        <w:br/>
        <w:t>правилам ООН, представленных GRSG</w:t>
      </w:r>
      <w:r>
        <w:t xml:space="preserve"> </w:t>
      </w:r>
    </w:p>
    <w:p w14:paraId="6F449FA9" w14:textId="77777777" w:rsidR="0095132E" w:rsidRPr="00EB268D" w:rsidRDefault="0095132E" w:rsidP="00EB268D">
      <w:pPr>
        <w:pStyle w:val="HChG"/>
      </w:pPr>
      <w:r>
        <w:tab/>
      </w:r>
      <w:r>
        <w:tab/>
      </w:r>
      <w:r w:rsidRPr="00EB268D">
        <w:t>Предложение по дополнению 7 к Правилам № 116 ООН (противоугонные системы и системы охранной сигнализации)</w:t>
      </w:r>
    </w:p>
    <w:p w14:paraId="36AE16F9" w14:textId="77777777" w:rsidR="0095132E" w:rsidRPr="009A358C" w:rsidRDefault="0095132E" w:rsidP="0095132E">
      <w:pPr>
        <w:pStyle w:val="H1G"/>
      </w:pPr>
      <w:r>
        <w:tab/>
      </w:r>
      <w:r>
        <w:tab/>
      </w:r>
      <w:r>
        <w:rPr>
          <w:bCs/>
        </w:rPr>
        <w:t>Представлено экспертами от Рабочей группы по общим предписаниям, касающимся безопасности</w:t>
      </w:r>
      <w:r w:rsidRPr="0095132E">
        <w:rPr>
          <w:rStyle w:val="FootnoteReference"/>
          <w:rFonts w:eastAsiaTheme="minorHAnsi"/>
          <w:b w:val="0"/>
          <w:sz w:val="20"/>
          <w:vertAlign w:val="baseline"/>
        </w:rPr>
        <w:footnoteReference w:customMarkFollows="1" w:id="1"/>
        <w:t>*</w:t>
      </w:r>
    </w:p>
    <w:p w14:paraId="4FB41C9B" w14:textId="77777777" w:rsidR="0095132E" w:rsidRPr="009A358C" w:rsidRDefault="0095132E" w:rsidP="0095132E">
      <w:pPr>
        <w:spacing w:line="250" w:lineRule="auto"/>
        <w:ind w:left="1246" w:right="1192" w:firstLine="569"/>
        <w:jc w:val="both"/>
      </w:pPr>
      <w:r>
        <w:t>Воспроизведенный ниже текст был принят Рабочей группой по общим предписаниям, касающимся безопасности (GRSG), на ее 116-й сессии (ECE/TRANS/WP.29/GRSG/95, пункт 47). Он основан на документе ECE/TRANS/</w:t>
      </w:r>
      <w:r>
        <w:br/>
        <w:t>WP.29/GRSG/2018/25.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2019</w:t>
      </w:r>
      <w:r>
        <w:rPr>
          <w:lang w:val="en-US"/>
        </w:rPr>
        <w:t> </w:t>
      </w:r>
      <w:r>
        <w:t>года.</w:t>
      </w:r>
    </w:p>
    <w:p w14:paraId="4BBA5175" w14:textId="77777777" w:rsidR="0095132E" w:rsidRPr="009A358C" w:rsidRDefault="0095132E" w:rsidP="0095132E">
      <w:pPr>
        <w:pStyle w:val="HChG"/>
      </w:pPr>
      <w:r w:rsidRPr="009A358C">
        <w:br w:type="page"/>
      </w:r>
    </w:p>
    <w:p w14:paraId="45D3C59A" w14:textId="77777777" w:rsidR="0095132E" w:rsidRPr="009A358C" w:rsidRDefault="0095132E" w:rsidP="0095132E">
      <w:pPr>
        <w:pStyle w:val="HChG"/>
      </w:pPr>
      <w:r>
        <w:lastRenderedPageBreak/>
        <w:tab/>
      </w:r>
      <w:r>
        <w:tab/>
        <w:t>Дополнение 7 к Правилам № 116 ООН (противоугонные системы и системы охранной сигнализации)</w:t>
      </w:r>
    </w:p>
    <w:p w14:paraId="68508573" w14:textId="77777777" w:rsidR="0095132E" w:rsidRPr="00B30B97" w:rsidRDefault="0095132E" w:rsidP="0095132E">
      <w:pPr>
        <w:pStyle w:val="SingleTxtGR"/>
      </w:pPr>
      <w:r w:rsidRPr="00B30B97">
        <w:rPr>
          <w:i/>
          <w:iCs/>
        </w:rPr>
        <w:t>Пункт 5.4</w:t>
      </w:r>
      <w:r w:rsidRPr="00B30B97">
        <w:t xml:space="preserve"> изменить следующим образом:</w:t>
      </w:r>
    </w:p>
    <w:p w14:paraId="741C8B2E" w14:textId="77777777" w:rsidR="0095132E" w:rsidRPr="00B30B97" w:rsidRDefault="0095132E" w:rsidP="008D4285">
      <w:pPr>
        <w:pStyle w:val="SingleTxtGR"/>
        <w:ind w:left="2290" w:right="1138" w:hanging="1152"/>
      </w:pPr>
      <w:r w:rsidRPr="00B30B97">
        <w:rPr>
          <w:spacing w:val="-4"/>
        </w:rPr>
        <w:t>«</w:t>
      </w:r>
      <w:r>
        <w:rPr>
          <w:spacing w:val="-4"/>
        </w:rPr>
        <w:t>5.4</w:t>
      </w:r>
      <w:r w:rsidRPr="00B30B97">
        <w:rPr>
          <w:spacing w:val="-4"/>
        </w:rPr>
        <w:tab/>
      </w:r>
      <w:r w:rsidRPr="00B30B97">
        <w:rPr>
          <w:spacing w:val="-4"/>
        </w:rPr>
        <w:tab/>
      </w:r>
      <w:r w:rsidRPr="00B30B97">
        <w:t xml:space="preserve">Электромеханические и </w:t>
      </w:r>
      <w:r w:rsidRPr="008D4285">
        <w:t>электронные</w:t>
      </w:r>
      <w:r w:rsidRPr="00B30B97">
        <w:t xml:space="preserve"> устройства для предотвращения несанкционированного использования</w:t>
      </w:r>
    </w:p>
    <w:p w14:paraId="06144DF7" w14:textId="77777777" w:rsidR="0095132E" w:rsidRPr="009A358C" w:rsidRDefault="0095132E" w:rsidP="0095132E">
      <w:pPr>
        <w:pStyle w:val="SingleTxtGR"/>
        <w:ind w:left="2268" w:hanging="1134"/>
      </w:pPr>
      <w:r w:rsidRPr="00B30B97">
        <w:tab/>
      </w:r>
      <w:r>
        <w:tab/>
      </w:r>
      <w:r w:rsidRPr="00B30B97">
        <w:t xml:space="preserve">Электромеханические и электронные устройства для предотвращения несанкционированного использования, если таковые установлены, должны отвечать требованиям, предусмотренным в пунктах 5.2 и 5.3 выше и в пункте 8.4 ниже, с соответствующими изменениями. </w:t>
      </w:r>
      <w:r w:rsidRPr="009A358C">
        <w:rPr>
          <w:bCs/>
        </w:rPr>
        <w:t xml:space="preserve">Компоненты, которые не встроены в транспортное средство (например ключи, которые не используются для включения или выключения), могут не отвечать требованиям пункта </w:t>
      </w:r>
      <w:r w:rsidRPr="009A358C">
        <w:t>8.4.</w:t>
      </w:r>
    </w:p>
    <w:p w14:paraId="53FF9FB9" w14:textId="77777777" w:rsidR="0095132E" w:rsidRPr="009A358C" w:rsidRDefault="0095132E" w:rsidP="0095132E">
      <w:pPr>
        <w:pStyle w:val="SingleTxtGR"/>
        <w:ind w:left="2268" w:hanging="1134"/>
      </w:pPr>
      <w:r w:rsidRPr="009A358C">
        <w:tab/>
      </w:r>
      <w:r w:rsidRPr="009A358C">
        <w:tab/>
        <w:t>Если технология использования данного устройства такова, что пункты 5, 6 и 8.4 не применяются, то необходимо проверить, были ли приняты надлежащие меры по сохранению безопасности транспортного средства. Процесс функционирования этих устройств должен предполагать использование средств безопасности, позволяющих предотвратить любой риск блокировки или случайного выхода из строя, что могло бы создать проблемы с точки зрения безопасности транспортного средства».</w:t>
      </w:r>
    </w:p>
    <w:p w14:paraId="109F4F61" w14:textId="77777777" w:rsidR="0095132E" w:rsidRPr="009A358C" w:rsidRDefault="0095132E" w:rsidP="0095132E">
      <w:pPr>
        <w:pStyle w:val="SingleTxtGR"/>
      </w:pPr>
      <w:r w:rsidRPr="009A358C">
        <w:rPr>
          <w:i/>
        </w:rPr>
        <w:t>Пункт 6.4</w:t>
      </w:r>
      <w:r w:rsidRPr="009A358C">
        <w:t xml:space="preserve"> изменить следующим образом (а также исключить сноску </w:t>
      </w:r>
      <w:r w:rsidRPr="009A358C">
        <w:rPr>
          <w:vertAlign w:val="superscript"/>
        </w:rPr>
        <w:t>8</w:t>
      </w:r>
      <w:r w:rsidRPr="009A358C">
        <w:t xml:space="preserve"> и текст сноски </w:t>
      </w:r>
      <w:r w:rsidRPr="009A358C">
        <w:rPr>
          <w:vertAlign w:val="superscript"/>
        </w:rPr>
        <w:t>8</w:t>
      </w:r>
      <w:r w:rsidRPr="009A358C">
        <w:t xml:space="preserve"> и изменить нумерацию последующих сносок):</w:t>
      </w:r>
    </w:p>
    <w:p w14:paraId="4AB5078A" w14:textId="77777777" w:rsidR="0095132E" w:rsidRPr="009A358C" w:rsidRDefault="0095132E" w:rsidP="0095132E">
      <w:pPr>
        <w:pStyle w:val="SingleTxtGR"/>
        <w:ind w:left="2268" w:hanging="1134"/>
      </w:pPr>
      <w:r w:rsidRPr="009A358C">
        <w:t>«6.4</w:t>
      </w:r>
      <w:r w:rsidRPr="009A358C">
        <w:tab/>
      </w:r>
      <w:r w:rsidRPr="009A358C">
        <w:tab/>
        <w:t>Эксплуатационные параметры и условия проведения испытаний</w:t>
      </w:r>
    </w:p>
    <w:p w14:paraId="1DEF2807" w14:textId="77777777" w:rsidR="0095132E" w:rsidRPr="009A358C" w:rsidRDefault="0095132E" w:rsidP="0095132E">
      <w:pPr>
        <w:pStyle w:val="SingleTxtGR"/>
        <w:ind w:left="2268" w:hanging="1134"/>
      </w:pPr>
      <w:r w:rsidRPr="009A358C">
        <w:tab/>
      </w:r>
      <w:r w:rsidRPr="009A358C">
        <w:tab/>
        <w:t>Огни, которые используются в качестве части оптических сигнальных устройств стандартной системы освещения автомобиля, могут не отвечать эксплуатационным параметрам, указанным в пункте 6.4.1, и не подвергаются испытаниям, перечисленным в пункте 6.4.2.</w:t>
      </w:r>
    </w:p>
    <w:p w14:paraId="7ADF67C9" w14:textId="77777777" w:rsidR="0095132E" w:rsidRPr="009A358C" w:rsidRDefault="0095132E" w:rsidP="0095132E">
      <w:pPr>
        <w:pStyle w:val="SingleTxtGR"/>
        <w:ind w:left="2268" w:hanging="1134"/>
      </w:pPr>
      <w:r w:rsidRPr="009A358C">
        <w:tab/>
      </w:r>
      <w:r w:rsidRPr="009A358C">
        <w:tab/>
        <w:t>Компоненты, которые не встроены в транспортное средство (например ключи, которые используются для включения/выключения СОСТС), могут не отвечать эксплуатационным параметрам, указанным в пункте</w:t>
      </w:r>
      <w:r w:rsidR="007C1CA6">
        <w:rPr>
          <w:lang w:val="en-US"/>
        </w:rPr>
        <w:t> </w:t>
      </w:r>
      <w:r w:rsidRPr="009A358C">
        <w:t>6.4.1, и не подвергаются испытаниям, перечисленным в пункте</w:t>
      </w:r>
      <w:r w:rsidR="007C1CA6">
        <w:rPr>
          <w:lang w:val="en-US"/>
        </w:rPr>
        <w:t> </w:t>
      </w:r>
      <w:r w:rsidRPr="009A358C">
        <w:t>6.4.2».</w:t>
      </w:r>
    </w:p>
    <w:p w14:paraId="679D82A7" w14:textId="77777777" w:rsidR="0095132E" w:rsidRPr="009A358C" w:rsidRDefault="0095132E" w:rsidP="0095132E">
      <w:pPr>
        <w:pStyle w:val="SingleTxtGR"/>
        <w:rPr>
          <w:i/>
        </w:rPr>
      </w:pPr>
      <w:r w:rsidRPr="009A358C">
        <w:rPr>
          <w:i/>
        </w:rPr>
        <w:t>Включить новый пункт 7.4.3</w:t>
      </w:r>
      <w:r w:rsidRPr="009A358C">
        <w:t xml:space="preserve"> следующего содержания:</w:t>
      </w:r>
    </w:p>
    <w:p w14:paraId="20AA2B98" w14:textId="77777777" w:rsidR="0095132E" w:rsidRPr="009A358C" w:rsidRDefault="0095132E" w:rsidP="0095132E">
      <w:pPr>
        <w:pStyle w:val="SingleTxtGR"/>
        <w:ind w:left="2268" w:hanging="1134"/>
      </w:pPr>
      <w:r w:rsidRPr="009A358C">
        <w:t>«7.4.3</w:t>
      </w:r>
      <w:r w:rsidRPr="009A358C">
        <w:tab/>
      </w:r>
      <w:r w:rsidRPr="009A358C">
        <w:tab/>
        <w:t>Компоненты которые не встроены в транспортное средство, например ключи».</w:t>
      </w:r>
    </w:p>
    <w:p w14:paraId="3B57216A" w14:textId="77777777" w:rsidR="0095132E" w:rsidRPr="009A358C" w:rsidRDefault="0095132E" w:rsidP="0095132E">
      <w:pPr>
        <w:pStyle w:val="SingleTxtGR"/>
      </w:pPr>
      <w:r w:rsidRPr="009A358C">
        <w:rPr>
          <w:i/>
        </w:rPr>
        <w:t>Пункт 8.4.1</w:t>
      </w:r>
      <w:r w:rsidRPr="009A358C">
        <w:t xml:space="preserve"> изменить следующим образом:</w:t>
      </w:r>
    </w:p>
    <w:p w14:paraId="18A9A605" w14:textId="77777777" w:rsidR="0095132E" w:rsidRPr="009A358C" w:rsidRDefault="0095132E" w:rsidP="0095132E">
      <w:pPr>
        <w:pStyle w:val="SingleTxtGR"/>
      </w:pPr>
      <w:r w:rsidRPr="009A358C">
        <w:t>«8.4.1</w:t>
      </w:r>
      <w:r w:rsidRPr="009A358C">
        <w:tab/>
      </w:r>
      <w:r w:rsidRPr="009A358C">
        <w:tab/>
        <w:t>Эксплуатационные параметры</w:t>
      </w:r>
    </w:p>
    <w:p w14:paraId="3F52BE5F" w14:textId="77777777" w:rsidR="0095132E" w:rsidRPr="009A358C" w:rsidRDefault="0095132E" w:rsidP="0095132E">
      <w:pPr>
        <w:pStyle w:val="SingleTxtGR"/>
        <w:ind w:left="2268" w:hanging="1134"/>
      </w:pPr>
      <w:r w:rsidRPr="009A358C">
        <w:tab/>
      </w:r>
      <w:r w:rsidRPr="009A358C">
        <w:tab/>
        <w:t>Все элементы иммобилизатора должны отвечать предписаниям, изложенным в пункте 6.4 настоящих Правил.</w:t>
      </w:r>
    </w:p>
    <w:p w14:paraId="645E10F6" w14:textId="77777777" w:rsidR="0095132E" w:rsidRPr="009A358C" w:rsidRDefault="0095132E" w:rsidP="0095132E">
      <w:pPr>
        <w:pStyle w:val="SingleTxtGR"/>
      </w:pPr>
      <w:r w:rsidRPr="009A358C">
        <w:tab/>
      </w:r>
      <w:r w:rsidRPr="009A358C">
        <w:tab/>
        <w:t>Это требование не применяется к:</w:t>
      </w:r>
    </w:p>
    <w:p w14:paraId="07BD8E07" w14:textId="77777777" w:rsidR="0095132E" w:rsidRPr="009A358C" w:rsidRDefault="0095132E" w:rsidP="0095132E">
      <w:pPr>
        <w:pStyle w:val="SingleTxtGR"/>
        <w:ind w:left="2835" w:hanging="1701"/>
      </w:pPr>
      <w:r w:rsidRPr="009A358C">
        <w:tab/>
      </w:r>
      <w:r w:rsidRPr="009A358C">
        <w:tab/>
      </w:r>
      <w:r w:rsidRPr="009A358C">
        <w:rPr>
          <w:lang w:val="en-GB"/>
        </w:rPr>
        <w:t>i</w:t>
      </w:r>
      <w:r w:rsidRPr="009A358C">
        <w:t>)</w:t>
      </w:r>
      <w:r w:rsidRPr="009A358C">
        <w:tab/>
        <w:t>тем элементам, которые устанавливаются и испытываются в качестве части транспортного средства, независимо от того, установлен ли иммобилизатор (например, фонари); или</w:t>
      </w:r>
    </w:p>
    <w:p w14:paraId="0DFE6229" w14:textId="77777777" w:rsidR="0095132E" w:rsidRPr="009A358C" w:rsidRDefault="0095132E" w:rsidP="0095132E">
      <w:pPr>
        <w:pStyle w:val="SingleTxtGR"/>
        <w:ind w:left="2835" w:hanging="1701"/>
      </w:pPr>
      <w:r w:rsidRPr="009A358C">
        <w:tab/>
      </w:r>
      <w:r w:rsidRPr="009A358C">
        <w:tab/>
      </w:r>
      <w:r w:rsidRPr="009A358C">
        <w:rPr>
          <w:lang w:val="en-GB"/>
        </w:rPr>
        <w:t>ii</w:t>
      </w:r>
      <w:r w:rsidRPr="009A358C">
        <w:t>)</w:t>
      </w:r>
      <w:r w:rsidRPr="009A358C">
        <w:tab/>
        <w:t>тем элементам, которые ранее были подвергнуты испытанию в качестве части транспортного средства, и было представлено документальное подтверждение, или</w:t>
      </w:r>
    </w:p>
    <w:p w14:paraId="73087A89" w14:textId="77777777" w:rsidR="0095132E" w:rsidRPr="009A358C" w:rsidRDefault="0095132E" w:rsidP="0095132E">
      <w:pPr>
        <w:tabs>
          <w:tab w:val="left" w:pos="2268"/>
          <w:tab w:val="left" w:pos="2835"/>
        </w:tabs>
        <w:spacing w:before="120" w:after="120" w:line="240" w:lineRule="auto"/>
        <w:ind w:left="2835" w:right="1134" w:hanging="1701"/>
        <w:jc w:val="both"/>
      </w:pPr>
      <w:r w:rsidRPr="009A358C">
        <w:tab/>
        <w:t>iii)</w:t>
      </w:r>
      <w:r w:rsidRPr="009A358C">
        <w:tab/>
        <w:t>компоненты, которые не встроены в транспортное средство, например ключи».</w:t>
      </w:r>
    </w:p>
    <w:p w14:paraId="2751CA17" w14:textId="77777777" w:rsidR="00E12C5F" w:rsidRPr="008D53B6" w:rsidRDefault="0095132E" w:rsidP="007C1CA6">
      <w:pPr>
        <w:spacing w:before="240"/>
        <w:jc w:val="center"/>
      </w:pPr>
      <w:r w:rsidRPr="009A358C">
        <w:rPr>
          <w:u w:val="single"/>
        </w:rPr>
        <w:tab/>
      </w:r>
      <w:r w:rsidRPr="009A358C">
        <w:rPr>
          <w:u w:val="single"/>
        </w:rPr>
        <w:tab/>
      </w:r>
      <w:r w:rsidRPr="009A358C">
        <w:rPr>
          <w:u w:val="single"/>
        </w:rPr>
        <w:tab/>
      </w:r>
    </w:p>
    <w:sectPr w:rsidR="00E12C5F" w:rsidRPr="008D53B6" w:rsidSect="0095132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2C45" w14:textId="77777777" w:rsidR="005E3558" w:rsidRPr="00A312BC" w:rsidRDefault="005E3558" w:rsidP="00A312BC"/>
  </w:endnote>
  <w:endnote w:type="continuationSeparator" w:id="0">
    <w:p w14:paraId="28B64116" w14:textId="77777777" w:rsidR="005E3558" w:rsidRPr="00A312BC" w:rsidRDefault="005E35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BCA3" w14:textId="77777777" w:rsidR="0095132E" w:rsidRPr="0095132E" w:rsidRDefault="0095132E">
    <w:pPr>
      <w:pStyle w:val="Footer"/>
    </w:pPr>
    <w:r w:rsidRPr="0095132E">
      <w:rPr>
        <w:b/>
        <w:sz w:val="18"/>
      </w:rPr>
      <w:fldChar w:fldCharType="begin"/>
    </w:r>
    <w:r w:rsidRPr="0095132E">
      <w:rPr>
        <w:b/>
        <w:sz w:val="18"/>
      </w:rPr>
      <w:instrText xml:space="preserve"> PAGE  \* MERGEFORMAT </w:instrText>
    </w:r>
    <w:r w:rsidRPr="0095132E">
      <w:rPr>
        <w:b/>
        <w:sz w:val="18"/>
      </w:rPr>
      <w:fldChar w:fldCharType="separate"/>
    </w:r>
    <w:r w:rsidR="009263EA">
      <w:rPr>
        <w:b/>
        <w:noProof/>
        <w:sz w:val="18"/>
      </w:rPr>
      <w:t>2</w:t>
    </w:r>
    <w:r w:rsidRPr="0095132E">
      <w:rPr>
        <w:b/>
        <w:sz w:val="18"/>
      </w:rPr>
      <w:fldChar w:fldCharType="end"/>
    </w:r>
    <w:r>
      <w:rPr>
        <w:b/>
        <w:sz w:val="18"/>
      </w:rPr>
      <w:tab/>
    </w:r>
    <w:r>
      <w:t>GE.19-14333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D13D" w14:textId="77777777" w:rsidR="0095132E" w:rsidRPr="0095132E" w:rsidRDefault="0095132E" w:rsidP="0095132E">
    <w:pPr>
      <w:pStyle w:val="Footer"/>
      <w:tabs>
        <w:tab w:val="clear" w:pos="9639"/>
        <w:tab w:val="right" w:pos="9638"/>
      </w:tabs>
      <w:rPr>
        <w:b/>
        <w:sz w:val="18"/>
      </w:rPr>
    </w:pPr>
    <w:r>
      <w:t>GE.19-14333</w:t>
    </w:r>
    <w:r>
      <w:tab/>
    </w:r>
    <w:r w:rsidRPr="0095132E">
      <w:rPr>
        <w:b/>
        <w:sz w:val="18"/>
      </w:rPr>
      <w:fldChar w:fldCharType="begin"/>
    </w:r>
    <w:r w:rsidRPr="0095132E">
      <w:rPr>
        <w:b/>
        <w:sz w:val="18"/>
      </w:rPr>
      <w:instrText xml:space="preserve"> PAGE  \* MERGEFORMAT </w:instrText>
    </w:r>
    <w:r w:rsidRPr="0095132E">
      <w:rPr>
        <w:b/>
        <w:sz w:val="18"/>
      </w:rPr>
      <w:fldChar w:fldCharType="separate"/>
    </w:r>
    <w:r w:rsidR="007C1CA6">
      <w:rPr>
        <w:b/>
        <w:noProof/>
        <w:sz w:val="18"/>
      </w:rPr>
      <w:t>3</w:t>
    </w:r>
    <w:r w:rsidRPr="009513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4BB0" w14:textId="77777777" w:rsidR="00042B72" w:rsidRPr="0095132E" w:rsidRDefault="0095132E" w:rsidP="0095132E">
    <w:pPr>
      <w:spacing w:before="120" w:line="240" w:lineRule="auto"/>
    </w:pPr>
    <w:r>
      <w:t>GE.</w:t>
    </w:r>
    <w:r w:rsidR="00DF71B9">
      <w:rPr>
        <w:b/>
        <w:noProof/>
        <w:lang w:eastAsia="ru-RU"/>
      </w:rPr>
      <w:drawing>
        <wp:anchor distT="0" distB="0" distL="114300" distR="114300" simplePos="0" relativeHeight="251658240" behindDoc="0" locked="0" layoutInCell="1" allowOverlap="1" wp14:anchorId="41D6C53B" wp14:editId="6759433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19-14333  (R)</w:t>
    </w:r>
    <w:r>
      <w:rPr>
        <w:lang w:val="en-US"/>
      </w:rPr>
      <w:t xml:space="preserve">  060919  100919</w:t>
    </w:r>
    <w:r>
      <w:br/>
    </w:r>
    <w:r w:rsidRPr="0095132E">
      <w:rPr>
        <w:rFonts w:ascii="C39T30Lfz" w:hAnsi="C39T30Lfz"/>
        <w:kern w:val="14"/>
        <w:sz w:val="56"/>
      </w:rPr>
      <w:t></w:t>
    </w:r>
    <w:r w:rsidRPr="0095132E">
      <w:rPr>
        <w:rFonts w:ascii="C39T30Lfz" w:hAnsi="C39T30Lfz"/>
        <w:kern w:val="14"/>
        <w:sz w:val="56"/>
      </w:rPr>
      <w:t></w:t>
    </w:r>
    <w:r w:rsidRPr="0095132E">
      <w:rPr>
        <w:rFonts w:ascii="C39T30Lfz" w:hAnsi="C39T30Lfz"/>
        <w:kern w:val="14"/>
        <w:sz w:val="56"/>
      </w:rPr>
      <w:t></w:t>
    </w:r>
    <w:r w:rsidRPr="0095132E">
      <w:rPr>
        <w:rFonts w:ascii="C39T30Lfz" w:hAnsi="C39T30Lfz"/>
        <w:kern w:val="14"/>
        <w:sz w:val="56"/>
      </w:rPr>
      <w:t></w:t>
    </w:r>
    <w:r w:rsidRPr="0095132E">
      <w:rPr>
        <w:rFonts w:ascii="C39T30Lfz" w:hAnsi="C39T30Lfz"/>
        <w:kern w:val="14"/>
        <w:sz w:val="56"/>
      </w:rPr>
      <w:t></w:t>
    </w:r>
    <w:r w:rsidRPr="0095132E">
      <w:rPr>
        <w:rFonts w:ascii="C39T30Lfz" w:hAnsi="C39T30Lfz"/>
        <w:kern w:val="14"/>
        <w:sz w:val="56"/>
      </w:rPr>
      <w:t></w:t>
    </w:r>
    <w:r w:rsidRPr="0095132E">
      <w:rPr>
        <w:rFonts w:ascii="C39T30Lfz" w:hAnsi="C39T30Lfz"/>
        <w:kern w:val="14"/>
        <w:sz w:val="56"/>
      </w:rPr>
      <w:t></w:t>
    </w:r>
    <w:r w:rsidRPr="0095132E">
      <w:rPr>
        <w:rFonts w:ascii="C39T30Lfz" w:hAnsi="C39T30Lfz"/>
        <w:kern w:val="14"/>
        <w:sz w:val="56"/>
      </w:rPr>
      <w:t></w:t>
    </w:r>
    <w:r w:rsidRPr="0095132E">
      <w:rPr>
        <w:rFonts w:ascii="C39T30Lfz" w:hAnsi="C39T30Lfz"/>
        <w:kern w:val="14"/>
        <w:sz w:val="56"/>
      </w:rPr>
      <w:t></w:t>
    </w:r>
    <w:r>
      <w:rPr>
        <w:noProof/>
        <w:lang w:eastAsia="ru-RU"/>
      </w:rPr>
      <w:drawing>
        <wp:anchor distT="0" distB="0" distL="114300" distR="114300" simplePos="0" relativeHeight="251659264" behindDoc="0" locked="0" layoutInCell="1" allowOverlap="1" wp14:anchorId="6675B5CE" wp14:editId="4CCC8B95">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10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0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0BBA" w14:textId="77777777" w:rsidR="005E3558" w:rsidRPr="001075E9" w:rsidRDefault="005E3558" w:rsidP="001075E9">
      <w:pPr>
        <w:tabs>
          <w:tab w:val="right" w:pos="2155"/>
        </w:tabs>
        <w:spacing w:after="80" w:line="240" w:lineRule="auto"/>
        <w:ind w:left="680"/>
        <w:rPr>
          <w:u w:val="single"/>
        </w:rPr>
      </w:pPr>
      <w:r>
        <w:rPr>
          <w:u w:val="single"/>
        </w:rPr>
        <w:tab/>
      </w:r>
    </w:p>
  </w:footnote>
  <w:footnote w:type="continuationSeparator" w:id="0">
    <w:p w14:paraId="0584724B" w14:textId="77777777" w:rsidR="005E3558" w:rsidRDefault="005E3558" w:rsidP="00407B78">
      <w:pPr>
        <w:tabs>
          <w:tab w:val="right" w:pos="2155"/>
        </w:tabs>
        <w:spacing w:after="80"/>
        <w:ind w:left="680"/>
        <w:rPr>
          <w:u w:val="single"/>
        </w:rPr>
      </w:pPr>
      <w:r>
        <w:rPr>
          <w:u w:val="single"/>
        </w:rPr>
        <w:tab/>
      </w:r>
    </w:p>
  </w:footnote>
  <w:footnote w:id="1">
    <w:p w14:paraId="5E13B49C" w14:textId="77777777" w:rsidR="0095132E" w:rsidRPr="00040050" w:rsidRDefault="0095132E" w:rsidP="0095132E">
      <w:pPr>
        <w:pStyle w:val="FootnoteText"/>
      </w:pPr>
      <w:r>
        <w:tab/>
      </w:r>
      <w:r w:rsidRPr="0095132E">
        <w:rPr>
          <w:sz w:val="20"/>
        </w:rPr>
        <w:t>*</w:t>
      </w:r>
      <w:r>
        <w:tab/>
        <w:t>В соответствии с программой работы Комитета по внутреннему транспорту на 2018−2019 годы (ECE/TRANS/274, пункт 123, и ECE/TRANS/2018/21/Add.1,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sidR="00EB268D">
        <w:rPr>
          <w:lang w:val="en-US"/>
        </w:rPr>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B468" w14:textId="77CBDB6B" w:rsidR="0095132E" w:rsidRPr="0095132E" w:rsidRDefault="00F94DBC">
    <w:pPr>
      <w:pStyle w:val="Header"/>
    </w:pPr>
    <w:r>
      <w:fldChar w:fldCharType="begin"/>
    </w:r>
    <w:r>
      <w:instrText xml:space="preserve"> TITLE  \* MERGEFORM</w:instrText>
    </w:r>
    <w:r>
      <w:instrText xml:space="preserve">AT </w:instrText>
    </w:r>
    <w:r>
      <w:fldChar w:fldCharType="separate"/>
    </w:r>
    <w:r>
      <w:t>ECE/TRANS/WP.29/2019/102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339A" w14:textId="38F4DF8C" w:rsidR="0095132E" w:rsidRPr="0095132E" w:rsidRDefault="00F94DBC" w:rsidP="0095132E">
    <w:pPr>
      <w:pStyle w:val="Header"/>
      <w:jc w:val="right"/>
    </w:pPr>
    <w:r>
      <w:fldChar w:fldCharType="begin"/>
    </w:r>
    <w:r>
      <w:instrText xml:space="preserve"> TITLE  \* MERGEFORMAT </w:instrText>
    </w:r>
    <w:r>
      <w:fldChar w:fldCharType="separate"/>
    </w:r>
    <w:r>
      <w:t>ECE/TRANS/WP.29/2019/102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8"/>
    <w:rsid w:val="00033EE1"/>
    <w:rsid w:val="00042B72"/>
    <w:rsid w:val="000558BD"/>
    <w:rsid w:val="000B57E7"/>
    <w:rsid w:val="000B6373"/>
    <w:rsid w:val="000E4E5B"/>
    <w:rsid w:val="000F09DF"/>
    <w:rsid w:val="000F61B2"/>
    <w:rsid w:val="001075E9"/>
    <w:rsid w:val="001149E7"/>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E3558"/>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C1CA6"/>
    <w:rsid w:val="00806737"/>
    <w:rsid w:val="00825F8D"/>
    <w:rsid w:val="00834B71"/>
    <w:rsid w:val="0086445C"/>
    <w:rsid w:val="00894693"/>
    <w:rsid w:val="008A08D7"/>
    <w:rsid w:val="008A37C8"/>
    <w:rsid w:val="008B6909"/>
    <w:rsid w:val="008D4285"/>
    <w:rsid w:val="008D53B6"/>
    <w:rsid w:val="008F7609"/>
    <w:rsid w:val="00906890"/>
    <w:rsid w:val="00911BE4"/>
    <w:rsid w:val="009263EA"/>
    <w:rsid w:val="0095132E"/>
    <w:rsid w:val="00951972"/>
    <w:rsid w:val="009608F3"/>
    <w:rsid w:val="009A24AC"/>
    <w:rsid w:val="009C59D7"/>
    <w:rsid w:val="009C6FE6"/>
    <w:rsid w:val="009D7E7D"/>
    <w:rsid w:val="00A14DA8"/>
    <w:rsid w:val="00A312BC"/>
    <w:rsid w:val="00A608EF"/>
    <w:rsid w:val="00A84021"/>
    <w:rsid w:val="00A84D35"/>
    <w:rsid w:val="00A917B3"/>
    <w:rsid w:val="00AB4B51"/>
    <w:rsid w:val="00B10CC7"/>
    <w:rsid w:val="00B36DF7"/>
    <w:rsid w:val="00B539E7"/>
    <w:rsid w:val="00B62458"/>
    <w:rsid w:val="00B70CC5"/>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65D2C"/>
    <w:rsid w:val="00E73F76"/>
    <w:rsid w:val="00EA2C9F"/>
    <w:rsid w:val="00EA420E"/>
    <w:rsid w:val="00EB268D"/>
    <w:rsid w:val="00ED0BDA"/>
    <w:rsid w:val="00EE142A"/>
    <w:rsid w:val="00EF1360"/>
    <w:rsid w:val="00EF3220"/>
    <w:rsid w:val="00F2523A"/>
    <w:rsid w:val="00F43903"/>
    <w:rsid w:val="00F94155"/>
    <w:rsid w:val="00F94DBC"/>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15121"/>
  <w15:docId w15:val="{A4D089A6-8BC6-401E-AE7B-102FE3F8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95132E"/>
    <w:rPr>
      <w:b/>
      <w:sz w:val="28"/>
      <w:lang w:val="ru-RU" w:eastAsia="ru-RU"/>
    </w:rPr>
  </w:style>
  <w:style w:type="character" w:customStyle="1" w:styleId="H1GChar">
    <w:name w:val="_ H_1_G Char"/>
    <w:link w:val="H1G"/>
    <w:rsid w:val="0095132E"/>
    <w:rPr>
      <w:b/>
      <w:sz w:val="24"/>
      <w:lang w:val="ru-RU" w:eastAsia="ru-RU"/>
    </w:rPr>
  </w:style>
  <w:style w:type="paragraph" w:customStyle="1" w:styleId="SingleTxtGR">
    <w:name w:val="_ Single Txt_GR"/>
    <w:basedOn w:val="Normal"/>
    <w:qFormat/>
    <w:rsid w:val="0095132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ECE/TRANS/WP.29/2019/102</vt:lpstr>
      <vt:lpstr>ECE/TRANS/WP.29/2019/102</vt:lpstr>
      <vt:lpstr>A/</vt:lpstr>
    </vt:vector>
  </TitlesOfParts>
  <Company>DCM</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ECE/TRANS/WP.29/2019/102</dc:title>
  <dc:subject/>
  <dc:creator>Tatiana SHARKINA</dc:creator>
  <cp:keywords/>
  <cp:lastModifiedBy>Marie-Claude Collet</cp:lastModifiedBy>
  <cp:revision>3</cp:revision>
  <cp:lastPrinted>2019-10-01T13:21:00Z</cp:lastPrinted>
  <dcterms:created xsi:type="dcterms:W3CDTF">2019-10-01T13:21:00Z</dcterms:created>
  <dcterms:modified xsi:type="dcterms:W3CDTF">2019-10-01T13:21:00Z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