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736DF1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88586BC" w14:textId="77777777" w:rsidR="00F35BAF" w:rsidRPr="00DB58B5" w:rsidRDefault="00F35BAF" w:rsidP="00EC035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58E9E6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B5FD9E4" w14:textId="77777777" w:rsidR="00F35BAF" w:rsidRPr="00DB58B5" w:rsidRDefault="00EC0357" w:rsidP="00EC0357">
            <w:pPr>
              <w:jc w:val="right"/>
            </w:pPr>
            <w:r w:rsidRPr="00EC0357">
              <w:rPr>
                <w:sz w:val="40"/>
              </w:rPr>
              <w:t>ECE</w:t>
            </w:r>
            <w:r>
              <w:t>/TRANS/WP.29/2019/98</w:t>
            </w:r>
          </w:p>
        </w:tc>
      </w:tr>
      <w:tr w:rsidR="00F35BAF" w:rsidRPr="00DB58B5" w14:paraId="23846FF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F183D7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7B1475A" wp14:editId="070AF9D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FB7B4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DB4A28B" w14:textId="77777777" w:rsidR="00F35BAF" w:rsidRDefault="00EC0357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35CC62DF" w14:textId="77777777" w:rsidR="00EC0357" w:rsidRDefault="00EC0357" w:rsidP="00EC0357">
            <w:pPr>
              <w:spacing w:line="240" w:lineRule="exact"/>
            </w:pPr>
            <w:r>
              <w:t>22 août 2019</w:t>
            </w:r>
          </w:p>
          <w:p w14:paraId="7CF9DD93" w14:textId="77777777" w:rsidR="00EC0357" w:rsidRDefault="00EC0357" w:rsidP="00EC0357">
            <w:pPr>
              <w:spacing w:line="240" w:lineRule="exact"/>
            </w:pPr>
            <w:r>
              <w:t>Français</w:t>
            </w:r>
          </w:p>
          <w:p w14:paraId="18B64512" w14:textId="77777777" w:rsidR="00EC0357" w:rsidRPr="00DB58B5" w:rsidRDefault="00EC0357" w:rsidP="00EC0357">
            <w:pPr>
              <w:spacing w:line="240" w:lineRule="exact"/>
            </w:pPr>
            <w:r>
              <w:t>Original : anglais</w:t>
            </w:r>
          </w:p>
        </w:tc>
      </w:tr>
    </w:tbl>
    <w:p w14:paraId="2AC8724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6D5114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7053B9F" w14:textId="77777777" w:rsidR="00EC0357" w:rsidRDefault="00EC0357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ECD0047" w14:textId="77777777" w:rsidR="00EC0357" w:rsidRDefault="00EC0357" w:rsidP="00AF0CB5">
      <w:pPr>
        <w:spacing w:before="120" w:line="240" w:lineRule="exact"/>
        <w:rPr>
          <w:b/>
        </w:rPr>
      </w:pPr>
      <w:r w:rsidRPr="00CC4408">
        <w:rPr>
          <w:b/>
          <w:lang w:val="fr-FR"/>
        </w:rPr>
        <w:t>179</w:t>
      </w:r>
      <w:r w:rsidRPr="00EC0357">
        <w:rPr>
          <w:b/>
          <w:vertAlign w:val="superscript"/>
          <w:lang w:val="fr-FR"/>
        </w:rPr>
        <w:t>e</w:t>
      </w:r>
      <w:r>
        <w:rPr>
          <w:b/>
        </w:rPr>
        <w:t xml:space="preserve"> session</w:t>
      </w:r>
    </w:p>
    <w:p w14:paraId="59908280" w14:textId="77777777" w:rsidR="00EC0357" w:rsidRDefault="00EC0357" w:rsidP="00AF0CB5">
      <w:pPr>
        <w:spacing w:line="240" w:lineRule="exact"/>
      </w:pPr>
      <w:r>
        <w:t xml:space="preserve">Genève, </w:t>
      </w:r>
      <w:r w:rsidRPr="00CC4408">
        <w:rPr>
          <w:lang w:val="fr-FR"/>
        </w:rPr>
        <w:t>12-14 novembre 2019</w:t>
      </w:r>
    </w:p>
    <w:p w14:paraId="17EB591F" w14:textId="77777777" w:rsidR="00EC0357" w:rsidRPr="00CC4408" w:rsidRDefault="00EC0357" w:rsidP="00EC0357">
      <w:pPr>
        <w:rPr>
          <w:lang w:val="fr-FR"/>
        </w:rPr>
      </w:pPr>
      <w:r w:rsidRPr="00CC4408">
        <w:rPr>
          <w:lang w:val="fr-FR"/>
        </w:rPr>
        <w:t>Point 4.7.6 de</w:t>
      </w:r>
      <w:r>
        <w:rPr>
          <w:lang w:val="fr-FR"/>
        </w:rPr>
        <w:t xml:space="preserve"> l’ordre du jour provisoire</w:t>
      </w:r>
    </w:p>
    <w:p w14:paraId="3AC6ADF6" w14:textId="77777777" w:rsidR="00EC0357" w:rsidRPr="00CC4408" w:rsidRDefault="00EC0357" w:rsidP="00EC0357">
      <w:pPr>
        <w:rPr>
          <w:b/>
          <w:lang w:val="fr-FR"/>
        </w:rPr>
      </w:pPr>
      <w:r w:rsidRPr="00CC4408">
        <w:rPr>
          <w:b/>
          <w:lang w:val="fr-FR"/>
        </w:rPr>
        <w:t>Accor</w:t>
      </w:r>
      <w:r>
        <w:rPr>
          <w:b/>
          <w:lang w:val="fr-FR"/>
        </w:rPr>
        <w:t>d</w:t>
      </w:r>
      <w:r w:rsidRPr="00CC4408">
        <w:rPr>
          <w:b/>
          <w:lang w:val="fr-FR"/>
        </w:rPr>
        <w:t xml:space="preserve"> de 1958 :</w:t>
      </w:r>
      <w:r w:rsidRPr="00CC4408">
        <w:rPr>
          <w:b/>
          <w:lang w:val="fr-FR"/>
        </w:rPr>
        <w:br/>
        <w:t>Examen de propositions d</w:t>
      </w:r>
      <w:r>
        <w:rPr>
          <w:b/>
          <w:lang w:val="fr-FR"/>
        </w:rPr>
        <w:t>’</w:t>
      </w:r>
      <w:r w:rsidRPr="00CC4408">
        <w:rPr>
          <w:b/>
          <w:lang w:val="fr-FR"/>
        </w:rPr>
        <w:t>amendements à des Règlements ONU e</w:t>
      </w:r>
      <w:r>
        <w:rPr>
          <w:b/>
          <w:lang w:val="fr-FR"/>
        </w:rPr>
        <w:t xml:space="preserve">xistants, </w:t>
      </w:r>
      <w:r>
        <w:rPr>
          <w:b/>
          <w:lang w:val="fr-FR"/>
        </w:rPr>
        <w:br/>
        <w:t>soumises par le</w:t>
      </w:r>
      <w:r w:rsidRPr="00CC4408">
        <w:rPr>
          <w:b/>
          <w:lang w:val="fr-FR"/>
        </w:rPr>
        <w:t xml:space="preserve"> GRSG </w:t>
      </w:r>
    </w:p>
    <w:p w14:paraId="730C9CF1" w14:textId="77777777" w:rsidR="00EC0357" w:rsidRPr="00CC4408" w:rsidRDefault="00EC0357" w:rsidP="00EC0357">
      <w:pPr>
        <w:pStyle w:val="HChG"/>
        <w:rPr>
          <w:bCs/>
          <w:szCs w:val="28"/>
          <w:lang w:val="fr-FR"/>
        </w:rPr>
      </w:pPr>
      <w:r w:rsidRPr="00CC4408">
        <w:rPr>
          <w:lang w:val="fr-FR"/>
        </w:rPr>
        <w:tab/>
      </w:r>
      <w:r w:rsidRPr="00CC4408">
        <w:rPr>
          <w:lang w:val="fr-FR"/>
        </w:rPr>
        <w:tab/>
      </w:r>
      <w:r w:rsidRPr="00CC4408">
        <w:rPr>
          <w:bCs/>
          <w:lang w:val="fr-FR"/>
        </w:rPr>
        <w:t xml:space="preserve">Proposition de complément </w:t>
      </w:r>
      <w:r w:rsidRPr="00CC4408">
        <w:rPr>
          <w:lang w:val="fr-FR"/>
        </w:rPr>
        <w:t xml:space="preserve">2 à la série 02 </w:t>
      </w:r>
      <w:r>
        <w:rPr>
          <w:lang w:val="fr-FR"/>
        </w:rPr>
        <w:t>d’</w:t>
      </w:r>
      <w:r w:rsidRPr="00CC4408">
        <w:rPr>
          <w:lang w:val="fr-FR"/>
        </w:rPr>
        <w:t>amend</w:t>
      </w:r>
      <w:r>
        <w:rPr>
          <w:lang w:val="fr-FR"/>
        </w:rPr>
        <w:t>e</w:t>
      </w:r>
      <w:r w:rsidRPr="00CC4408">
        <w:rPr>
          <w:lang w:val="fr-FR"/>
        </w:rPr>
        <w:t xml:space="preserve">ments </w:t>
      </w:r>
      <w:r>
        <w:rPr>
          <w:lang w:val="fr-FR"/>
        </w:rPr>
        <w:br/>
        <w:t xml:space="preserve">au Règlement ONU </w:t>
      </w:r>
      <w:r w:rsidRPr="00CC4408">
        <w:rPr>
          <w:lang w:val="fr-FR"/>
        </w:rPr>
        <w:t>n</w:t>
      </w:r>
      <w:r w:rsidRPr="00CC4408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CC4408">
        <w:rPr>
          <w:lang w:val="fr-FR"/>
        </w:rPr>
        <w:t>67 (</w:t>
      </w:r>
      <w:r>
        <w:rPr>
          <w:lang w:val="fr-FR"/>
        </w:rPr>
        <w:t>Véhicules alimentés au GPL</w:t>
      </w:r>
      <w:r w:rsidRPr="00CC4408">
        <w:rPr>
          <w:lang w:val="fr-FR"/>
        </w:rPr>
        <w:t>)</w:t>
      </w:r>
    </w:p>
    <w:p w14:paraId="45EDBCF1" w14:textId="77777777" w:rsidR="00EC0357" w:rsidRPr="00CC4408" w:rsidRDefault="00EC0357" w:rsidP="00EC0357">
      <w:pPr>
        <w:pStyle w:val="H1G"/>
        <w:rPr>
          <w:lang w:val="fr-FR"/>
        </w:rPr>
      </w:pPr>
      <w:r w:rsidRPr="00CC4408">
        <w:rPr>
          <w:lang w:val="fr-FR"/>
        </w:rPr>
        <w:tab/>
      </w:r>
      <w:r w:rsidRPr="00CC4408">
        <w:rPr>
          <w:lang w:val="fr-FR"/>
        </w:rPr>
        <w:tab/>
        <w:t xml:space="preserve">Communication du Groupe de travail des dispositions générales </w:t>
      </w:r>
      <w:r>
        <w:rPr>
          <w:lang w:val="fr-FR"/>
        </w:rPr>
        <w:br/>
      </w:r>
      <w:r w:rsidRPr="00CC4408">
        <w:rPr>
          <w:lang w:val="fr-FR"/>
        </w:rPr>
        <w:t>de sécurité</w:t>
      </w:r>
      <w:r w:rsidRPr="00EC0357">
        <w:rPr>
          <w:rStyle w:val="FootnoteReference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4C7638E6" w14:textId="77777777" w:rsidR="00EC0357" w:rsidRPr="00CC4408" w:rsidRDefault="00EC0357" w:rsidP="00EC0357">
      <w:pPr>
        <w:pStyle w:val="SingleTxtG"/>
        <w:ind w:firstLine="567"/>
        <w:rPr>
          <w:lang w:val="fr-FR"/>
        </w:rPr>
      </w:pPr>
      <w:r w:rsidRPr="00CC4408">
        <w:rPr>
          <w:lang w:val="fr-FR"/>
        </w:rPr>
        <w:t>Le texte ci-après</w:t>
      </w:r>
      <w:r>
        <w:rPr>
          <w:lang w:val="fr-FR"/>
        </w:rPr>
        <w:t xml:space="preserve">, </w:t>
      </w:r>
      <w:r w:rsidRPr="00CC4408">
        <w:rPr>
          <w:lang w:val="fr-FR"/>
        </w:rPr>
        <w:t>adopté par le Groupe de travail des dispositions générales de sécurité (GRSG) à sa 116</w:t>
      </w:r>
      <w:r w:rsidRPr="00EC0357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CC4408">
        <w:rPr>
          <w:lang w:val="fr-FR"/>
        </w:rPr>
        <w:t>session (ECE/TRANS/WP.29/GRSG/95, par.</w:t>
      </w:r>
      <w:r>
        <w:rPr>
          <w:lang w:val="fr-FR"/>
        </w:rPr>
        <w:t> </w:t>
      </w:r>
      <w:r w:rsidRPr="00CC4408">
        <w:rPr>
          <w:lang w:val="fr-FR"/>
        </w:rPr>
        <w:t>38</w:t>
      </w:r>
      <w:r>
        <w:rPr>
          <w:lang w:val="fr-FR"/>
        </w:rPr>
        <w:t xml:space="preserve">), </w:t>
      </w:r>
      <w:r w:rsidRPr="00CC4408">
        <w:rPr>
          <w:lang w:val="fr-FR"/>
        </w:rPr>
        <w:t>est fondé sur le document ECE/TRANS/WP.29/GRSG/2018/2 tel q</w:t>
      </w:r>
      <w:r>
        <w:rPr>
          <w:lang w:val="fr-FR"/>
        </w:rPr>
        <w:t>ue reproduit à l’annexe </w:t>
      </w:r>
      <w:r w:rsidRPr="00CC4408">
        <w:rPr>
          <w:lang w:val="fr-FR"/>
        </w:rPr>
        <w:t xml:space="preserve">III </w:t>
      </w:r>
      <w:r>
        <w:rPr>
          <w:lang w:val="fr-FR"/>
        </w:rPr>
        <w:t>du rapport</w:t>
      </w:r>
      <w:r w:rsidRPr="00CC4408">
        <w:rPr>
          <w:lang w:val="fr-FR"/>
        </w:rPr>
        <w:t>. Il est soumis au Forum mondial de l</w:t>
      </w:r>
      <w:r>
        <w:rPr>
          <w:lang w:val="fr-FR"/>
        </w:rPr>
        <w:t>’</w:t>
      </w:r>
      <w:r w:rsidRPr="00CC4408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CC4408">
        <w:rPr>
          <w:lang w:val="fr-FR"/>
        </w:rPr>
        <w:t>administration de l</w:t>
      </w:r>
      <w:r>
        <w:rPr>
          <w:lang w:val="fr-FR"/>
        </w:rPr>
        <w:t>’</w:t>
      </w:r>
      <w:r w:rsidRPr="00CC4408">
        <w:rPr>
          <w:lang w:val="fr-FR"/>
        </w:rPr>
        <w:t>Accord de 1958 (AC.1) pour examen à leurs sessions de novemb</w:t>
      </w:r>
      <w:r>
        <w:rPr>
          <w:lang w:val="fr-FR"/>
        </w:rPr>
        <w:t>re 2019</w:t>
      </w:r>
      <w:r w:rsidRPr="00CC4408">
        <w:rPr>
          <w:lang w:val="fr-FR"/>
        </w:rPr>
        <w:t>.</w:t>
      </w:r>
    </w:p>
    <w:p w14:paraId="6E71B71A" w14:textId="77777777" w:rsidR="00EC0357" w:rsidRPr="00EC0357" w:rsidRDefault="00EC0357" w:rsidP="00EC0357">
      <w:pPr>
        <w:pStyle w:val="HChG"/>
        <w:rPr>
          <w:sz w:val="20"/>
          <w:lang w:val="fr-FR"/>
        </w:rPr>
      </w:pPr>
      <w:r w:rsidRPr="00CC4408"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613181">
        <w:rPr>
          <w:lang w:val="fr-FR"/>
        </w:rPr>
        <w:t>Complément 2 à la série 02 d</w:t>
      </w:r>
      <w:r>
        <w:rPr>
          <w:lang w:val="fr-FR"/>
        </w:rPr>
        <w:t>’</w:t>
      </w:r>
      <w:r w:rsidRPr="00613181">
        <w:rPr>
          <w:lang w:val="fr-FR"/>
        </w:rPr>
        <w:t>amendements au Règlement ONU</w:t>
      </w:r>
      <w:r>
        <w:rPr>
          <w:lang w:val="fr-FR"/>
        </w:rPr>
        <w:t xml:space="preserve"> </w:t>
      </w:r>
      <w:r w:rsidRPr="00613181">
        <w:rPr>
          <w:lang w:val="fr-FR"/>
        </w:rPr>
        <w:t>n</w:t>
      </w:r>
      <w:r w:rsidRPr="00613181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613181">
        <w:rPr>
          <w:lang w:val="fr-FR"/>
        </w:rPr>
        <w:t>67 (</w:t>
      </w:r>
      <w:r>
        <w:rPr>
          <w:lang w:val="fr-FR"/>
        </w:rPr>
        <w:t>Véhicules alimentés au GPL</w:t>
      </w:r>
      <w:r w:rsidRPr="00613181">
        <w:rPr>
          <w:lang w:val="fr-FR"/>
        </w:rPr>
        <w:t>)</w:t>
      </w:r>
    </w:p>
    <w:p w14:paraId="1B8A61B3" w14:textId="77777777" w:rsidR="00EC0357" w:rsidRPr="00613181" w:rsidRDefault="00EC0357" w:rsidP="00EC0357">
      <w:pPr>
        <w:pStyle w:val="SingleTxtG"/>
        <w:rPr>
          <w:lang w:val="fr-FR"/>
        </w:rPr>
      </w:pPr>
      <w:r w:rsidRPr="00EC0357">
        <w:rPr>
          <w:i/>
          <w:lang w:val="fr-FR"/>
        </w:rPr>
        <w:t>Ajouter un nouveau paragraphe 11.6 (</w:t>
      </w:r>
      <w:r w:rsidR="000C27D1">
        <w:rPr>
          <w:i/>
          <w:lang w:val="fr-FR"/>
        </w:rPr>
        <w:t>d</w:t>
      </w:r>
      <w:r w:rsidRPr="00EC0357">
        <w:rPr>
          <w:i/>
          <w:lang w:val="fr-FR"/>
        </w:rPr>
        <w:t>ispositions transitoires),</w:t>
      </w:r>
      <w:r w:rsidRPr="00613181">
        <w:rPr>
          <w:iCs/>
          <w:lang w:val="fr-FR"/>
        </w:rPr>
        <w:t xml:space="preserve"> </w:t>
      </w:r>
      <w:r>
        <w:rPr>
          <w:iCs/>
          <w:lang w:val="fr-FR"/>
        </w:rPr>
        <w:t>libellé comme suit </w:t>
      </w:r>
      <w:r w:rsidRPr="00613181">
        <w:rPr>
          <w:iCs/>
          <w:lang w:val="fr-FR"/>
        </w:rPr>
        <w:t>:</w:t>
      </w:r>
    </w:p>
    <w:p w14:paraId="26D2D03E" w14:textId="77777777" w:rsidR="00EC0357" w:rsidRPr="00D012A9" w:rsidRDefault="00EC0357" w:rsidP="00EC0357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D012A9">
        <w:rPr>
          <w:lang w:val="fr-FR"/>
        </w:rPr>
        <w:t>11.6</w:t>
      </w:r>
      <w:r w:rsidRPr="00D012A9">
        <w:rPr>
          <w:lang w:val="fr-FR"/>
        </w:rPr>
        <w:tab/>
        <w:t xml:space="preserve">À </w:t>
      </w:r>
      <w:r>
        <w:rPr>
          <w:lang w:val="fr-FR"/>
        </w:rPr>
        <w:t>compter</w:t>
      </w:r>
      <w:r w:rsidRPr="00D012A9">
        <w:rPr>
          <w:lang w:val="fr-FR"/>
        </w:rPr>
        <w:t xml:space="preserve"> du 1</w:t>
      </w:r>
      <w:r w:rsidRPr="00D012A9">
        <w:rPr>
          <w:vertAlign w:val="superscript"/>
          <w:lang w:val="fr-FR"/>
        </w:rPr>
        <w:t>er</w:t>
      </w:r>
      <w:r w:rsidRPr="00D012A9">
        <w:rPr>
          <w:lang w:val="fr-FR"/>
        </w:rPr>
        <w:t xml:space="preserve"> septembre 2022, les Parties contractantes appliquant le présent Règlement pourront refuser la </w:t>
      </w:r>
      <w:r>
        <w:rPr>
          <w:lang w:val="fr-FR"/>
        </w:rPr>
        <w:t>commercialisation</w:t>
      </w:r>
      <w:r w:rsidRPr="00D012A9">
        <w:rPr>
          <w:lang w:val="fr-FR"/>
        </w:rPr>
        <w:t xml:space="preserve"> d</w:t>
      </w:r>
      <w:r>
        <w:rPr>
          <w:lang w:val="fr-FR"/>
        </w:rPr>
        <w:t>’</w:t>
      </w:r>
      <w:r w:rsidRPr="00D012A9">
        <w:rPr>
          <w:lang w:val="fr-FR"/>
        </w:rPr>
        <w:t>un type de composant ne satisfaisant pas aux prescriptions de la série 02 d</w:t>
      </w:r>
      <w:r>
        <w:rPr>
          <w:lang w:val="fr-FR"/>
        </w:rPr>
        <w:t>’</w:t>
      </w:r>
      <w:r w:rsidRPr="00D012A9">
        <w:rPr>
          <w:lang w:val="fr-FR"/>
        </w:rPr>
        <w:t>amendements au présent Règlement, sauf si ledit composant est conçu comme un élément de remplacement devant être monté sur des véhicules en service.</w:t>
      </w:r>
      <w:r>
        <w:rPr>
          <w:lang w:val="fr-FR"/>
        </w:rPr>
        <w:t> ».</w:t>
      </w:r>
    </w:p>
    <w:p w14:paraId="008BA78E" w14:textId="77777777" w:rsidR="00EC0357" w:rsidRPr="00DD1D4D" w:rsidRDefault="00EC0357" w:rsidP="00EC0357">
      <w:pPr>
        <w:pStyle w:val="SingleTxtG"/>
        <w:rPr>
          <w:i/>
        </w:rPr>
      </w:pPr>
      <w:r w:rsidRPr="00DD1D4D">
        <w:rPr>
          <w:i/>
        </w:rPr>
        <w:t>Annex</w:t>
      </w:r>
      <w:r>
        <w:rPr>
          <w:i/>
        </w:rPr>
        <w:t>e</w:t>
      </w:r>
      <w:r w:rsidRPr="00DD1D4D">
        <w:rPr>
          <w:i/>
        </w:rPr>
        <w:t xml:space="preserve"> 3</w:t>
      </w:r>
    </w:p>
    <w:p w14:paraId="08A79B93" w14:textId="77777777" w:rsidR="00EC0357" w:rsidRPr="00D012A9" w:rsidRDefault="00EC0357" w:rsidP="00EC0357">
      <w:pPr>
        <w:pStyle w:val="SingleTxtG"/>
        <w:rPr>
          <w:i/>
          <w:lang w:val="fr-FR"/>
        </w:rPr>
      </w:pPr>
      <w:r w:rsidRPr="00D012A9">
        <w:rPr>
          <w:i/>
          <w:lang w:val="fr-FR"/>
        </w:rPr>
        <w:t xml:space="preserve">Paragraphe 3, </w:t>
      </w:r>
      <w:r w:rsidRPr="00D012A9">
        <w:rPr>
          <w:iCs/>
          <w:lang w:val="fr-FR"/>
        </w:rPr>
        <w:t>lire</w:t>
      </w:r>
      <w:r>
        <w:rPr>
          <w:iCs/>
          <w:lang w:val="fr-FR"/>
        </w:rPr>
        <w:t> </w:t>
      </w:r>
      <w:r w:rsidRPr="00D012A9">
        <w:rPr>
          <w:iCs/>
          <w:lang w:val="fr-FR"/>
        </w:rPr>
        <w:t>:</w:t>
      </w:r>
    </w:p>
    <w:p w14:paraId="21081798" w14:textId="77777777" w:rsidR="00EC0357" w:rsidRPr="00D012A9" w:rsidRDefault="00EC0357" w:rsidP="00EC0357">
      <w:pPr>
        <w:pStyle w:val="SingleTxtG"/>
        <w:ind w:left="2268" w:hanging="1134"/>
        <w:rPr>
          <w:b/>
          <w:bCs/>
          <w:iCs/>
          <w:lang w:val="fr-FR"/>
        </w:rPr>
      </w:pPr>
      <w:r>
        <w:rPr>
          <w:iCs/>
          <w:lang w:val="fr-FR"/>
        </w:rPr>
        <w:t>« </w:t>
      </w:r>
      <w:r w:rsidRPr="00D012A9">
        <w:rPr>
          <w:iCs/>
          <w:lang w:val="fr-FR"/>
        </w:rPr>
        <w:t>3.</w:t>
      </w:r>
      <w:r w:rsidRPr="00D012A9">
        <w:rPr>
          <w:iCs/>
          <w:lang w:val="fr-FR"/>
        </w:rPr>
        <w:tab/>
        <w:t xml:space="preserve">Soupape de surpression (soupape de décharge) </w:t>
      </w:r>
      <w:r w:rsidRPr="00D012A9">
        <w:rPr>
          <w:bCs/>
          <w:iCs/>
          <w:lang w:val="fr-FR"/>
        </w:rPr>
        <w:t>et composants reliant la soupape de surpression à la phase gazeuse à l</w:t>
      </w:r>
      <w:r>
        <w:rPr>
          <w:bCs/>
          <w:iCs/>
          <w:lang w:val="fr-FR"/>
        </w:rPr>
        <w:t>’</w:t>
      </w:r>
      <w:r w:rsidRPr="00D012A9">
        <w:rPr>
          <w:bCs/>
          <w:iCs/>
          <w:lang w:val="fr-FR"/>
        </w:rPr>
        <w:t>intérieur du réservoir de GPL</w:t>
      </w:r>
      <w:r w:rsidR="00585927">
        <w:rPr>
          <w:bCs/>
          <w:iCs/>
          <w:lang w:val="fr-FR"/>
        </w:rPr>
        <w:t>.</w:t>
      </w:r>
      <w:r>
        <w:rPr>
          <w:iCs/>
          <w:lang w:val="fr-FR"/>
        </w:rPr>
        <w:t> »</w:t>
      </w:r>
      <w:r w:rsidR="00585927">
        <w:rPr>
          <w:iCs/>
          <w:lang w:val="fr-FR"/>
        </w:rPr>
        <w:t>.</w:t>
      </w:r>
    </w:p>
    <w:p w14:paraId="4E7DE23F" w14:textId="77777777" w:rsidR="00EC0357" w:rsidRPr="00D012A9" w:rsidRDefault="00EC0357" w:rsidP="00EC0357">
      <w:pPr>
        <w:pStyle w:val="SingleTxtG"/>
        <w:rPr>
          <w:i/>
          <w:lang w:val="fr-FR"/>
        </w:rPr>
      </w:pPr>
      <w:r w:rsidRPr="00D012A9">
        <w:rPr>
          <w:i/>
          <w:lang w:val="fr-FR"/>
        </w:rPr>
        <w:t xml:space="preserve">Paragraphe 3.6, </w:t>
      </w:r>
      <w:r w:rsidRPr="00D012A9">
        <w:rPr>
          <w:iCs/>
          <w:lang w:val="fr-FR"/>
        </w:rPr>
        <w:t>lire (</w:t>
      </w:r>
      <w:r>
        <w:rPr>
          <w:iCs/>
          <w:lang w:val="fr-FR"/>
        </w:rPr>
        <w:t>y compris l’ajout d’</w:t>
      </w:r>
      <w:r w:rsidRPr="00D012A9">
        <w:rPr>
          <w:iCs/>
          <w:lang w:val="fr-FR"/>
        </w:rPr>
        <w:t>un appel de la note existante**)</w:t>
      </w:r>
      <w:r>
        <w:rPr>
          <w:iCs/>
          <w:lang w:val="fr-FR"/>
        </w:rPr>
        <w:t> </w:t>
      </w:r>
      <w:r w:rsidRPr="00D012A9">
        <w:rPr>
          <w:iCs/>
          <w:lang w:val="fr-FR"/>
        </w:rPr>
        <w:t>:</w:t>
      </w:r>
    </w:p>
    <w:p w14:paraId="4E5D59AC" w14:textId="77777777" w:rsidR="00EC0357" w:rsidRDefault="00EC0357" w:rsidP="00EC0357">
      <w:pPr>
        <w:pStyle w:val="SingleTxtG"/>
        <w:ind w:left="2268" w:hanging="1134"/>
        <w:rPr>
          <w:iCs/>
          <w:lang w:val="fr-FR"/>
        </w:rPr>
      </w:pPr>
      <w:r>
        <w:rPr>
          <w:iCs/>
          <w:lang w:val="fr-FR"/>
        </w:rPr>
        <w:t>« </w:t>
      </w:r>
      <w:r w:rsidRPr="00D012A9">
        <w:rPr>
          <w:iCs/>
          <w:lang w:val="fr-FR"/>
        </w:rPr>
        <w:t>3.6</w:t>
      </w:r>
      <w:r w:rsidRPr="00D012A9">
        <w:rPr>
          <w:iCs/>
          <w:lang w:val="fr-FR"/>
        </w:rPr>
        <w:tab/>
        <w:t>Méthodes d</w:t>
      </w:r>
      <w:r>
        <w:rPr>
          <w:iCs/>
          <w:lang w:val="fr-FR"/>
        </w:rPr>
        <w:t>’</w:t>
      </w:r>
      <w:r w:rsidRPr="00D012A9">
        <w:rPr>
          <w:iCs/>
          <w:lang w:val="fr-FR"/>
        </w:rPr>
        <w:t>essai applicables :</w:t>
      </w:r>
    </w:p>
    <w:tbl>
      <w:tblPr>
        <w:tblStyle w:val="TableGrid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</w:tblGrid>
      <w:tr w:rsidR="00EC0357" w14:paraId="34641875" w14:textId="77777777" w:rsidTr="00585927">
        <w:tc>
          <w:tcPr>
            <w:tcW w:w="4253" w:type="dxa"/>
          </w:tcPr>
          <w:p w14:paraId="6E460847" w14:textId="77777777" w:rsidR="00EC0357" w:rsidRDefault="00EC0357" w:rsidP="00EC0357">
            <w:pPr>
              <w:pStyle w:val="SingleTxtG"/>
              <w:ind w:left="0"/>
              <w:rPr>
                <w:iCs/>
                <w:lang w:val="fr-FR"/>
              </w:rPr>
            </w:pPr>
            <w:r w:rsidRPr="00D012A9">
              <w:rPr>
                <w:lang w:val="fr-FR"/>
              </w:rPr>
              <w:t>Surpression</w:t>
            </w:r>
          </w:p>
        </w:tc>
        <w:tc>
          <w:tcPr>
            <w:tcW w:w="2126" w:type="dxa"/>
          </w:tcPr>
          <w:p w14:paraId="0FB8821C" w14:textId="77777777" w:rsidR="00EC0357" w:rsidRPr="00585927" w:rsidRDefault="00EC0357" w:rsidP="00585927">
            <w:pPr>
              <w:pStyle w:val="SingleTxtG"/>
              <w:ind w:left="0" w:right="57"/>
              <w:rPr>
                <w:lang w:val="fr-FR"/>
              </w:rPr>
            </w:pPr>
            <w:r w:rsidRPr="00D012A9">
              <w:rPr>
                <w:lang w:val="fr-FR"/>
              </w:rPr>
              <w:t>Annex</w:t>
            </w:r>
            <w:r>
              <w:rPr>
                <w:lang w:val="fr-FR"/>
              </w:rPr>
              <w:t xml:space="preserve">e </w:t>
            </w:r>
            <w:r w:rsidRPr="00D012A9">
              <w:rPr>
                <w:lang w:val="fr-FR"/>
              </w:rPr>
              <w:t xml:space="preserve">15, par. </w:t>
            </w:r>
            <w:r w:rsidRPr="00585927">
              <w:rPr>
                <w:lang w:val="fr-FR"/>
              </w:rPr>
              <w:t>4</w:t>
            </w:r>
          </w:p>
        </w:tc>
      </w:tr>
      <w:tr w:rsidR="00EC0357" w14:paraId="360F7674" w14:textId="77777777" w:rsidTr="00585927">
        <w:tc>
          <w:tcPr>
            <w:tcW w:w="4253" w:type="dxa"/>
          </w:tcPr>
          <w:p w14:paraId="7F0B0163" w14:textId="77777777" w:rsidR="00EC0357" w:rsidRPr="00D012A9" w:rsidRDefault="00EC0357" w:rsidP="00EC0357">
            <w:pPr>
              <w:pStyle w:val="SingleTxtG"/>
              <w:ind w:left="0"/>
              <w:rPr>
                <w:lang w:val="fr-FR"/>
              </w:rPr>
            </w:pPr>
            <w:r w:rsidRPr="00EC0357">
              <w:rPr>
                <w:lang w:val="fr-FR"/>
              </w:rPr>
              <w:t>...</w:t>
            </w:r>
          </w:p>
        </w:tc>
        <w:tc>
          <w:tcPr>
            <w:tcW w:w="2126" w:type="dxa"/>
          </w:tcPr>
          <w:p w14:paraId="64413EB4" w14:textId="77777777" w:rsidR="00EC0357" w:rsidRPr="00D012A9" w:rsidRDefault="00EC0357" w:rsidP="00585927">
            <w:pPr>
              <w:pStyle w:val="SingleTxtG"/>
              <w:ind w:left="0" w:right="57"/>
              <w:rPr>
                <w:lang w:val="fr-FR"/>
              </w:rPr>
            </w:pPr>
          </w:p>
        </w:tc>
      </w:tr>
      <w:tr w:rsidR="00EC0357" w14:paraId="381340D5" w14:textId="77777777" w:rsidTr="00585927">
        <w:tc>
          <w:tcPr>
            <w:tcW w:w="4253" w:type="dxa"/>
          </w:tcPr>
          <w:p w14:paraId="0A400BAC" w14:textId="77777777" w:rsidR="00EC0357" w:rsidRPr="00EC0357" w:rsidRDefault="00EC0357" w:rsidP="00EC0357">
            <w:pPr>
              <w:pStyle w:val="SingleTxtG"/>
              <w:ind w:left="0"/>
              <w:rPr>
                <w:lang w:val="fr-FR"/>
              </w:rPr>
            </w:pPr>
            <w:r w:rsidRPr="00EC0357">
              <w:rPr>
                <w:lang w:val="fr-FR"/>
              </w:rPr>
              <w:t>Cycle thermique</w:t>
            </w:r>
          </w:p>
        </w:tc>
        <w:tc>
          <w:tcPr>
            <w:tcW w:w="2126" w:type="dxa"/>
          </w:tcPr>
          <w:p w14:paraId="560C7C8E" w14:textId="77777777" w:rsidR="00EC0357" w:rsidRPr="00D012A9" w:rsidRDefault="00EC0357" w:rsidP="00585927">
            <w:pPr>
              <w:pStyle w:val="SingleTxtG"/>
              <w:ind w:left="0" w:right="57"/>
              <w:rPr>
                <w:lang w:val="fr-FR"/>
              </w:rPr>
            </w:pPr>
            <w:r w:rsidRPr="00EC0357">
              <w:rPr>
                <w:lang w:val="fr-FR"/>
              </w:rPr>
              <w:t>Annexe 15, par. 16**</w:t>
            </w:r>
          </w:p>
        </w:tc>
      </w:tr>
      <w:tr w:rsidR="00EC0357" w14:paraId="4D166B3F" w14:textId="77777777" w:rsidTr="00585927">
        <w:tc>
          <w:tcPr>
            <w:tcW w:w="4253" w:type="dxa"/>
          </w:tcPr>
          <w:p w14:paraId="55AAFEC6" w14:textId="77777777" w:rsidR="00EC0357" w:rsidRPr="00EC0357" w:rsidRDefault="00EC0357" w:rsidP="00EC0357">
            <w:pPr>
              <w:pStyle w:val="SingleTxtG"/>
              <w:ind w:left="0" w:right="57"/>
              <w:jc w:val="left"/>
              <w:rPr>
                <w:lang w:val="fr-FR"/>
              </w:rPr>
            </w:pPr>
            <w:r w:rsidRPr="00EC0357">
              <w:rPr>
                <w:lang w:val="fr-FR"/>
              </w:rPr>
              <w:t>Essai sur un matériau</w:t>
            </w:r>
            <w:r w:rsidRPr="00D012A9">
              <w:rPr>
                <w:bCs/>
                <w:iCs/>
                <w:lang w:val="fr-FR"/>
              </w:rPr>
              <w:t xml:space="preserve"> non métallique</w:t>
            </w:r>
            <w:r>
              <w:rPr>
                <w:bCs/>
                <w:iCs/>
                <w:lang w:val="fr-FR"/>
              </w:rPr>
              <w:t xml:space="preserve"> </w:t>
            </w:r>
            <w:r w:rsidRPr="00D012A9">
              <w:rPr>
                <w:bCs/>
                <w:iCs/>
                <w:lang w:val="fr-FR"/>
              </w:rPr>
              <w:t>à l</w:t>
            </w:r>
            <w:r>
              <w:rPr>
                <w:bCs/>
                <w:iCs/>
                <w:lang w:val="fr-FR"/>
              </w:rPr>
              <w:t>’</w:t>
            </w:r>
            <w:r w:rsidRPr="00D012A9">
              <w:rPr>
                <w:bCs/>
                <w:iCs/>
                <w:lang w:val="fr-FR"/>
              </w:rPr>
              <w:t>intérieur d</w:t>
            </w:r>
            <w:r>
              <w:rPr>
                <w:bCs/>
                <w:iCs/>
                <w:lang w:val="fr-FR"/>
              </w:rPr>
              <w:t>’</w:t>
            </w:r>
            <w:r w:rsidRPr="00D012A9">
              <w:rPr>
                <w:bCs/>
                <w:iCs/>
                <w:lang w:val="fr-FR"/>
              </w:rPr>
              <w:t>un réservoir</w:t>
            </w:r>
          </w:p>
        </w:tc>
        <w:tc>
          <w:tcPr>
            <w:tcW w:w="2126" w:type="dxa"/>
          </w:tcPr>
          <w:p w14:paraId="1BFCD224" w14:textId="77777777" w:rsidR="00EC0357" w:rsidRPr="00585927" w:rsidRDefault="00EC0357" w:rsidP="00585927">
            <w:pPr>
              <w:pStyle w:val="SingleTxtG"/>
              <w:ind w:left="0" w:right="57"/>
              <w:rPr>
                <w:iCs/>
                <w:lang w:val="fr-FR"/>
              </w:rPr>
            </w:pPr>
            <w:r w:rsidRPr="00585927">
              <w:rPr>
                <w:lang w:val="fr-FR"/>
              </w:rPr>
              <w:t>Annexe 15, par. 18**</w:t>
            </w:r>
            <w:r w:rsidR="00914FE2">
              <w:rPr>
                <w:lang w:val="fr-FR"/>
              </w:rPr>
              <w:t>.</w:t>
            </w:r>
            <w:r w:rsidRPr="00585927">
              <w:rPr>
                <w:lang w:val="fr-FR"/>
              </w:rPr>
              <w:t> </w:t>
            </w:r>
            <w:r w:rsidR="00585927">
              <w:rPr>
                <w:iCs/>
                <w:lang w:val="fr-FR"/>
              </w:rPr>
              <w:t>»</w:t>
            </w:r>
            <w:r w:rsidR="00974A6A">
              <w:rPr>
                <w:iCs/>
                <w:lang w:val="fr-FR"/>
              </w:rPr>
              <w:t>.</w:t>
            </w:r>
          </w:p>
        </w:tc>
      </w:tr>
    </w:tbl>
    <w:p w14:paraId="701D2441" w14:textId="77777777" w:rsidR="00EC0357" w:rsidRPr="00D012A9" w:rsidRDefault="00EC0357" w:rsidP="00585927">
      <w:pPr>
        <w:pStyle w:val="SingleTxtG"/>
        <w:spacing w:before="120"/>
        <w:rPr>
          <w:i/>
          <w:lang w:val="fr-FR"/>
        </w:rPr>
      </w:pPr>
      <w:r w:rsidRPr="00D012A9">
        <w:rPr>
          <w:i/>
          <w:lang w:val="fr-FR"/>
        </w:rPr>
        <w:t xml:space="preserve">Paragraphe 7, </w:t>
      </w:r>
      <w:r w:rsidRPr="00D012A9">
        <w:rPr>
          <w:iCs/>
          <w:lang w:val="fr-FR"/>
        </w:rPr>
        <w:t>lire</w:t>
      </w:r>
      <w:r>
        <w:rPr>
          <w:iCs/>
          <w:lang w:val="fr-FR"/>
        </w:rPr>
        <w:t> </w:t>
      </w:r>
      <w:r w:rsidRPr="00D012A9">
        <w:rPr>
          <w:iCs/>
          <w:lang w:val="fr-FR"/>
        </w:rPr>
        <w:t>:</w:t>
      </w:r>
    </w:p>
    <w:p w14:paraId="2904BFAF" w14:textId="77777777" w:rsidR="00EC0357" w:rsidRPr="00D012A9" w:rsidRDefault="00EC0357" w:rsidP="00EC0357">
      <w:pPr>
        <w:pStyle w:val="SingleTxtG"/>
        <w:ind w:left="2268" w:hanging="1134"/>
        <w:rPr>
          <w:iCs/>
          <w:lang w:val="fr-FR"/>
        </w:rPr>
      </w:pPr>
      <w:r>
        <w:rPr>
          <w:iCs/>
          <w:lang w:val="fr-FR"/>
        </w:rPr>
        <w:t>« </w:t>
      </w:r>
      <w:r w:rsidRPr="00D012A9">
        <w:rPr>
          <w:iCs/>
          <w:lang w:val="fr-FR"/>
        </w:rPr>
        <w:t>7.</w:t>
      </w:r>
      <w:r w:rsidRPr="00D012A9">
        <w:rPr>
          <w:iCs/>
          <w:lang w:val="fr-FR"/>
        </w:rPr>
        <w:tab/>
        <w:t>Prescriptions relatives à l</w:t>
      </w:r>
      <w:r>
        <w:rPr>
          <w:iCs/>
          <w:lang w:val="fr-FR"/>
        </w:rPr>
        <w:t>’</w:t>
      </w:r>
      <w:r w:rsidRPr="00D012A9">
        <w:rPr>
          <w:iCs/>
          <w:lang w:val="fr-FR"/>
        </w:rPr>
        <w:t xml:space="preserve">homologation du dispositif de décompression (fusible) </w:t>
      </w:r>
      <w:r w:rsidRPr="00D012A9">
        <w:rPr>
          <w:bCs/>
          <w:iCs/>
          <w:lang w:val="fr-FR"/>
        </w:rPr>
        <w:t>et des composants reliant le dispositif de décompression à la phase gazeuse à l</w:t>
      </w:r>
      <w:r>
        <w:rPr>
          <w:bCs/>
          <w:iCs/>
          <w:lang w:val="fr-FR"/>
        </w:rPr>
        <w:t>’</w:t>
      </w:r>
      <w:r w:rsidRPr="00D012A9">
        <w:rPr>
          <w:bCs/>
          <w:iCs/>
          <w:lang w:val="fr-FR"/>
        </w:rPr>
        <w:t>intérieur du réservoir de GPL</w:t>
      </w:r>
      <w:r w:rsidR="00974A6A">
        <w:rPr>
          <w:bCs/>
          <w:iCs/>
          <w:lang w:val="fr-FR"/>
        </w:rPr>
        <w:t>.</w:t>
      </w:r>
      <w:r>
        <w:rPr>
          <w:bCs/>
          <w:iCs/>
          <w:lang w:val="fr-FR"/>
        </w:rPr>
        <w:t> »</w:t>
      </w:r>
      <w:r w:rsidR="00974A6A">
        <w:rPr>
          <w:bCs/>
          <w:iCs/>
          <w:lang w:val="fr-FR"/>
        </w:rPr>
        <w:t>.</w:t>
      </w:r>
    </w:p>
    <w:p w14:paraId="363A6FF8" w14:textId="77777777" w:rsidR="00EC0357" w:rsidRPr="00D012A9" w:rsidRDefault="00EC0357" w:rsidP="00EC0357">
      <w:pPr>
        <w:pStyle w:val="SingleTxtG"/>
        <w:rPr>
          <w:i/>
          <w:lang w:val="fr-FR"/>
        </w:rPr>
      </w:pPr>
      <w:r w:rsidRPr="00D012A9">
        <w:rPr>
          <w:i/>
          <w:lang w:val="fr-FR"/>
        </w:rPr>
        <w:t xml:space="preserve">Paragraphe 7.6, </w:t>
      </w:r>
      <w:r w:rsidRPr="00D012A9">
        <w:rPr>
          <w:iCs/>
          <w:lang w:val="fr-FR"/>
        </w:rPr>
        <w:t>lire (y compris l</w:t>
      </w:r>
      <w:r>
        <w:rPr>
          <w:iCs/>
          <w:lang w:val="fr-FR"/>
        </w:rPr>
        <w:t>’</w:t>
      </w:r>
      <w:r w:rsidRPr="00D012A9">
        <w:rPr>
          <w:iCs/>
          <w:lang w:val="fr-FR"/>
        </w:rPr>
        <w:t>ajout d</w:t>
      </w:r>
      <w:r>
        <w:rPr>
          <w:iCs/>
          <w:lang w:val="fr-FR"/>
        </w:rPr>
        <w:t>’</w:t>
      </w:r>
      <w:r w:rsidRPr="00D012A9">
        <w:rPr>
          <w:iCs/>
          <w:lang w:val="fr-FR"/>
        </w:rPr>
        <w:t>un appel de la note existante**)</w:t>
      </w:r>
      <w:r w:rsidR="00980050">
        <w:rPr>
          <w:iCs/>
          <w:lang w:val="fr-FR"/>
        </w:rPr>
        <w:t> </w:t>
      </w:r>
      <w:r w:rsidRPr="00D012A9">
        <w:rPr>
          <w:iCs/>
          <w:lang w:val="fr-FR"/>
        </w:rPr>
        <w:t>:</w:t>
      </w:r>
    </w:p>
    <w:p w14:paraId="7AE65D4C" w14:textId="77777777" w:rsidR="00EC0357" w:rsidRDefault="00EC0357" w:rsidP="00EC0357">
      <w:pPr>
        <w:pStyle w:val="SingleTxtG"/>
        <w:ind w:left="2268" w:hanging="1134"/>
        <w:rPr>
          <w:iCs/>
          <w:lang w:val="fr-FR"/>
        </w:rPr>
      </w:pPr>
      <w:r>
        <w:rPr>
          <w:iCs/>
          <w:lang w:val="fr-FR"/>
        </w:rPr>
        <w:t>« </w:t>
      </w:r>
      <w:r w:rsidRPr="00D012A9">
        <w:rPr>
          <w:iCs/>
          <w:lang w:val="fr-FR"/>
        </w:rPr>
        <w:t>7.6</w:t>
      </w:r>
      <w:r w:rsidRPr="00D012A9">
        <w:rPr>
          <w:iCs/>
          <w:lang w:val="fr-FR"/>
        </w:rPr>
        <w:tab/>
        <w:t>Procédures d</w:t>
      </w:r>
      <w:r>
        <w:rPr>
          <w:iCs/>
          <w:lang w:val="fr-FR"/>
        </w:rPr>
        <w:t>’</w:t>
      </w:r>
      <w:r w:rsidRPr="00D012A9">
        <w:rPr>
          <w:iCs/>
          <w:lang w:val="fr-FR"/>
        </w:rPr>
        <w:t>essai à appliquer :</w:t>
      </w:r>
    </w:p>
    <w:tbl>
      <w:tblPr>
        <w:tblStyle w:val="TableGrid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</w:tblGrid>
      <w:tr w:rsidR="00EC0357" w14:paraId="23EE2773" w14:textId="77777777" w:rsidTr="00974A6A">
        <w:tc>
          <w:tcPr>
            <w:tcW w:w="4253" w:type="dxa"/>
          </w:tcPr>
          <w:p w14:paraId="72963580" w14:textId="77777777" w:rsidR="00EC0357" w:rsidRDefault="00EC0357" w:rsidP="00854EAD">
            <w:pPr>
              <w:pStyle w:val="SingleTxtG"/>
              <w:ind w:left="0"/>
              <w:rPr>
                <w:iCs/>
                <w:lang w:val="fr-FR"/>
              </w:rPr>
            </w:pPr>
            <w:r w:rsidRPr="00EC0357">
              <w:rPr>
                <w:lang w:val="fr-FR"/>
              </w:rPr>
              <w:t>Surpression</w:t>
            </w:r>
          </w:p>
        </w:tc>
        <w:tc>
          <w:tcPr>
            <w:tcW w:w="2126" w:type="dxa"/>
          </w:tcPr>
          <w:p w14:paraId="078F6A50" w14:textId="77777777" w:rsidR="00EC0357" w:rsidRPr="00974A6A" w:rsidRDefault="00EC0357" w:rsidP="00974A6A">
            <w:pPr>
              <w:pStyle w:val="SingleTxtG"/>
              <w:ind w:left="0" w:right="57"/>
              <w:rPr>
                <w:lang w:val="fr-FR"/>
              </w:rPr>
            </w:pPr>
            <w:r w:rsidRPr="00EC0357">
              <w:rPr>
                <w:lang w:val="fr-FR"/>
              </w:rPr>
              <w:t>Annexe 15, par. 4</w:t>
            </w:r>
          </w:p>
        </w:tc>
      </w:tr>
      <w:tr w:rsidR="00EC0357" w14:paraId="58EFAA4A" w14:textId="77777777" w:rsidTr="00974A6A">
        <w:tc>
          <w:tcPr>
            <w:tcW w:w="4253" w:type="dxa"/>
          </w:tcPr>
          <w:p w14:paraId="026C3CF3" w14:textId="77777777" w:rsidR="00EC0357" w:rsidRPr="00D012A9" w:rsidRDefault="00EC0357" w:rsidP="00854EAD">
            <w:pPr>
              <w:pStyle w:val="SingleTxtG"/>
              <w:ind w:left="0"/>
              <w:rPr>
                <w:lang w:val="fr-FR"/>
              </w:rPr>
            </w:pPr>
            <w:r w:rsidRPr="00EC0357">
              <w:rPr>
                <w:lang w:val="fr-FR"/>
              </w:rPr>
              <w:t>...</w:t>
            </w:r>
          </w:p>
        </w:tc>
        <w:tc>
          <w:tcPr>
            <w:tcW w:w="2126" w:type="dxa"/>
          </w:tcPr>
          <w:p w14:paraId="0D6AE569" w14:textId="77777777" w:rsidR="00EC0357" w:rsidRPr="00D012A9" w:rsidRDefault="00EC0357" w:rsidP="00974A6A">
            <w:pPr>
              <w:pStyle w:val="SingleTxtG"/>
              <w:ind w:left="0" w:right="57"/>
              <w:rPr>
                <w:lang w:val="fr-FR"/>
              </w:rPr>
            </w:pPr>
          </w:p>
        </w:tc>
      </w:tr>
      <w:tr w:rsidR="00EC0357" w14:paraId="0749FD60" w14:textId="77777777" w:rsidTr="00974A6A">
        <w:tc>
          <w:tcPr>
            <w:tcW w:w="4253" w:type="dxa"/>
          </w:tcPr>
          <w:p w14:paraId="7D64ABC0" w14:textId="77777777" w:rsidR="00EC0357" w:rsidRPr="00EC0357" w:rsidRDefault="00EC0357" w:rsidP="00854EAD">
            <w:pPr>
              <w:pStyle w:val="SingleTxtG"/>
              <w:ind w:left="0"/>
              <w:rPr>
                <w:lang w:val="fr-FR"/>
              </w:rPr>
            </w:pPr>
            <w:r w:rsidRPr="00EC0357">
              <w:rPr>
                <w:lang w:val="fr-FR"/>
              </w:rPr>
              <w:t>Cycle thermique</w:t>
            </w:r>
          </w:p>
        </w:tc>
        <w:tc>
          <w:tcPr>
            <w:tcW w:w="2126" w:type="dxa"/>
          </w:tcPr>
          <w:p w14:paraId="1A1DE0E9" w14:textId="77777777" w:rsidR="00EC0357" w:rsidRPr="00D012A9" w:rsidRDefault="00EC0357" w:rsidP="00974A6A">
            <w:pPr>
              <w:pStyle w:val="SingleTxtG"/>
              <w:ind w:left="0" w:right="57"/>
              <w:rPr>
                <w:lang w:val="fr-FR"/>
              </w:rPr>
            </w:pPr>
            <w:r w:rsidRPr="00EC0357">
              <w:rPr>
                <w:lang w:val="fr-FR"/>
              </w:rPr>
              <w:t>Annexe 15, par. 16**</w:t>
            </w:r>
          </w:p>
        </w:tc>
      </w:tr>
      <w:tr w:rsidR="00EC0357" w14:paraId="5212D551" w14:textId="77777777" w:rsidTr="00974A6A">
        <w:tc>
          <w:tcPr>
            <w:tcW w:w="4253" w:type="dxa"/>
          </w:tcPr>
          <w:p w14:paraId="3C89FE3A" w14:textId="77777777" w:rsidR="00EC0357" w:rsidRPr="00EC0357" w:rsidRDefault="00EC0357" w:rsidP="00854EAD">
            <w:pPr>
              <w:pStyle w:val="SingleTxtG"/>
              <w:ind w:left="0" w:right="57"/>
              <w:jc w:val="left"/>
              <w:rPr>
                <w:lang w:val="fr-FR"/>
              </w:rPr>
            </w:pPr>
            <w:r w:rsidRPr="00EC0357">
              <w:rPr>
                <w:lang w:val="fr-FR"/>
              </w:rPr>
              <w:t>Essai sur un matériau non métallique</w:t>
            </w:r>
            <w:r w:rsidR="00974A6A">
              <w:rPr>
                <w:lang w:val="fr-FR"/>
              </w:rPr>
              <w:t xml:space="preserve"> </w:t>
            </w:r>
            <w:r w:rsidRPr="00EC0357">
              <w:rPr>
                <w:lang w:val="fr-FR"/>
              </w:rPr>
              <w:t>à l’intérieur d’un réservoir</w:t>
            </w:r>
          </w:p>
        </w:tc>
        <w:tc>
          <w:tcPr>
            <w:tcW w:w="2126" w:type="dxa"/>
          </w:tcPr>
          <w:p w14:paraId="14EAD34F" w14:textId="77777777" w:rsidR="00974A6A" w:rsidRPr="00974A6A" w:rsidRDefault="00EC0357" w:rsidP="00974A6A">
            <w:pPr>
              <w:pStyle w:val="SingleTxtG"/>
              <w:ind w:left="0" w:right="57"/>
              <w:rPr>
                <w:lang w:val="fr-FR"/>
              </w:rPr>
            </w:pPr>
            <w:r w:rsidRPr="00EC0357">
              <w:rPr>
                <w:lang w:val="fr-FR"/>
              </w:rPr>
              <w:t>Annexe 15, par. 18**</w:t>
            </w:r>
            <w:r w:rsidR="00986D32">
              <w:rPr>
                <w:lang w:val="fr-FR"/>
              </w:rPr>
              <w:t>. </w:t>
            </w:r>
            <w:r w:rsidR="00974A6A" w:rsidRPr="00974A6A">
              <w:rPr>
                <w:lang w:val="fr-FR"/>
              </w:rPr>
              <w:t>»</w:t>
            </w:r>
            <w:r w:rsidR="00974A6A">
              <w:rPr>
                <w:lang w:val="fr-FR"/>
              </w:rPr>
              <w:t>.</w:t>
            </w:r>
          </w:p>
          <w:p w14:paraId="0FB9482E" w14:textId="77777777" w:rsidR="00EC0357" w:rsidRPr="00EC0357" w:rsidRDefault="00EC0357" w:rsidP="00974A6A">
            <w:pPr>
              <w:pStyle w:val="SingleTxtG"/>
              <w:ind w:left="0" w:right="57"/>
              <w:rPr>
                <w:lang w:val="fr-FR"/>
              </w:rPr>
            </w:pPr>
          </w:p>
        </w:tc>
      </w:tr>
    </w:tbl>
    <w:p w14:paraId="378E5EA4" w14:textId="77777777" w:rsidR="00EC0357" w:rsidRPr="00D012A9" w:rsidRDefault="00EC0357" w:rsidP="00974A6A">
      <w:pPr>
        <w:pStyle w:val="SingleTxtG"/>
        <w:spacing w:before="120"/>
        <w:rPr>
          <w:b/>
          <w:bCs/>
          <w:iCs/>
          <w:lang w:val="fr-FR"/>
        </w:rPr>
      </w:pPr>
      <w:r w:rsidRPr="00D012A9">
        <w:rPr>
          <w:i/>
          <w:lang w:val="fr-FR"/>
        </w:rPr>
        <w:t>Annexe 15, ajouter les nouveaux paragraphes 18 à 18.3.2</w:t>
      </w:r>
      <w:r w:rsidRPr="00974A6A">
        <w:rPr>
          <w:lang w:val="fr-FR"/>
        </w:rPr>
        <w:t>,</w:t>
      </w:r>
      <w:r w:rsidRPr="00D012A9">
        <w:rPr>
          <w:iCs/>
          <w:lang w:val="fr-FR"/>
        </w:rPr>
        <w:t xml:space="preserve"> </w:t>
      </w:r>
      <w:r>
        <w:rPr>
          <w:iCs/>
          <w:lang w:val="fr-FR"/>
        </w:rPr>
        <w:t>libellés comme suit </w:t>
      </w:r>
      <w:r w:rsidRPr="00D012A9">
        <w:rPr>
          <w:iCs/>
          <w:lang w:val="fr-FR"/>
        </w:rPr>
        <w:t>:</w:t>
      </w:r>
    </w:p>
    <w:p w14:paraId="6BD187BA" w14:textId="77777777" w:rsidR="00EC0357" w:rsidRPr="00341EDC" w:rsidRDefault="002E37F7" w:rsidP="00EC0357">
      <w:pPr>
        <w:pStyle w:val="SingleTxtG"/>
        <w:ind w:left="2268" w:hanging="1134"/>
        <w:rPr>
          <w:iCs/>
          <w:lang w:val="fr-FR"/>
        </w:rPr>
      </w:pPr>
      <w:r>
        <w:rPr>
          <w:iCs/>
          <w:lang w:val="fr-FR"/>
        </w:rPr>
        <w:t>« </w:t>
      </w:r>
      <w:r w:rsidR="00EC0357" w:rsidRPr="00341EDC">
        <w:rPr>
          <w:iCs/>
          <w:lang w:val="fr-FR"/>
        </w:rPr>
        <w:t>18.</w:t>
      </w:r>
      <w:r w:rsidR="00EC0357" w:rsidRPr="00341EDC">
        <w:rPr>
          <w:iCs/>
          <w:lang w:val="fr-FR"/>
        </w:rPr>
        <w:tab/>
      </w:r>
      <w:r w:rsidR="00EC0357" w:rsidRPr="00341EDC">
        <w:rPr>
          <w:bCs/>
          <w:iCs/>
          <w:lang w:val="fr-FR"/>
        </w:rPr>
        <w:t>Essai sur un matériau non métallique à l</w:t>
      </w:r>
      <w:r w:rsidR="00EC0357">
        <w:rPr>
          <w:bCs/>
          <w:iCs/>
          <w:lang w:val="fr-FR"/>
        </w:rPr>
        <w:t>’</w:t>
      </w:r>
      <w:r w:rsidR="00EC0357" w:rsidRPr="00341EDC">
        <w:rPr>
          <w:bCs/>
          <w:iCs/>
          <w:lang w:val="fr-FR"/>
        </w:rPr>
        <w:t>intérieur d</w:t>
      </w:r>
      <w:r w:rsidR="00EC0357">
        <w:rPr>
          <w:bCs/>
          <w:iCs/>
          <w:lang w:val="fr-FR"/>
        </w:rPr>
        <w:t>’</w:t>
      </w:r>
      <w:r w:rsidR="00EC0357" w:rsidRPr="00341EDC">
        <w:rPr>
          <w:bCs/>
          <w:iCs/>
          <w:lang w:val="fr-FR"/>
        </w:rPr>
        <w:t>un réservoir</w:t>
      </w:r>
    </w:p>
    <w:p w14:paraId="6050D5B7" w14:textId="77777777" w:rsidR="00EC0357" w:rsidRPr="00341EDC" w:rsidRDefault="00EC0357" w:rsidP="002E37F7">
      <w:pPr>
        <w:pStyle w:val="SingleTxtG"/>
        <w:ind w:left="2268"/>
        <w:rPr>
          <w:lang w:val="fr-FR"/>
        </w:rPr>
      </w:pPr>
      <w:r w:rsidRPr="00341EDC">
        <w:rPr>
          <w:lang w:val="fr-FR"/>
        </w:rPr>
        <w:t xml:space="preserve">Tous les composants raccordant la soupape de surpression et/ou le dispositif de surpression à la phase gazeuse du réservoir de GPL </w:t>
      </w:r>
      <w:proofErr w:type="gramStart"/>
      <w:r w:rsidRPr="00341EDC">
        <w:rPr>
          <w:lang w:val="fr-FR"/>
        </w:rPr>
        <w:t>doivent</w:t>
      </w:r>
      <w:proofErr w:type="gramEnd"/>
      <w:r w:rsidRPr="00341EDC">
        <w:rPr>
          <w:lang w:val="fr-FR"/>
        </w:rPr>
        <w:t xml:space="preserve"> être éprouvés conformément à la procédure suivante.</w:t>
      </w:r>
    </w:p>
    <w:p w14:paraId="1823C418" w14:textId="77777777" w:rsidR="00EC0357" w:rsidRPr="00341EDC" w:rsidRDefault="00EC0357" w:rsidP="002E37F7">
      <w:pPr>
        <w:pStyle w:val="SingleTxtG"/>
        <w:ind w:left="2268"/>
        <w:rPr>
          <w:lang w:val="fr-FR"/>
        </w:rPr>
      </w:pPr>
      <w:r w:rsidRPr="00341EDC">
        <w:rPr>
          <w:lang w:val="fr-FR"/>
        </w:rPr>
        <w:t xml:space="preserve">Les essais seront effectués sur deux échantillons, </w:t>
      </w:r>
      <w:r w:rsidRPr="00341EDC">
        <w:t>“</w:t>
      </w:r>
      <w:r w:rsidRPr="00341EDC">
        <w:rPr>
          <w:lang w:val="fr-FR"/>
        </w:rPr>
        <w:t>a</w:t>
      </w:r>
      <w:r w:rsidRPr="00341EDC">
        <w:t>”</w:t>
      </w:r>
      <w:r w:rsidRPr="00341EDC">
        <w:rPr>
          <w:lang w:val="fr-FR"/>
        </w:rPr>
        <w:t xml:space="preserve"> et </w:t>
      </w:r>
      <w:r w:rsidRPr="00341EDC">
        <w:t>“</w:t>
      </w:r>
      <w:r w:rsidRPr="00341EDC">
        <w:rPr>
          <w:lang w:val="fr-FR"/>
        </w:rPr>
        <w:t>b</w:t>
      </w:r>
      <w:r w:rsidRPr="00341EDC">
        <w:t>”</w:t>
      </w:r>
      <w:r w:rsidRPr="00341EDC">
        <w:rPr>
          <w:lang w:val="fr-FR"/>
        </w:rPr>
        <w:t> :</w:t>
      </w:r>
    </w:p>
    <w:p w14:paraId="2F2694CD" w14:textId="77777777" w:rsidR="00EC0357" w:rsidRPr="00341EDC" w:rsidRDefault="00EC0357" w:rsidP="002E37F7">
      <w:pPr>
        <w:pStyle w:val="SingleTxtG"/>
        <w:ind w:left="2268"/>
        <w:rPr>
          <w:lang w:val="fr-FR"/>
        </w:rPr>
      </w:pPr>
      <w:r w:rsidRPr="00341EDC">
        <w:rPr>
          <w:lang w:val="fr-FR"/>
        </w:rPr>
        <w:t>L</w:t>
      </w:r>
      <w:r>
        <w:rPr>
          <w:lang w:val="fr-FR"/>
        </w:rPr>
        <w:t>’</w:t>
      </w:r>
      <w:r w:rsidRPr="00341EDC">
        <w:rPr>
          <w:lang w:val="fr-FR"/>
        </w:rPr>
        <w:t xml:space="preserve">échantillon </w:t>
      </w:r>
      <w:r w:rsidRPr="00341EDC">
        <w:t>“</w:t>
      </w:r>
      <w:r w:rsidRPr="00341EDC">
        <w:rPr>
          <w:lang w:val="fr-FR"/>
        </w:rPr>
        <w:t>a</w:t>
      </w:r>
      <w:r w:rsidRPr="00341EDC">
        <w:t>”</w:t>
      </w:r>
      <w:r w:rsidRPr="00341EDC">
        <w:rPr>
          <w:lang w:val="fr-FR"/>
        </w:rPr>
        <w:t xml:space="preserve"> est vieilli conformément au paragraphe 18.1.1 ou 18.1.2</w:t>
      </w:r>
      <w:r w:rsidR="00974A6A">
        <w:rPr>
          <w:lang w:val="fr-FR"/>
        </w:rPr>
        <w:t> ;</w:t>
      </w:r>
    </w:p>
    <w:p w14:paraId="76274C45" w14:textId="77777777" w:rsidR="00EC0357" w:rsidRPr="00341EDC" w:rsidRDefault="00EC0357" w:rsidP="002E37F7">
      <w:pPr>
        <w:pStyle w:val="SingleTxtG"/>
        <w:ind w:left="2268"/>
        <w:rPr>
          <w:lang w:val="fr-FR"/>
        </w:rPr>
      </w:pPr>
      <w:r w:rsidRPr="00341EDC">
        <w:rPr>
          <w:lang w:val="fr-FR"/>
        </w:rPr>
        <w:t>L</w:t>
      </w:r>
      <w:r>
        <w:rPr>
          <w:lang w:val="fr-FR"/>
        </w:rPr>
        <w:t>’</w:t>
      </w:r>
      <w:r w:rsidRPr="00341EDC">
        <w:rPr>
          <w:lang w:val="fr-FR"/>
        </w:rPr>
        <w:t xml:space="preserve">échantillon vieilli </w:t>
      </w:r>
      <w:r w:rsidRPr="00341EDC">
        <w:t>“</w:t>
      </w:r>
      <w:r w:rsidRPr="00341EDC">
        <w:rPr>
          <w:lang w:val="fr-FR"/>
        </w:rPr>
        <w:t>a</w:t>
      </w:r>
      <w:r w:rsidRPr="00341EDC">
        <w:t>”</w:t>
      </w:r>
      <w:r w:rsidRPr="00341EDC">
        <w:rPr>
          <w:lang w:val="fr-FR"/>
        </w:rPr>
        <w:t xml:space="preserve"> doit subir l</w:t>
      </w:r>
      <w:r>
        <w:rPr>
          <w:lang w:val="fr-FR"/>
        </w:rPr>
        <w:t>’</w:t>
      </w:r>
      <w:r w:rsidRPr="00341EDC">
        <w:rPr>
          <w:lang w:val="fr-FR"/>
        </w:rPr>
        <w:t>essai de vibration conformément au paragraphe 18.2</w:t>
      </w:r>
      <w:r w:rsidR="00974A6A">
        <w:rPr>
          <w:lang w:val="fr-FR"/>
        </w:rPr>
        <w:t> ;</w:t>
      </w:r>
    </w:p>
    <w:p w14:paraId="5CA5DE10" w14:textId="77777777" w:rsidR="00EC0357" w:rsidRPr="00341EDC" w:rsidRDefault="00EC0357" w:rsidP="002E37F7">
      <w:pPr>
        <w:pStyle w:val="SingleTxtG"/>
        <w:ind w:left="2268"/>
        <w:rPr>
          <w:lang w:val="fr-FR"/>
        </w:rPr>
      </w:pPr>
      <w:r w:rsidRPr="00341EDC">
        <w:rPr>
          <w:lang w:val="fr-FR"/>
        </w:rPr>
        <w:t>L</w:t>
      </w:r>
      <w:r>
        <w:rPr>
          <w:lang w:val="fr-FR"/>
        </w:rPr>
        <w:t>’</w:t>
      </w:r>
      <w:r w:rsidRPr="00341EDC">
        <w:rPr>
          <w:lang w:val="fr-FR"/>
        </w:rPr>
        <w:t xml:space="preserve">échantillon vierge </w:t>
      </w:r>
      <w:r w:rsidRPr="00341EDC">
        <w:t>“</w:t>
      </w:r>
      <w:r w:rsidRPr="00341EDC">
        <w:rPr>
          <w:lang w:val="fr-FR"/>
        </w:rPr>
        <w:t>b</w:t>
      </w:r>
      <w:r w:rsidRPr="00341EDC">
        <w:t xml:space="preserve">” </w:t>
      </w:r>
      <w:r w:rsidRPr="00341EDC">
        <w:rPr>
          <w:lang w:val="fr-FR"/>
        </w:rPr>
        <w:t>est utilisé comme référence pour l</w:t>
      </w:r>
      <w:r>
        <w:rPr>
          <w:lang w:val="fr-FR"/>
        </w:rPr>
        <w:t>’</w:t>
      </w:r>
      <w:r w:rsidRPr="00341EDC">
        <w:rPr>
          <w:lang w:val="fr-FR"/>
        </w:rPr>
        <w:t>essai de débit conformément au paragraphe 18.3.</w:t>
      </w:r>
    </w:p>
    <w:p w14:paraId="6244F456" w14:textId="77777777" w:rsidR="00EC0357" w:rsidRPr="00341EDC" w:rsidRDefault="00EC0357" w:rsidP="00EC0357">
      <w:pPr>
        <w:pStyle w:val="SingleTxtG"/>
        <w:ind w:left="2268" w:hanging="1134"/>
        <w:rPr>
          <w:bCs/>
          <w:iCs/>
        </w:rPr>
      </w:pPr>
      <w:r w:rsidRPr="00341EDC">
        <w:rPr>
          <w:iCs/>
          <w:lang w:val="fr-FR"/>
        </w:rPr>
        <w:t>18.1</w:t>
      </w:r>
      <w:r w:rsidRPr="00341EDC">
        <w:rPr>
          <w:iCs/>
          <w:lang w:val="fr-FR"/>
        </w:rPr>
        <w:tab/>
      </w:r>
      <w:r w:rsidRPr="00341EDC">
        <w:rPr>
          <w:iCs/>
          <w:lang w:val="fr-FR"/>
        </w:rPr>
        <w:tab/>
      </w:r>
      <w:r w:rsidRPr="00341EDC">
        <w:rPr>
          <w:bCs/>
          <w:iCs/>
          <w:lang w:val="fr-FR"/>
        </w:rPr>
        <w:t>Essais de vieillissement sur l</w:t>
      </w:r>
      <w:r>
        <w:rPr>
          <w:bCs/>
          <w:iCs/>
          <w:lang w:val="fr-FR"/>
        </w:rPr>
        <w:t>’</w:t>
      </w:r>
      <w:r w:rsidRPr="00341EDC">
        <w:rPr>
          <w:bCs/>
          <w:iCs/>
          <w:lang w:val="fr-FR"/>
        </w:rPr>
        <w:t xml:space="preserve">échantillon </w:t>
      </w:r>
      <w:r w:rsidRPr="00341EDC">
        <w:rPr>
          <w:bCs/>
          <w:iCs/>
        </w:rPr>
        <w:t>“</w:t>
      </w:r>
      <w:r w:rsidRPr="00341EDC">
        <w:rPr>
          <w:bCs/>
          <w:iCs/>
          <w:lang w:val="fr-FR"/>
        </w:rPr>
        <w:t>a</w:t>
      </w:r>
      <w:r w:rsidRPr="00341EDC">
        <w:rPr>
          <w:bCs/>
          <w:iCs/>
        </w:rPr>
        <w:t>”</w:t>
      </w:r>
    </w:p>
    <w:p w14:paraId="0A5E6FFF" w14:textId="77777777" w:rsidR="00EC0357" w:rsidRPr="00341EDC" w:rsidRDefault="00EC0357" w:rsidP="00EC0357">
      <w:pPr>
        <w:pStyle w:val="SingleTxtG"/>
        <w:ind w:left="2268" w:hanging="1134"/>
        <w:rPr>
          <w:bCs/>
          <w:iCs/>
        </w:rPr>
      </w:pPr>
      <w:r w:rsidRPr="00341EDC">
        <w:rPr>
          <w:iCs/>
          <w:lang w:val="fr-FR"/>
        </w:rPr>
        <w:t>18.1.1</w:t>
      </w:r>
      <w:r w:rsidRPr="00341EDC">
        <w:rPr>
          <w:iCs/>
          <w:lang w:val="fr-FR"/>
        </w:rPr>
        <w:tab/>
      </w:r>
      <w:r w:rsidRPr="00341EDC">
        <w:rPr>
          <w:bCs/>
          <w:iCs/>
          <w:lang w:val="fr-FR"/>
        </w:rPr>
        <w:t>Procédure de vieillissement 1 (composant démonté)</w:t>
      </w:r>
    </w:p>
    <w:p w14:paraId="63FB3A90" w14:textId="77777777" w:rsidR="00EC0357" w:rsidRPr="00341EDC" w:rsidRDefault="00EC0357" w:rsidP="00EC0357">
      <w:pPr>
        <w:pStyle w:val="SingleTxtG"/>
        <w:ind w:left="2268" w:hanging="1134"/>
        <w:rPr>
          <w:bCs/>
          <w:iCs/>
        </w:rPr>
      </w:pPr>
      <w:r w:rsidRPr="00341EDC">
        <w:rPr>
          <w:iCs/>
          <w:lang w:val="fr-FR"/>
        </w:rPr>
        <w:lastRenderedPageBreak/>
        <w:t>18.1.1.1</w:t>
      </w:r>
      <w:r w:rsidRPr="00341EDC">
        <w:rPr>
          <w:iCs/>
          <w:lang w:val="fr-FR"/>
        </w:rPr>
        <w:tab/>
      </w:r>
      <w:r w:rsidRPr="00341EDC">
        <w:rPr>
          <w:bCs/>
          <w:iCs/>
          <w:lang w:val="fr-FR"/>
        </w:rPr>
        <w:t>Démonter, selon les instructions du fabricant, tous les matériaux non métalliques du composant en contact avec le GPL liquide.</w:t>
      </w:r>
    </w:p>
    <w:p w14:paraId="3802979B" w14:textId="77777777" w:rsidR="00EC0357" w:rsidRPr="00341EDC" w:rsidRDefault="00EC0357" w:rsidP="00EC0357">
      <w:pPr>
        <w:pStyle w:val="SingleTxtG"/>
        <w:ind w:left="2268" w:hanging="1134"/>
        <w:rPr>
          <w:bCs/>
          <w:iCs/>
        </w:rPr>
      </w:pPr>
      <w:r w:rsidRPr="00341EDC">
        <w:rPr>
          <w:iCs/>
          <w:lang w:val="fr-FR"/>
        </w:rPr>
        <w:t>18.1.1.2</w:t>
      </w:r>
      <w:r w:rsidRPr="00341EDC">
        <w:rPr>
          <w:iCs/>
          <w:lang w:val="fr-FR"/>
        </w:rPr>
        <w:tab/>
      </w:r>
      <w:r w:rsidRPr="00341EDC">
        <w:rPr>
          <w:bCs/>
          <w:iCs/>
          <w:lang w:val="fr-FR"/>
        </w:rPr>
        <w:t>Vieillir les matériaux non métalliques en utilisant la description d</w:t>
      </w:r>
      <w:r>
        <w:rPr>
          <w:bCs/>
          <w:iCs/>
          <w:lang w:val="fr-FR"/>
        </w:rPr>
        <w:t>’</w:t>
      </w:r>
      <w:r w:rsidRPr="00341EDC">
        <w:rPr>
          <w:bCs/>
          <w:iCs/>
          <w:lang w:val="fr-FR"/>
        </w:rPr>
        <w:t>essai du paragraphe 11.1 de l</w:t>
      </w:r>
      <w:r>
        <w:rPr>
          <w:bCs/>
          <w:iCs/>
          <w:lang w:val="fr-FR"/>
        </w:rPr>
        <w:t>’</w:t>
      </w:r>
      <w:r w:rsidRPr="00341EDC">
        <w:rPr>
          <w:bCs/>
          <w:iCs/>
          <w:lang w:val="fr-FR"/>
        </w:rPr>
        <w:t>annexe 15.</w:t>
      </w:r>
    </w:p>
    <w:p w14:paraId="567EE15C" w14:textId="77777777" w:rsidR="00EC0357" w:rsidRPr="00341EDC" w:rsidRDefault="00EC0357" w:rsidP="00EC0357">
      <w:pPr>
        <w:pStyle w:val="SingleTxtG"/>
        <w:ind w:left="2268" w:hanging="1134"/>
        <w:rPr>
          <w:bCs/>
          <w:iCs/>
        </w:rPr>
      </w:pPr>
      <w:r w:rsidRPr="00341EDC">
        <w:rPr>
          <w:iCs/>
          <w:lang w:val="fr-FR"/>
        </w:rPr>
        <w:t>18.1.1.3</w:t>
      </w:r>
      <w:r w:rsidRPr="00341EDC">
        <w:rPr>
          <w:iCs/>
          <w:lang w:val="fr-FR"/>
        </w:rPr>
        <w:tab/>
      </w:r>
      <w:r w:rsidRPr="00341EDC">
        <w:rPr>
          <w:bCs/>
          <w:iCs/>
          <w:lang w:val="fr-FR"/>
        </w:rPr>
        <w:t>Vérifier la conformité avec le paragraphe 11.2 de l</w:t>
      </w:r>
      <w:r>
        <w:rPr>
          <w:bCs/>
          <w:iCs/>
          <w:lang w:val="fr-FR"/>
        </w:rPr>
        <w:t>’</w:t>
      </w:r>
      <w:r w:rsidRPr="00341EDC">
        <w:rPr>
          <w:bCs/>
          <w:iCs/>
          <w:lang w:val="fr-FR"/>
        </w:rPr>
        <w:t>annexe 15.</w:t>
      </w:r>
    </w:p>
    <w:p w14:paraId="5C986E45" w14:textId="77777777" w:rsidR="00EC0357" w:rsidRPr="00341EDC" w:rsidRDefault="00EC0357" w:rsidP="00EC0357">
      <w:pPr>
        <w:pStyle w:val="SingleTxtG"/>
        <w:ind w:left="2268" w:hanging="1134"/>
        <w:rPr>
          <w:bCs/>
          <w:iCs/>
        </w:rPr>
      </w:pPr>
      <w:r w:rsidRPr="00341EDC">
        <w:rPr>
          <w:iCs/>
          <w:lang w:val="fr-FR"/>
        </w:rPr>
        <w:t>18.1.1.4</w:t>
      </w:r>
      <w:r w:rsidRPr="00341EDC">
        <w:rPr>
          <w:iCs/>
          <w:lang w:val="fr-FR"/>
        </w:rPr>
        <w:tab/>
      </w:r>
      <w:r w:rsidRPr="00341EDC">
        <w:rPr>
          <w:bCs/>
          <w:iCs/>
          <w:lang w:val="fr-FR"/>
        </w:rPr>
        <w:t>Remonter les matériaux non métalliques vieillis sur le composant en suivant les instructions du fabricant.</w:t>
      </w:r>
    </w:p>
    <w:p w14:paraId="5ECB43D4" w14:textId="77777777" w:rsidR="00EC0357" w:rsidRPr="00341EDC" w:rsidRDefault="00EC0357" w:rsidP="00EC0357">
      <w:pPr>
        <w:pStyle w:val="SingleTxtG"/>
        <w:ind w:left="2268" w:hanging="1134"/>
        <w:rPr>
          <w:bCs/>
          <w:iCs/>
        </w:rPr>
      </w:pPr>
      <w:r w:rsidRPr="00341EDC">
        <w:rPr>
          <w:iCs/>
          <w:lang w:val="fr-FR"/>
        </w:rPr>
        <w:t>18.1.2</w:t>
      </w:r>
      <w:r w:rsidRPr="00341EDC">
        <w:rPr>
          <w:iCs/>
          <w:lang w:val="fr-FR"/>
        </w:rPr>
        <w:tab/>
      </w:r>
      <w:r w:rsidRPr="00341EDC">
        <w:rPr>
          <w:bCs/>
          <w:iCs/>
          <w:lang w:val="fr-FR"/>
        </w:rPr>
        <w:t>Procédure de vieillissement 2 (composant entier)</w:t>
      </w:r>
    </w:p>
    <w:p w14:paraId="36F5F209" w14:textId="77777777" w:rsidR="00EC0357" w:rsidRPr="00EC0357" w:rsidRDefault="00EC0357" w:rsidP="00EC0357">
      <w:pPr>
        <w:pStyle w:val="SingleTxtG"/>
        <w:ind w:left="2268" w:hanging="1134"/>
        <w:rPr>
          <w:lang w:val="fr-FR"/>
        </w:rPr>
      </w:pPr>
      <w:r w:rsidRPr="00341EDC">
        <w:rPr>
          <w:iCs/>
          <w:lang w:val="fr-FR"/>
        </w:rPr>
        <w:t>18.1.2.1</w:t>
      </w:r>
      <w:r w:rsidRPr="00341EDC">
        <w:rPr>
          <w:iCs/>
          <w:lang w:val="fr-FR"/>
        </w:rPr>
        <w:tab/>
      </w:r>
      <w:r w:rsidRPr="00341EDC">
        <w:rPr>
          <w:bCs/>
          <w:iCs/>
          <w:lang w:val="fr-FR"/>
        </w:rPr>
        <w:t xml:space="preserve">Exposer le composant entier au n-pentane conformément au paragraphe 11.1 </w:t>
      </w:r>
      <w:r w:rsidRPr="00EC0357">
        <w:rPr>
          <w:lang w:val="fr-FR"/>
        </w:rPr>
        <w:t>de l’annexe 15.</w:t>
      </w:r>
    </w:p>
    <w:p w14:paraId="14530AD4" w14:textId="77777777" w:rsidR="00EC0357" w:rsidRPr="00EC0357" w:rsidRDefault="00EC0357" w:rsidP="00EC0357">
      <w:pPr>
        <w:pStyle w:val="SingleTxtG"/>
        <w:ind w:left="2268" w:hanging="1134"/>
        <w:rPr>
          <w:lang w:val="fr-FR"/>
        </w:rPr>
      </w:pPr>
      <w:r w:rsidRPr="00EC0357">
        <w:rPr>
          <w:lang w:val="fr-FR"/>
        </w:rPr>
        <w:t>18.1.2.2</w:t>
      </w:r>
      <w:r w:rsidRPr="00EC0357">
        <w:rPr>
          <w:lang w:val="fr-FR"/>
        </w:rPr>
        <w:tab/>
        <w:t>Vérifier la conformité avec le paragraphe 11.2 de l’annexe 15.</w:t>
      </w:r>
    </w:p>
    <w:p w14:paraId="50D32C66" w14:textId="77777777" w:rsidR="00EC0357" w:rsidRPr="00EC0357" w:rsidRDefault="00EC0357" w:rsidP="00EC0357">
      <w:pPr>
        <w:pStyle w:val="SingleTxtG"/>
        <w:ind w:left="2268" w:hanging="1134"/>
        <w:rPr>
          <w:lang w:val="fr-FR"/>
        </w:rPr>
      </w:pPr>
      <w:r w:rsidRPr="00EC0357">
        <w:rPr>
          <w:lang w:val="fr-FR"/>
        </w:rPr>
        <w:t>18.2</w:t>
      </w:r>
      <w:r w:rsidRPr="00EC0357">
        <w:rPr>
          <w:lang w:val="fr-FR"/>
        </w:rPr>
        <w:tab/>
        <w:t>Essai de vibration sur un échantillon vieilli “a”</w:t>
      </w:r>
    </w:p>
    <w:p w14:paraId="505B2689" w14:textId="77777777" w:rsidR="00EC0357" w:rsidRPr="00341EDC" w:rsidRDefault="00EC0357" w:rsidP="00EC0357">
      <w:pPr>
        <w:pStyle w:val="SingleTxtG"/>
        <w:ind w:left="2268" w:hanging="1134"/>
        <w:rPr>
          <w:bCs/>
          <w:iCs/>
        </w:rPr>
      </w:pPr>
      <w:r w:rsidRPr="00EC0357">
        <w:rPr>
          <w:lang w:val="fr-FR"/>
        </w:rPr>
        <w:t>18.2.1</w:t>
      </w:r>
      <w:r w:rsidRPr="00EC0357">
        <w:rPr>
          <w:lang w:val="fr-FR"/>
        </w:rPr>
        <w:tab/>
        <w:t>Effectuer sur l’échantillon vieilli l’essai de vibration décrit au paragraphe 10.5 de l’annexe 15, procédure A ou</w:t>
      </w:r>
      <w:r w:rsidRPr="00341EDC">
        <w:rPr>
          <w:bCs/>
          <w:iCs/>
          <w:lang w:val="fr-FR"/>
        </w:rPr>
        <w:t xml:space="preserve"> B. L</w:t>
      </w:r>
      <w:r>
        <w:rPr>
          <w:bCs/>
          <w:iCs/>
          <w:lang w:val="fr-FR"/>
        </w:rPr>
        <w:t>’</w:t>
      </w:r>
      <w:r w:rsidRPr="00341EDC">
        <w:rPr>
          <w:bCs/>
          <w:iCs/>
          <w:lang w:val="fr-FR"/>
        </w:rPr>
        <w:t>échantillon doit satisfaire aux prescriptions d</w:t>
      </w:r>
      <w:r>
        <w:rPr>
          <w:bCs/>
          <w:iCs/>
          <w:lang w:val="fr-FR"/>
        </w:rPr>
        <w:t>’</w:t>
      </w:r>
      <w:r w:rsidRPr="00341EDC">
        <w:rPr>
          <w:bCs/>
          <w:iCs/>
          <w:lang w:val="fr-FR"/>
        </w:rPr>
        <w:t>essai énoncées au paragraphe 10.5 de l</w:t>
      </w:r>
      <w:r>
        <w:rPr>
          <w:bCs/>
          <w:iCs/>
          <w:lang w:val="fr-FR"/>
        </w:rPr>
        <w:t>’</w:t>
      </w:r>
      <w:r w:rsidRPr="00341EDC">
        <w:rPr>
          <w:bCs/>
          <w:iCs/>
          <w:lang w:val="fr-FR"/>
        </w:rPr>
        <w:t>annexe 15, procédure A ou B.</w:t>
      </w:r>
    </w:p>
    <w:p w14:paraId="53E23BAC" w14:textId="77777777" w:rsidR="00EC0357" w:rsidRPr="00EC0357" w:rsidRDefault="00EC0357" w:rsidP="00EC0357">
      <w:pPr>
        <w:pStyle w:val="SingleTxtG"/>
        <w:ind w:left="2268" w:hanging="1134"/>
        <w:rPr>
          <w:lang w:val="fr-FR"/>
        </w:rPr>
      </w:pPr>
      <w:r w:rsidRPr="00EC0357">
        <w:rPr>
          <w:lang w:val="fr-FR"/>
        </w:rPr>
        <w:t>18.3</w:t>
      </w:r>
      <w:r w:rsidRPr="00EC0357">
        <w:rPr>
          <w:lang w:val="fr-FR"/>
        </w:rPr>
        <w:tab/>
        <w:t>Essai de débit avec un réservoir fictif pour comparer l’échantillon “a” et l’échantillon de référence “b”.</w:t>
      </w:r>
    </w:p>
    <w:p w14:paraId="29181086" w14:textId="77777777" w:rsidR="00EC0357" w:rsidRPr="00EC0357" w:rsidRDefault="00EC0357" w:rsidP="00EC0357">
      <w:pPr>
        <w:pStyle w:val="SingleTxtG"/>
        <w:ind w:left="2268" w:hanging="1134"/>
        <w:rPr>
          <w:lang w:val="fr-FR"/>
        </w:rPr>
      </w:pPr>
      <w:r w:rsidRPr="00EC0357">
        <w:rPr>
          <w:lang w:val="fr-FR"/>
        </w:rPr>
        <w:t>18.3.1</w:t>
      </w:r>
      <w:r w:rsidRPr="00EC0357">
        <w:rPr>
          <w:lang w:val="fr-FR"/>
        </w:rPr>
        <w:tab/>
        <w:t>Effectuer pour les deux échantillons l’essai de débit conformément au paragraphe 6.15.8.3 du présent Règlement.</w:t>
      </w:r>
    </w:p>
    <w:p w14:paraId="1B3EB2C2" w14:textId="77777777" w:rsidR="00EC0357" w:rsidRPr="00EC0357" w:rsidRDefault="00EC0357" w:rsidP="00EC0357">
      <w:pPr>
        <w:pStyle w:val="SingleTxtG"/>
        <w:ind w:left="2268" w:hanging="1134"/>
        <w:rPr>
          <w:lang w:val="fr-FR"/>
        </w:rPr>
      </w:pPr>
      <w:r w:rsidRPr="00EC0357">
        <w:rPr>
          <w:lang w:val="fr-FR"/>
        </w:rPr>
        <w:t>18.3.2</w:t>
      </w:r>
      <w:r w:rsidRPr="00EC0357">
        <w:rPr>
          <w:lang w:val="fr-FR"/>
        </w:rPr>
        <w:tab/>
        <w:t>Prescriptions :</w:t>
      </w:r>
    </w:p>
    <w:p w14:paraId="4F5C7A4B" w14:textId="77777777" w:rsidR="00EC0357" w:rsidRPr="00341EDC" w:rsidRDefault="00EC0357" w:rsidP="002E37F7">
      <w:pPr>
        <w:pStyle w:val="SingleTxtG"/>
        <w:ind w:left="2268"/>
        <w:rPr>
          <w:bCs/>
          <w:iCs/>
        </w:rPr>
      </w:pPr>
      <w:r w:rsidRPr="00341EDC">
        <w:rPr>
          <w:bCs/>
          <w:iCs/>
          <w:lang w:val="fr-FR"/>
        </w:rPr>
        <w:t xml:space="preserve">Les échantillons </w:t>
      </w:r>
      <w:r w:rsidRPr="00341EDC">
        <w:rPr>
          <w:bCs/>
          <w:iCs/>
        </w:rPr>
        <w:t>“</w:t>
      </w:r>
      <w:proofErr w:type="gramStart"/>
      <w:r w:rsidRPr="00341EDC">
        <w:rPr>
          <w:bCs/>
          <w:iCs/>
          <w:lang w:val="fr-FR"/>
        </w:rPr>
        <w:t>a</w:t>
      </w:r>
      <w:proofErr w:type="gramEnd"/>
      <w:r w:rsidRPr="00341EDC">
        <w:rPr>
          <w:bCs/>
          <w:iCs/>
        </w:rPr>
        <w:t>”</w:t>
      </w:r>
      <w:r w:rsidRPr="00341EDC">
        <w:rPr>
          <w:bCs/>
          <w:iCs/>
          <w:lang w:val="fr-FR"/>
        </w:rPr>
        <w:t xml:space="preserve"> et </w:t>
      </w:r>
      <w:r w:rsidRPr="00341EDC">
        <w:rPr>
          <w:bCs/>
          <w:iCs/>
        </w:rPr>
        <w:t>“</w:t>
      </w:r>
      <w:r w:rsidRPr="00341EDC">
        <w:rPr>
          <w:bCs/>
          <w:iCs/>
          <w:lang w:val="fr-FR"/>
        </w:rPr>
        <w:t>b</w:t>
      </w:r>
      <w:r w:rsidRPr="00341EDC">
        <w:rPr>
          <w:bCs/>
          <w:iCs/>
        </w:rPr>
        <w:t xml:space="preserve">” </w:t>
      </w:r>
      <w:r w:rsidRPr="00341EDC">
        <w:rPr>
          <w:bCs/>
          <w:iCs/>
          <w:lang w:val="fr-FR"/>
        </w:rPr>
        <w:t>vieillis et non vieillis doivent satisfaire aux prescriptions en matière de débit énoncées au paragraphe 6.15.8.3 du présent Règlement.</w:t>
      </w:r>
    </w:p>
    <w:p w14:paraId="29CC6378" w14:textId="77777777" w:rsidR="00F9573C" w:rsidRDefault="00EC0357" w:rsidP="002E37F7">
      <w:pPr>
        <w:pStyle w:val="SingleTxtG"/>
        <w:ind w:left="2268"/>
        <w:rPr>
          <w:iCs/>
          <w:lang w:val="fr-FR"/>
        </w:rPr>
      </w:pPr>
      <w:r w:rsidRPr="00341EDC">
        <w:rPr>
          <w:iCs/>
          <w:lang w:val="fr-FR"/>
        </w:rPr>
        <w:tab/>
      </w:r>
      <w:r w:rsidRPr="002E37F7">
        <w:rPr>
          <w:bCs/>
          <w:iCs/>
          <w:lang w:val="fr-FR"/>
        </w:rPr>
        <w:t>Le</w:t>
      </w:r>
      <w:r w:rsidRPr="00341EDC">
        <w:rPr>
          <w:iCs/>
          <w:lang w:val="fr-FR"/>
        </w:rPr>
        <w:t xml:space="preserve"> matériau non métallique des échantillons </w:t>
      </w:r>
      <w:r w:rsidRPr="00341EDC">
        <w:rPr>
          <w:bCs/>
          <w:iCs/>
        </w:rPr>
        <w:t>“</w:t>
      </w:r>
      <w:r w:rsidRPr="00341EDC">
        <w:rPr>
          <w:bCs/>
          <w:iCs/>
          <w:lang w:val="fr-FR"/>
        </w:rPr>
        <w:t>a</w:t>
      </w:r>
      <w:r w:rsidRPr="00341EDC">
        <w:rPr>
          <w:bCs/>
          <w:iCs/>
        </w:rPr>
        <w:t>”</w:t>
      </w:r>
      <w:r w:rsidRPr="00341EDC">
        <w:rPr>
          <w:bCs/>
          <w:iCs/>
          <w:lang w:val="fr-FR"/>
        </w:rPr>
        <w:t xml:space="preserve"> et </w:t>
      </w:r>
      <w:r w:rsidRPr="00341EDC">
        <w:rPr>
          <w:bCs/>
          <w:iCs/>
        </w:rPr>
        <w:t>“</w:t>
      </w:r>
      <w:r w:rsidRPr="00341EDC">
        <w:rPr>
          <w:bCs/>
          <w:iCs/>
          <w:lang w:val="fr-FR"/>
        </w:rPr>
        <w:t>b</w:t>
      </w:r>
      <w:r w:rsidRPr="00341EDC">
        <w:rPr>
          <w:bCs/>
          <w:iCs/>
        </w:rPr>
        <w:t xml:space="preserve">” </w:t>
      </w:r>
      <w:r w:rsidRPr="00341EDC">
        <w:rPr>
          <w:iCs/>
          <w:lang w:val="fr-FR"/>
        </w:rPr>
        <w:t>ne doit présenter aucune fissure</w:t>
      </w:r>
      <w:r>
        <w:rPr>
          <w:iCs/>
          <w:lang w:val="fr-FR"/>
        </w:rPr>
        <w:t xml:space="preserve"> ou </w:t>
      </w:r>
      <w:r w:rsidRPr="00341EDC">
        <w:rPr>
          <w:iCs/>
          <w:lang w:val="fr-FR"/>
        </w:rPr>
        <w:t xml:space="preserve">déformation </w:t>
      </w:r>
      <w:r>
        <w:rPr>
          <w:iCs/>
          <w:lang w:val="fr-FR"/>
        </w:rPr>
        <w:t xml:space="preserve">ni aucun </w:t>
      </w:r>
      <w:r w:rsidRPr="00341EDC">
        <w:rPr>
          <w:iCs/>
          <w:lang w:val="fr-FR"/>
        </w:rPr>
        <w:t>dommage visuel. ».</w:t>
      </w:r>
    </w:p>
    <w:p w14:paraId="2110AC5E" w14:textId="77777777" w:rsidR="00EC0357" w:rsidRPr="00EC0357" w:rsidRDefault="00EC0357" w:rsidP="00EC0357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EC0357" w:rsidRPr="00EC0357" w:rsidSect="00EC035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D938C" w14:textId="77777777" w:rsidR="00B11C82" w:rsidRDefault="00B11C82" w:rsidP="00F95C08">
      <w:pPr>
        <w:spacing w:line="240" w:lineRule="auto"/>
      </w:pPr>
    </w:p>
  </w:endnote>
  <w:endnote w:type="continuationSeparator" w:id="0">
    <w:p w14:paraId="2D71DED3" w14:textId="77777777" w:rsidR="00B11C82" w:rsidRPr="00AC3823" w:rsidRDefault="00B11C82" w:rsidP="00AC3823">
      <w:pPr>
        <w:pStyle w:val="Footer"/>
      </w:pPr>
    </w:p>
  </w:endnote>
  <w:endnote w:type="continuationNotice" w:id="1">
    <w:p w14:paraId="70F24CA8" w14:textId="77777777" w:rsidR="00B11C82" w:rsidRDefault="00B11C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2E98F" w14:textId="77777777" w:rsidR="00EC0357" w:rsidRPr="00EC0357" w:rsidRDefault="00EC0357" w:rsidP="00EC0357">
    <w:pPr>
      <w:pStyle w:val="Footer"/>
      <w:tabs>
        <w:tab w:val="right" w:pos="9638"/>
      </w:tabs>
    </w:pPr>
    <w:r w:rsidRPr="00EC0357">
      <w:rPr>
        <w:b/>
        <w:sz w:val="18"/>
      </w:rPr>
      <w:fldChar w:fldCharType="begin"/>
    </w:r>
    <w:r w:rsidRPr="00EC0357">
      <w:rPr>
        <w:b/>
        <w:sz w:val="18"/>
      </w:rPr>
      <w:instrText xml:space="preserve"> PAGE  \* MERGEFORMAT </w:instrText>
    </w:r>
    <w:r w:rsidRPr="00EC0357">
      <w:rPr>
        <w:b/>
        <w:sz w:val="18"/>
      </w:rPr>
      <w:fldChar w:fldCharType="separate"/>
    </w:r>
    <w:r w:rsidRPr="00EC0357">
      <w:rPr>
        <w:b/>
        <w:noProof/>
        <w:sz w:val="18"/>
      </w:rPr>
      <w:t>2</w:t>
    </w:r>
    <w:r w:rsidRPr="00EC0357">
      <w:rPr>
        <w:b/>
        <w:sz w:val="18"/>
      </w:rPr>
      <w:fldChar w:fldCharType="end"/>
    </w:r>
    <w:r>
      <w:rPr>
        <w:b/>
        <w:sz w:val="18"/>
      </w:rPr>
      <w:tab/>
    </w:r>
    <w:r>
      <w:t>GE.19-14309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F5C0A" w14:textId="77777777" w:rsidR="00EC0357" w:rsidRPr="00EC0357" w:rsidRDefault="00EC0357" w:rsidP="00EC0357">
    <w:pPr>
      <w:pStyle w:val="Footer"/>
      <w:tabs>
        <w:tab w:val="right" w:pos="9638"/>
      </w:tabs>
      <w:rPr>
        <w:b/>
        <w:sz w:val="18"/>
      </w:rPr>
    </w:pPr>
    <w:r>
      <w:t>GE.19-14309</w:t>
    </w:r>
    <w:r>
      <w:tab/>
    </w:r>
    <w:r w:rsidRPr="00EC0357">
      <w:rPr>
        <w:b/>
        <w:sz w:val="18"/>
      </w:rPr>
      <w:fldChar w:fldCharType="begin"/>
    </w:r>
    <w:r w:rsidRPr="00EC0357">
      <w:rPr>
        <w:b/>
        <w:sz w:val="18"/>
      </w:rPr>
      <w:instrText xml:space="preserve"> PAGE  \* MERGEFORMAT </w:instrText>
    </w:r>
    <w:r w:rsidRPr="00EC0357">
      <w:rPr>
        <w:b/>
        <w:sz w:val="18"/>
      </w:rPr>
      <w:fldChar w:fldCharType="separate"/>
    </w:r>
    <w:r w:rsidRPr="00EC0357">
      <w:rPr>
        <w:b/>
        <w:noProof/>
        <w:sz w:val="18"/>
      </w:rPr>
      <w:t>3</w:t>
    </w:r>
    <w:r w:rsidRPr="00EC03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F8BD0" w14:textId="77777777" w:rsidR="007F20FA" w:rsidRPr="00EC0357" w:rsidRDefault="00EC0357" w:rsidP="00EC035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70E3AD5" wp14:editId="17F3BD7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14309  (</w:t>
    </w:r>
    <w:proofErr w:type="gramEnd"/>
    <w:r>
      <w:rPr>
        <w:sz w:val="20"/>
      </w:rPr>
      <w:t>F)    230919    270919</w:t>
    </w:r>
    <w:r>
      <w:rPr>
        <w:sz w:val="20"/>
      </w:rPr>
      <w:br/>
    </w:r>
    <w:r w:rsidRPr="00EC0357">
      <w:rPr>
        <w:rFonts w:ascii="C39T30Lfz" w:hAnsi="C39T30Lfz"/>
        <w:sz w:val="56"/>
      </w:rPr>
      <w:t></w:t>
    </w:r>
    <w:r w:rsidRPr="00EC0357">
      <w:rPr>
        <w:rFonts w:ascii="C39T30Lfz" w:hAnsi="C39T30Lfz"/>
        <w:sz w:val="56"/>
      </w:rPr>
      <w:t></w:t>
    </w:r>
    <w:r w:rsidRPr="00EC0357">
      <w:rPr>
        <w:rFonts w:ascii="C39T30Lfz" w:hAnsi="C39T30Lfz"/>
        <w:sz w:val="56"/>
      </w:rPr>
      <w:t></w:t>
    </w:r>
    <w:r w:rsidRPr="00EC0357">
      <w:rPr>
        <w:rFonts w:ascii="C39T30Lfz" w:hAnsi="C39T30Lfz"/>
        <w:sz w:val="56"/>
      </w:rPr>
      <w:t></w:t>
    </w:r>
    <w:r w:rsidRPr="00EC0357">
      <w:rPr>
        <w:rFonts w:ascii="C39T30Lfz" w:hAnsi="C39T30Lfz"/>
        <w:sz w:val="56"/>
      </w:rPr>
      <w:t></w:t>
    </w:r>
    <w:r w:rsidRPr="00EC0357">
      <w:rPr>
        <w:rFonts w:ascii="C39T30Lfz" w:hAnsi="C39T30Lfz"/>
        <w:sz w:val="56"/>
      </w:rPr>
      <w:t></w:t>
    </w:r>
    <w:r w:rsidRPr="00EC0357">
      <w:rPr>
        <w:rFonts w:ascii="C39T30Lfz" w:hAnsi="C39T30Lfz"/>
        <w:sz w:val="56"/>
      </w:rPr>
      <w:t></w:t>
    </w:r>
    <w:r w:rsidRPr="00EC0357">
      <w:rPr>
        <w:rFonts w:ascii="C39T30Lfz" w:hAnsi="C39T30Lfz"/>
        <w:sz w:val="56"/>
      </w:rPr>
      <w:t></w:t>
    </w:r>
    <w:r w:rsidRPr="00EC035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CB77D80" wp14:editId="2656957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 descr="https://api.qrserver.com/v1/create-qr-code/?size=66x66&amp;data=https://undocs.org/fr/ECE/TRANS/WP.29/2019/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s://undocs.org/fr/ECE/TRANS/WP.29/2019/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EDAFC" w14:textId="77777777" w:rsidR="00B11C82" w:rsidRPr="00AC3823" w:rsidRDefault="00B11C8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84DFCF" w14:textId="77777777" w:rsidR="00B11C82" w:rsidRPr="00AC3823" w:rsidRDefault="00B11C8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FB7D82A" w14:textId="77777777" w:rsidR="00B11C82" w:rsidRPr="00AC3823" w:rsidRDefault="00B11C82">
      <w:pPr>
        <w:spacing w:line="240" w:lineRule="auto"/>
        <w:rPr>
          <w:sz w:val="2"/>
          <w:szCs w:val="2"/>
        </w:rPr>
      </w:pPr>
    </w:p>
  </w:footnote>
  <w:footnote w:id="2">
    <w:p w14:paraId="62B06A04" w14:textId="77777777" w:rsidR="00EC0357" w:rsidRPr="00CC4408" w:rsidRDefault="00EC0357" w:rsidP="00EC0357">
      <w:pPr>
        <w:pStyle w:val="FootnoteText"/>
        <w:rPr>
          <w:lang w:val="fr-FR"/>
        </w:rPr>
      </w:pPr>
      <w:r>
        <w:tab/>
      </w:r>
      <w:r w:rsidRPr="00EC0357">
        <w:rPr>
          <w:rStyle w:val="FootnoteReference"/>
          <w:sz w:val="20"/>
          <w:vertAlign w:val="baseline"/>
          <w:lang w:val="fr-FR"/>
        </w:rPr>
        <w:t>*</w:t>
      </w:r>
      <w:r w:rsidRPr="00CC4408">
        <w:rPr>
          <w:lang w:val="fr-FR"/>
        </w:rPr>
        <w:tab/>
        <w:t>Conformément au programme de travail du Comité des transports intérieurs pour la période 2018</w:t>
      </w:r>
      <w:r>
        <w:rPr>
          <w:lang w:val="fr-FR"/>
        </w:rPr>
        <w:noBreakHyphen/>
      </w:r>
      <w:r w:rsidRPr="00CC4408">
        <w:rPr>
          <w:lang w:val="fr-FR"/>
        </w:rPr>
        <w:t>2019 (ECE/TRANS/274, par. 123, et ECE/TRANS/2018/21/Add.1, module 3.1), le Forum mondial a pour mission d</w:t>
      </w:r>
      <w:r>
        <w:rPr>
          <w:lang w:val="fr-FR"/>
        </w:rPr>
        <w:t>’</w:t>
      </w:r>
      <w:r w:rsidRPr="00CC4408">
        <w:rPr>
          <w:lang w:val="fr-FR"/>
        </w:rPr>
        <w:t>élaborer, d</w:t>
      </w:r>
      <w:r>
        <w:rPr>
          <w:lang w:val="fr-FR"/>
        </w:rPr>
        <w:t>’</w:t>
      </w:r>
      <w:r w:rsidRPr="00CC4408"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 w:rsidRPr="00CC4408">
        <w:rPr>
          <w:lang w:val="fr-FR"/>
        </w:rPr>
        <w:t>améliorer les caractéristiques fonctionnelles des véhicules.</w:t>
      </w:r>
      <w:r w:rsidR="00B43E98">
        <w:rPr>
          <w:lang w:val="fr-FR"/>
        </w:rPr>
        <w:t xml:space="preserve">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33D7" w14:textId="1440CB9E" w:rsidR="00EC0357" w:rsidRPr="00EC0357" w:rsidRDefault="00D5495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A298" w14:textId="12DEBDF5" w:rsidR="00EC0357" w:rsidRPr="00EC0357" w:rsidRDefault="00D5495C" w:rsidP="00EC035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82"/>
    <w:rsid w:val="00017F94"/>
    <w:rsid w:val="00023842"/>
    <w:rsid w:val="000334F9"/>
    <w:rsid w:val="00045FEB"/>
    <w:rsid w:val="0007796D"/>
    <w:rsid w:val="000B7790"/>
    <w:rsid w:val="000C27D1"/>
    <w:rsid w:val="00110142"/>
    <w:rsid w:val="00111F2F"/>
    <w:rsid w:val="0014365E"/>
    <w:rsid w:val="00143C66"/>
    <w:rsid w:val="00176178"/>
    <w:rsid w:val="001F525A"/>
    <w:rsid w:val="0021495B"/>
    <w:rsid w:val="00223272"/>
    <w:rsid w:val="0024779E"/>
    <w:rsid w:val="00257168"/>
    <w:rsid w:val="002744B8"/>
    <w:rsid w:val="002832AC"/>
    <w:rsid w:val="002D7C93"/>
    <w:rsid w:val="002E37F7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5927"/>
    <w:rsid w:val="00586ED3"/>
    <w:rsid w:val="00596AA9"/>
    <w:rsid w:val="005F72E4"/>
    <w:rsid w:val="00662D47"/>
    <w:rsid w:val="0071601D"/>
    <w:rsid w:val="00763DE0"/>
    <w:rsid w:val="007A62E6"/>
    <w:rsid w:val="007F20FA"/>
    <w:rsid w:val="0080684C"/>
    <w:rsid w:val="00871C75"/>
    <w:rsid w:val="008776DC"/>
    <w:rsid w:val="00914FE2"/>
    <w:rsid w:val="009446C0"/>
    <w:rsid w:val="009705C8"/>
    <w:rsid w:val="00974A6A"/>
    <w:rsid w:val="00980050"/>
    <w:rsid w:val="00986D32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11C82"/>
    <w:rsid w:val="00B43E98"/>
    <w:rsid w:val="00B45F2E"/>
    <w:rsid w:val="00B765F7"/>
    <w:rsid w:val="00BA0CA9"/>
    <w:rsid w:val="00C02897"/>
    <w:rsid w:val="00C97039"/>
    <w:rsid w:val="00D3439C"/>
    <w:rsid w:val="00D5495C"/>
    <w:rsid w:val="00DB1831"/>
    <w:rsid w:val="00DD3BFD"/>
    <w:rsid w:val="00DF6678"/>
    <w:rsid w:val="00E0299A"/>
    <w:rsid w:val="00E85C74"/>
    <w:rsid w:val="00EA6547"/>
    <w:rsid w:val="00EC035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02A7C9"/>
  <w15:docId w15:val="{9A47F3D2-30F2-4533-BD79-9D8DB86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ECE/TRANS/WP.29/2019/98</vt:lpstr>
      <vt:lpstr>ECE/TRANS/WP.29/2019/98</vt:lpstr>
    </vt:vector>
  </TitlesOfParts>
  <Company>DCM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ECE/TRANS/WP.29/2019/98</dc:title>
  <dc:subject/>
  <dc:creator>Valerie BERTIN</dc:creator>
  <cp:keywords/>
  <cp:lastModifiedBy>Marie-Claude Collet</cp:lastModifiedBy>
  <cp:revision>3</cp:revision>
  <cp:lastPrinted>2019-10-01T12:37:00Z</cp:lastPrinted>
  <dcterms:created xsi:type="dcterms:W3CDTF">2019-10-01T12:37:00Z</dcterms:created>
  <dcterms:modified xsi:type="dcterms:W3CDTF">2019-10-01T12:37:00Z</dcterms:modified>
</cp:coreProperties>
</file>