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D6CF7F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E4A4B7C" w14:textId="77777777" w:rsidR="00F35BAF" w:rsidRPr="00DB58B5" w:rsidRDefault="00F35BAF" w:rsidP="00D802B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33EA25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4E7030E" w14:textId="77777777" w:rsidR="00F35BAF" w:rsidRPr="00DB58B5" w:rsidRDefault="00D802B2" w:rsidP="00D802B2">
            <w:pPr>
              <w:jc w:val="right"/>
            </w:pPr>
            <w:r w:rsidRPr="00D802B2">
              <w:rPr>
                <w:sz w:val="40"/>
              </w:rPr>
              <w:t>ECE</w:t>
            </w:r>
            <w:r>
              <w:t>/TRANS/WP.29/2019/113</w:t>
            </w:r>
          </w:p>
        </w:tc>
      </w:tr>
      <w:tr w:rsidR="00F35BAF" w:rsidRPr="00DB58B5" w14:paraId="7D60DAA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70B9C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8E2E078" wp14:editId="32CA53B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950B3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DB64A4" w14:textId="77777777" w:rsidR="00F35BAF" w:rsidRDefault="00D802B2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AB0BB80" w14:textId="77777777" w:rsidR="00D802B2" w:rsidRDefault="00D802B2" w:rsidP="00D802B2">
            <w:pPr>
              <w:spacing w:line="240" w:lineRule="exact"/>
            </w:pPr>
            <w:r>
              <w:t>27 août 2019</w:t>
            </w:r>
          </w:p>
          <w:p w14:paraId="2915E1C3" w14:textId="77777777" w:rsidR="00D802B2" w:rsidRDefault="00D802B2" w:rsidP="00D802B2">
            <w:pPr>
              <w:spacing w:line="240" w:lineRule="exact"/>
            </w:pPr>
            <w:r>
              <w:t>Français</w:t>
            </w:r>
          </w:p>
          <w:p w14:paraId="4782BB86" w14:textId="77777777" w:rsidR="00D802B2" w:rsidRPr="00DB58B5" w:rsidRDefault="00D802B2" w:rsidP="00D802B2">
            <w:pPr>
              <w:spacing w:line="240" w:lineRule="exact"/>
            </w:pPr>
            <w:r>
              <w:t>Original : anglais</w:t>
            </w:r>
          </w:p>
        </w:tc>
      </w:tr>
    </w:tbl>
    <w:p w14:paraId="07B1CDE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B34F37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96C8F7E" w14:textId="77777777" w:rsidR="00D802B2" w:rsidRDefault="00D802B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4C9B342" w14:textId="77777777" w:rsidR="00D802B2" w:rsidRDefault="00D802B2" w:rsidP="00AF0CB5">
      <w:pPr>
        <w:spacing w:before="120" w:line="240" w:lineRule="exact"/>
        <w:rPr>
          <w:b/>
        </w:rPr>
      </w:pPr>
      <w:r>
        <w:rPr>
          <w:b/>
          <w:bCs/>
          <w:lang w:val="fr-FR"/>
        </w:rPr>
        <w:t>179</w:t>
      </w:r>
      <w:r>
        <w:rPr>
          <w:b/>
          <w:bCs/>
          <w:vertAlign w:val="superscript"/>
          <w:lang w:val="fr-FR"/>
        </w:rPr>
        <w:t>e</w:t>
      </w:r>
      <w:r>
        <w:rPr>
          <w:b/>
        </w:rPr>
        <w:t xml:space="preserve"> session</w:t>
      </w:r>
    </w:p>
    <w:p w14:paraId="28EEC6B1" w14:textId="77777777" w:rsidR="00D802B2" w:rsidRPr="007E00FA" w:rsidRDefault="00D802B2" w:rsidP="00D802B2">
      <w:r w:rsidRPr="007E00FA">
        <w:rPr>
          <w:lang w:val="fr-FR"/>
        </w:rPr>
        <w:t>Genève, 12-14 novembre 2019</w:t>
      </w:r>
    </w:p>
    <w:p w14:paraId="6B49345D" w14:textId="77777777" w:rsidR="00D802B2" w:rsidRPr="007E00FA" w:rsidRDefault="00D802B2" w:rsidP="00D802B2">
      <w:r w:rsidRPr="007E00FA">
        <w:rPr>
          <w:lang w:val="fr-FR"/>
        </w:rPr>
        <w:t>Point 4.9.2 de l</w:t>
      </w:r>
      <w:r>
        <w:rPr>
          <w:lang w:val="fr-FR"/>
        </w:rPr>
        <w:t>’</w:t>
      </w:r>
      <w:r w:rsidRPr="007E00FA">
        <w:rPr>
          <w:lang w:val="fr-FR"/>
        </w:rPr>
        <w:t xml:space="preserve">ordre du jour provisoire </w:t>
      </w:r>
    </w:p>
    <w:p w14:paraId="726AB93C" w14:textId="77777777" w:rsidR="00D802B2" w:rsidRDefault="00D802B2" w:rsidP="00D802B2">
      <w:pPr>
        <w:rPr>
          <w:b/>
        </w:rPr>
      </w:pPr>
      <w:r w:rsidRPr="007E00FA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7E00FA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</w:r>
      <w:r w:rsidRPr="007E00FA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7E00FA">
        <w:rPr>
          <w:b/>
          <w:bCs/>
          <w:lang w:val="fr-FR"/>
        </w:rPr>
        <w:t xml:space="preserve">amendements à des </w:t>
      </w:r>
      <w:r>
        <w:rPr>
          <w:b/>
          <w:bCs/>
          <w:lang w:val="fr-FR"/>
        </w:rPr>
        <w:t>R</w:t>
      </w:r>
      <w:r w:rsidRPr="007E00FA">
        <w:rPr>
          <w:b/>
          <w:bCs/>
          <w:lang w:val="fr-FR"/>
        </w:rPr>
        <w:t xml:space="preserve">èglements </w:t>
      </w:r>
      <w:r>
        <w:rPr>
          <w:b/>
          <w:bCs/>
          <w:lang w:val="fr-FR"/>
        </w:rPr>
        <w:t xml:space="preserve">ONU </w:t>
      </w:r>
      <w:r w:rsidRPr="007E00FA">
        <w:rPr>
          <w:b/>
          <w:bCs/>
          <w:lang w:val="fr-FR"/>
        </w:rPr>
        <w:t xml:space="preserve">existants, </w:t>
      </w:r>
      <w:r>
        <w:rPr>
          <w:b/>
          <w:bCs/>
          <w:lang w:val="fr-FR"/>
        </w:rPr>
        <w:br/>
      </w:r>
      <w:r w:rsidRPr="007E00FA">
        <w:rPr>
          <w:b/>
          <w:bCs/>
          <w:lang w:val="fr-FR"/>
        </w:rPr>
        <w:t>soumis par le GRPE</w:t>
      </w:r>
    </w:p>
    <w:p w14:paraId="035130E8" w14:textId="77777777" w:rsidR="00D802B2" w:rsidRDefault="00D802B2" w:rsidP="00D802B2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9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115 (Systèmes de conversion au GPL et au GNC)</w:t>
      </w:r>
    </w:p>
    <w:p w14:paraId="5CCDDC5E" w14:textId="77777777" w:rsidR="00D802B2" w:rsidRDefault="00D802B2" w:rsidP="00D802B2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Groupe de travail de la pollution et de l’énergie</w:t>
      </w:r>
      <w:r w:rsidRPr="0024514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08BE2CE" w14:textId="77777777" w:rsidR="00D802B2" w:rsidRDefault="00D802B2" w:rsidP="00895A07">
      <w:pPr>
        <w:pStyle w:val="SingleTxtG"/>
        <w:ind w:firstLine="567"/>
        <w:rPr>
          <w:szCs w:val="24"/>
        </w:rPr>
      </w:pPr>
      <w:r w:rsidRPr="007E00FA">
        <w:rPr>
          <w:lang w:val="fr-FR"/>
        </w:rPr>
        <w:t>Le texte ci-après a été adopté par le Groupe de travail de la pollution et de l</w:t>
      </w:r>
      <w:r>
        <w:rPr>
          <w:lang w:val="fr-FR"/>
        </w:rPr>
        <w:t>’</w:t>
      </w:r>
      <w:r w:rsidRPr="007E00FA">
        <w:rPr>
          <w:lang w:val="fr-FR"/>
        </w:rPr>
        <w:t>énergie (GRPE) à sa soixante</w:t>
      </w:r>
      <w:r w:rsidRPr="007E00FA">
        <w:rPr>
          <w:lang w:val="fr-FR"/>
        </w:rPr>
        <w:noBreakHyphen/>
        <w:t>dix</w:t>
      </w:r>
      <w:r w:rsidRPr="007E00FA">
        <w:rPr>
          <w:lang w:val="fr-FR"/>
        </w:rPr>
        <w:noBreakHyphen/>
        <w:t xml:space="preserve">neuvième </w:t>
      </w:r>
      <w:r>
        <w:rPr>
          <w:lang w:val="fr-FR"/>
        </w:rPr>
        <w:t>session (ECE/TRANS/WP.29/GRPE/79</w:t>
      </w:r>
      <w:r w:rsidRPr="007E00FA">
        <w:rPr>
          <w:lang w:val="fr-FR"/>
        </w:rPr>
        <w:t>, par. 32). Il est fondé sur le document ECE/TRANS/WP.29/GRPE/2019/10, tel que modifié par l</w:t>
      </w:r>
      <w:r>
        <w:rPr>
          <w:lang w:val="fr-FR"/>
        </w:rPr>
        <w:t>’</w:t>
      </w:r>
      <w:r w:rsidRPr="007E00FA">
        <w:rPr>
          <w:lang w:val="fr-FR"/>
        </w:rPr>
        <w:t>annexe IV du rapport. Il est soumis au Forum mondial de l</w:t>
      </w:r>
      <w:r>
        <w:rPr>
          <w:lang w:val="fr-FR"/>
        </w:rPr>
        <w:t>’</w:t>
      </w:r>
      <w:r w:rsidRPr="007E00FA">
        <w:rPr>
          <w:lang w:val="fr-FR"/>
        </w:rPr>
        <w:t>harmonisation des Règlements</w:t>
      </w:r>
      <w:r>
        <w:rPr>
          <w:lang w:val="fr-FR"/>
        </w:rPr>
        <w:t xml:space="preserve"> </w:t>
      </w:r>
      <w:r w:rsidRPr="007E00FA">
        <w:rPr>
          <w:lang w:val="fr-FR"/>
        </w:rPr>
        <w:t>concernant les véhicules (WP.29) et au Comité d</w:t>
      </w:r>
      <w:r>
        <w:rPr>
          <w:lang w:val="fr-FR"/>
        </w:rPr>
        <w:t>’</w:t>
      </w:r>
      <w:r w:rsidRPr="007E00FA">
        <w:rPr>
          <w:lang w:val="fr-FR"/>
        </w:rPr>
        <w:t>administration de l</w:t>
      </w:r>
      <w:r>
        <w:rPr>
          <w:lang w:val="fr-FR"/>
        </w:rPr>
        <w:t>’</w:t>
      </w:r>
      <w:r w:rsidRPr="007E00FA">
        <w:rPr>
          <w:lang w:val="fr-FR"/>
        </w:rPr>
        <w:t>Accord de 1958 (AC.1) pour examen à leurs sessions de novembre 2019.</w:t>
      </w:r>
      <w:r>
        <w:rPr>
          <w:lang w:val="fr-FR"/>
        </w:rPr>
        <w:t xml:space="preserve"> </w:t>
      </w:r>
    </w:p>
    <w:p w14:paraId="7188F5D0" w14:textId="77777777" w:rsidR="00D802B2" w:rsidRDefault="00D802B2" w:rsidP="0024514B">
      <w:pPr>
        <w:pStyle w:val="HChG"/>
      </w:pPr>
      <w:r>
        <w:br w:type="page"/>
      </w:r>
      <w:r w:rsidR="0024514B">
        <w:lastRenderedPageBreak/>
        <w:tab/>
      </w:r>
      <w:r w:rsidR="0024514B">
        <w:tab/>
      </w:r>
      <w:r>
        <w:rPr>
          <w:lang w:val="fr-FR"/>
        </w:rPr>
        <w:t xml:space="preserve">Complément 9 au Règlement ONU </w:t>
      </w:r>
      <w:r w:rsidR="0024514B" w:rsidRPr="0024514B">
        <w:rPr>
          <w:rFonts w:eastAsia="MS Mincho"/>
          <w:szCs w:val="22"/>
          <w:lang w:val="fr-FR"/>
        </w:rPr>
        <w:t>n</w:t>
      </w:r>
      <w:r w:rsidR="0024514B" w:rsidRPr="0024514B">
        <w:rPr>
          <w:rFonts w:eastAsia="MS Mincho"/>
          <w:szCs w:val="22"/>
          <w:vertAlign w:val="superscript"/>
          <w:lang w:val="fr-FR"/>
        </w:rPr>
        <w:t>o</w:t>
      </w:r>
      <w:r w:rsidR="0024514B">
        <w:rPr>
          <w:lang w:val="fr-FR"/>
        </w:rPr>
        <w:t> </w:t>
      </w:r>
      <w:r>
        <w:rPr>
          <w:lang w:val="fr-FR"/>
        </w:rPr>
        <w:t xml:space="preserve">115 </w:t>
      </w:r>
      <w:r w:rsidR="0024514B">
        <w:rPr>
          <w:lang w:val="fr-FR"/>
        </w:rPr>
        <w:br/>
      </w:r>
      <w:r>
        <w:rPr>
          <w:lang w:val="fr-FR"/>
        </w:rPr>
        <w:t>(Systèmes de conversion au GPL et au GNC)</w:t>
      </w:r>
    </w:p>
    <w:p w14:paraId="2E4B2BDE" w14:textId="77777777" w:rsidR="00D802B2" w:rsidRPr="00923431" w:rsidRDefault="00D802B2" w:rsidP="0024514B">
      <w:pPr>
        <w:pStyle w:val="SingleTxtG"/>
        <w:rPr>
          <w:lang w:val="fr-FR"/>
        </w:rPr>
      </w:pPr>
      <w:r w:rsidRPr="0024514B">
        <w:rPr>
          <w:i/>
          <w:lang w:val="fr-FR"/>
        </w:rPr>
        <w:t>Ajouter le nouveau paragraphe 2.5.1.4</w:t>
      </w:r>
      <w:r>
        <w:rPr>
          <w:lang w:val="fr-FR"/>
        </w:rPr>
        <w:t>, libellé comme suit :</w:t>
      </w:r>
    </w:p>
    <w:p w14:paraId="14DEAE81" w14:textId="77777777" w:rsidR="00D802B2" w:rsidRPr="00923431" w:rsidRDefault="00D802B2" w:rsidP="0024514B">
      <w:pPr>
        <w:pStyle w:val="SingleTxtG"/>
        <w:ind w:left="2268" w:hanging="1134"/>
        <w:rPr>
          <w:lang w:val="fr-FR"/>
        </w:rPr>
      </w:pPr>
      <w:r w:rsidRPr="007E00FA">
        <w:rPr>
          <w:lang w:val="fr-FR"/>
        </w:rPr>
        <w:t>«</w:t>
      </w:r>
      <w:r w:rsidR="0024514B">
        <w:rPr>
          <w:lang w:val="fr-FR"/>
        </w:rPr>
        <w:t> </w:t>
      </w:r>
      <w:r w:rsidRPr="007E00FA">
        <w:rPr>
          <w:lang w:val="fr-FR"/>
        </w:rPr>
        <w:t>2.5.1.4</w:t>
      </w:r>
      <w:r w:rsidRPr="007E00FA">
        <w:rPr>
          <w:lang w:val="fr-FR"/>
        </w:rPr>
        <w:tab/>
        <w:t>En ce qui concerne la prescription énoncée au paragraphe 2.5.1.1</w:t>
      </w:r>
      <w:r w:rsidR="0024514B">
        <w:rPr>
          <w:lang w:val="fr-FR"/>
        </w:rPr>
        <w:t> </w:t>
      </w:r>
      <w:r w:rsidRPr="007E00FA">
        <w:rPr>
          <w:lang w:val="fr-FR"/>
        </w:rPr>
        <w:t>e), l</w:t>
      </w:r>
      <w:r>
        <w:rPr>
          <w:lang w:val="fr-FR"/>
        </w:rPr>
        <w:t>’</w:t>
      </w:r>
      <w:r w:rsidRPr="007E00FA">
        <w:rPr>
          <w:lang w:val="fr-FR"/>
        </w:rPr>
        <w:t>appartenance à la même famille du véhicule équipé du système d</w:t>
      </w:r>
      <w:r>
        <w:rPr>
          <w:lang w:val="fr-FR"/>
        </w:rPr>
        <w:t>’</w:t>
      </w:r>
      <w:r w:rsidRPr="007E00FA">
        <w:rPr>
          <w:lang w:val="fr-FR"/>
        </w:rPr>
        <w:t>adaptation, applicable uniquement aux fins du présent Règlement, est jugée valable pour les véhicules à essence à injection directe et à injection indirecte sous réserve que toutes les condi</w:t>
      </w:r>
      <w:r>
        <w:rPr>
          <w:lang w:val="fr-FR"/>
        </w:rPr>
        <w:t>tions suivantes soient remplies </w:t>
      </w:r>
      <w:r w:rsidRPr="007E00FA">
        <w:rPr>
          <w:lang w:val="fr-FR"/>
        </w:rPr>
        <w:t>:</w:t>
      </w:r>
    </w:p>
    <w:p w14:paraId="3DD94FF3" w14:textId="77777777" w:rsidR="00D802B2" w:rsidRPr="007E00FA" w:rsidRDefault="00D802B2" w:rsidP="0024514B">
      <w:pPr>
        <w:pStyle w:val="Bullet1G"/>
        <w:ind w:left="2438"/>
      </w:pPr>
      <w:r w:rsidRPr="007E00FA">
        <w:rPr>
          <w:lang w:val="fr-FR"/>
        </w:rPr>
        <w:t>Le système d</w:t>
      </w:r>
      <w:r>
        <w:rPr>
          <w:lang w:val="fr-FR"/>
        </w:rPr>
        <w:t>’</w:t>
      </w:r>
      <w:r w:rsidRPr="007E00FA">
        <w:rPr>
          <w:lang w:val="fr-FR"/>
        </w:rPr>
        <w:t>adaptation est un système d</w:t>
      </w:r>
      <w:r>
        <w:rPr>
          <w:lang w:val="fr-FR"/>
        </w:rPr>
        <w:t>’</w:t>
      </w:r>
      <w:r w:rsidRPr="007E00FA">
        <w:rPr>
          <w:lang w:val="fr-FR"/>
        </w:rPr>
        <w:t>adaptation de la gestion selon la définition donnée au paragraphe 2.1.5 ;</w:t>
      </w:r>
    </w:p>
    <w:p w14:paraId="54DCE2E3" w14:textId="77777777" w:rsidR="00D802B2" w:rsidRPr="007E00FA" w:rsidRDefault="00D802B2" w:rsidP="0024514B">
      <w:pPr>
        <w:pStyle w:val="Bullet1G"/>
        <w:ind w:left="2438"/>
      </w:pPr>
      <w:r w:rsidRPr="007E00FA">
        <w:rPr>
          <w:lang w:val="fr-FR"/>
        </w:rPr>
        <w:t>Le système d</w:t>
      </w:r>
      <w:r>
        <w:rPr>
          <w:lang w:val="fr-FR"/>
        </w:rPr>
        <w:t>’</w:t>
      </w:r>
      <w:r w:rsidRPr="007E00FA">
        <w:rPr>
          <w:lang w:val="fr-FR"/>
        </w:rPr>
        <w:t>adaptation fonctionne en mode d</w:t>
      </w:r>
      <w:r>
        <w:rPr>
          <w:lang w:val="fr-FR"/>
        </w:rPr>
        <w:t>’</w:t>
      </w:r>
      <w:r w:rsidRPr="007E00FA">
        <w:rPr>
          <w:lang w:val="fr-FR"/>
        </w:rPr>
        <w:t>injection indirecte sur les véhicules à essence à injection directe ;</w:t>
      </w:r>
    </w:p>
    <w:p w14:paraId="38F8EE7D" w14:textId="77777777" w:rsidR="00D802B2" w:rsidRPr="007E00FA" w:rsidRDefault="00D802B2" w:rsidP="0024514B">
      <w:pPr>
        <w:pStyle w:val="Bullet1G"/>
        <w:ind w:left="2438"/>
      </w:pPr>
      <w:r w:rsidRPr="007E00FA">
        <w:rPr>
          <w:lang w:val="fr-FR"/>
        </w:rPr>
        <w:t>Au moins un véhicule à essence à injection directe a été soumis à des essais en tant que véhicule de base selon la définition donnée au paragraphe 2.5.</w:t>
      </w:r>
      <w:r w:rsidR="0024514B">
        <w:rPr>
          <w:lang w:val="fr-FR"/>
        </w:rPr>
        <w:t> </w:t>
      </w:r>
      <w:r>
        <w:rPr>
          <w:lang w:val="fr-FR"/>
        </w:rPr>
        <w:t>»</w:t>
      </w:r>
      <w:r w:rsidR="00C81BAB">
        <w:rPr>
          <w:lang w:val="fr-FR"/>
        </w:rPr>
        <w:t>.</w:t>
      </w:r>
    </w:p>
    <w:p w14:paraId="40E20AF3" w14:textId="77777777" w:rsidR="00D802B2" w:rsidRPr="007E00FA" w:rsidRDefault="00D802B2" w:rsidP="0024514B">
      <w:pPr>
        <w:pStyle w:val="SingleTxtG"/>
        <w:rPr>
          <w:iCs/>
        </w:rPr>
      </w:pPr>
      <w:r w:rsidRPr="007E00FA">
        <w:rPr>
          <w:i/>
          <w:iCs/>
          <w:lang w:val="fr-FR"/>
        </w:rPr>
        <w:t>L</w:t>
      </w:r>
      <w:r>
        <w:rPr>
          <w:i/>
          <w:iCs/>
          <w:lang w:val="fr-FR"/>
        </w:rPr>
        <w:t>’</w:t>
      </w:r>
      <w:r w:rsidRPr="007E00FA">
        <w:rPr>
          <w:i/>
          <w:iCs/>
          <w:lang w:val="fr-FR"/>
        </w:rPr>
        <w:t>ancien paragraphe 2.5.1.4 devient le paragraphe 2.5.1.5.</w:t>
      </w:r>
    </w:p>
    <w:p w14:paraId="3ACAE871" w14:textId="77777777" w:rsidR="00D802B2" w:rsidRPr="007E00FA" w:rsidRDefault="00D802B2" w:rsidP="0024514B">
      <w:pPr>
        <w:pStyle w:val="SingleTxtG"/>
        <w:rPr>
          <w:i/>
        </w:rPr>
      </w:pPr>
      <w:r w:rsidRPr="007E00FA">
        <w:rPr>
          <w:i/>
          <w:iCs/>
          <w:lang w:val="fr-FR"/>
        </w:rPr>
        <w:t xml:space="preserve">Paragraphe 2.5.1.5, </w:t>
      </w:r>
      <w:r w:rsidRPr="007E00FA">
        <w:rPr>
          <w:lang w:val="fr-FR"/>
        </w:rPr>
        <w:t>lire</w:t>
      </w:r>
      <w:r>
        <w:rPr>
          <w:lang w:val="fr-FR"/>
        </w:rPr>
        <w:t> </w:t>
      </w:r>
      <w:r w:rsidRPr="007E00FA">
        <w:rPr>
          <w:lang w:val="fr-FR"/>
        </w:rPr>
        <w:t>:</w:t>
      </w:r>
    </w:p>
    <w:p w14:paraId="1543FA90" w14:textId="77777777" w:rsidR="00F9573C" w:rsidRDefault="0024514B" w:rsidP="0024514B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D802B2" w:rsidRPr="007E00FA">
        <w:rPr>
          <w:lang w:val="fr-FR"/>
        </w:rPr>
        <w:t>2.5.1.5</w:t>
      </w:r>
      <w:r w:rsidR="00D802B2" w:rsidRPr="007E00FA">
        <w:rPr>
          <w:lang w:val="fr-FR"/>
        </w:rPr>
        <w:tab/>
      </w:r>
      <w:r w:rsidR="00D802B2">
        <w:rPr>
          <w:lang w:val="fr-FR"/>
        </w:rPr>
        <w:t>En ce qui concerne la prescription énoncée au paragraphe 2.5.1.1 f), dans le cas d’un système d’adaptation de la gestion, tel qu’il est défini au paragraphe 2.1.5, l’appartenance à la même famille du véhicule équipé du système d’adaptation, applicable uniquement aux fins du présent Règlement, est considérée comme reconnue qu’il y ait ou non injection d’air ou recyclage des gaz d’échappement.</w:t>
      </w:r>
      <w:r>
        <w:rPr>
          <w:lang w:val="fr-FR"/>
        </w:rPr>
        <w:t> ».</w:t>
      </w:r>
    </w:p>
    <w:p w14:paraId="6BF03309" w14:textId="77777777" w:rsidR="00D802B2" w:rsidRPr="00D802B2" w:rsidRDefault="00D802B2" w:rsidP="00D802B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02B2" w:rsidRPr="00D802B2" w:rsidSect="00D802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D5A7B" w14:textId="77777777" w:rsidR="001371D7" w:rsidRDefault="001371D7" w:rsidP="00F95C08">
      <w:pPr>
        <w:spacing w:line="240" w:lineRule="auto"/>
      </w:pPr>
    </w:p>
  </w:endnote>
  <w:endnote w:type="continuationSeparator" w:id="0">
    <w:p w14:paraId="3617D552" w14:textId="77777777" w:rsidR="001371D7" w:rsidRPr="00AC3823" w:rsidRDefault="001371D7" w:rsidP="00AC3823">
      <w:pPr>
        <w:pStyle w:val="Footer"/>
      </w:pPr>
    </w:p>
  </w:endnote>
  <w:endnote w:type="continuationNotice" w:id="1">
    <w:p w14:paraId="2ABAA2CD" w14:textId="77777777" w:rsidR="001371D7" w:rsidRDefault="001371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B4D9D" w14:textId="77777777" w:rsidR="00D802B2" w:rsidRPr="00D802B2" w:rsidRDefault="00D802B2" w:rsidP="00D802B2">
    <w:pPr>
      <w:pStyle w:val="Footer"/>
      <w:tabs>
        <w:tab w:val="right" w:pos="9638"/>
      </w:tabs>
    </w:pPr>
    <w:r w:rsidRPr="00D802B2">
      <w:rPr>
        <w:b/>
        <w:sz w:val="18"/>
      </w:rPr>
      <w:fldChar w:fldCharType="begin"/>
    </w:r>
    <w:r w:rsidRPr="00D802B2">
      <w:rPr>
        <w:b/>
        <w:sz w:val="18"/>
      </w:rPr>
      <w:instrText xml:space="preserve"> PAGE  \* MERGEFORMAT </w:instrText>
    </w:r>
    <w:r w:rsidRPr="00D802B2">
      <w:rPr>
        <w:b/>
        <w:sz w:val="18"/>
      </w:rPr>
      <w:fldChar w:fldCharType="separate"/>
    </w:r>
    <w:r w:rsidRPr="00D802B2">
      <w:rPr>
        <w:b/>
        <w:noProof/>
        <w:sz w:val="18"/>
      </w:rPr>
      <w:t>2</w:t>
    </w:r>
    <w:r w:rsidRPr="00D802B2">
      <w:rPr>
        <w:b/>
        <w:sz w:val="18"/>
      </w:rPr>
      <w:fldChar w:fldCharType="end"/>
    </w:r>
    <w:r>
      <w:rPr>
        <w:b/>
        <w:sz w:val="18"/>
      </w:rPr>
      <w:tab/>
    </w:r>
    <w:r>
      <w:t>GE.19-14496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73A6" w14:textId="77777777" w:rsidR="00D802B2" w:rsidRPr="00D802B2" w:rsidRDefault="00D802B2" w:rsidP="00D802B2">
    <w:pPr>
      <w:pStyle w:val="Footer"/>
      <w:tabs>
        <w:tab w:val="right" w:pos="9638"/>
      </w:tabs>
      <w:rPr>
        <w:b/>
        <w:sz w:val="18"/>
      </w:rPr>
    </w:pPr>
    <w:r>
      <w:t>GE.19-14496</w:t>
    </w:r>
    <w:r>
      <w:tab/>
    </w:r>
    <w:r w:rsidRPr="00D802B2">
      <w:rPr>
        <w:b/>
        <w:sz w:val="18"/>
      </w:rPr>
      <w:fldChar w:fldCharType="begin"/>
    </w:r>
    <w:r w:rsidRPr="00D802B2">
      <w:rPr>
        <w:b/>
        <w:sz w:val="18"/>
      </w:rPr>
      <w:instrText xml:space="preserve"> PAGE  \* MERGEFORMAT </w:instrText>
    </w:r>
    <w:r w:rsidRPr="00D802B2">
      <w:rPr>
        <w:b/>
        <w:sz w:val="18"/>
      </w:rPr>
      <w:fldChar w:fldCharType="separate"/>
    </w:r>
    <w:r w:rsidRPr="00D802B2">
      <w:rPr>
        <w:b/>
        <w:noProof/>
        <w:sz w:val="18"/>
      </w:rPr>
      <w:t>3</w:t>
    </w:r>
    <w:r w:rsidRPr="00D802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AF55" w14:textId="77777777" w:rsidR="007F20FA" w:rsidRPr="00D802B2" w:rsidRDefault="00D802B2" w:rsidP="00D802B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2B444366" wp14:editId="74DA5B9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14496  (</w:t>
    </w:r>
    <w:proofErr w:type="gramEnd"/>
    <w:r>
      <w:rPr>
        <w:sz w:val="20"/>
      </w:rPr>
      <w:t>F)    250919    270919</w:t>
    </w:r>
    <w:r>
      <w:rPr>
        <w:sz w:val="20"/>
      </w:rPr>
      <w:br/>
    </w:r>
    <w:r w:rsidRPr="00D802B2">
      <w:rPr>
        <w:rFonts w:ascii="C39T30Lfz" w:hAnsi="C39T30Lfz"/>
        <w:sz w:val="56"/>
      </w:rPr>
      <w:t></w:t>
    </w:r>
    <w:r w:rsidRPr="00D802B2">
      <w:rPr>
        <w:rFonts w:ascii="C39T30Lfz" w:hAnsi="C39T30Lfz"/>
        <w:sz w:val="56"/>
      </w:rPr>
      <w:t></w:t>
    </w:r>
    <w:r w:rsidRPr="00D802B2">
      <w:rPr>
        <w:rFonts w:ascii="C39T30Lfz" w:hAnsi="C39T30Lfz"/>
        <w:sz w:val="56"/>
      </w:rPr>
      <w:t></w:t>
    </w:r>
    <w:r w:rsidRPr="00D802B2">
      <w:rPr>
        <w:rFonts w:ascii="C39T30Lfz" w:hAnsi="C39T30Lfz"/>
        <w:sz w:val="56"/>
      </w:rPr>
      <w:t></w:t>
    </w:r>
    <w:r w:rsidRPr="00D802B2">
      <w:rPr>
        <w:rFonts w:ascii="C39T30Lfz" w:hAnsi="C39T30Lfz"/>
        <w:sz w:val="56"/>
      </w:rPr>
      <w:t></w:t>
    </w:r>
    <w:r w:rsidRPr="00D802B2">
      <w:rPr>
        <w:rFonts w:ascii="C39T30Lfz" w:hAnsi="C39T30Lfz"/>
        <w:sz w:val="56"/>
      </w:rPr>
      <w:t></w:t>
    </w:r>
    <w:r w:rsidRPr="00D802B2">
      <w:rPr>
        <w:rFonts w:ascii="C39T30Lfz" w:hAnsi="C39T30Lfz"/>
        <w:sz w:val="56"/>
      </w:rPr>
      <w:t></w:t>
    </w:r>
    <w:r w:rsidRPr="00D802B2">
      <w:rPr>
        <w:rFonts w:ascii="C39T30Lfz" w:hAnsi="C39T30Lfz"/>
        <w:sz w:val="56"/>
      </w:rPr>
      <w:t></w:t>
    </w:r>
    <w:r w:rsidRPr="00D802B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7F9CC1C" wp14:editId="451836F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E6FBA" w14:textId="77777777" w:rsidR="001371D7" w:rsidRPr="00AC3823" w:rsidRDefault="001371D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69C899" w14:textId="77777777" w:rsidR="001371D7" w:rsidRPr="00AC3823" w:rsidRDefault="001371D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CCF165" w14:textId="77777777" w:rsidR="001371D7" w:rsidRPr="00AC3823" w:rsidRDefault="001371D7">
      <w:pPr>
        <w:spacing w:line="240" w:lineRule="auto"/>
        <w:rPr>
          <w:sz w:val="2"/>
          <w:szCs w:val="2"/>
        </w:rPr>
      </w:pPr>
    </w:p>
  </w:footnote>
  <w:footnote w:id="2">
    <w:p w14:paraId="4D02B2F9" w14:textId="77777777" w:rsidR="00D802B2" w:rsidRPr="00D802B2" w:rsidRDefault="00D802B2">
      <w:pPr>
        <w:pStyle w:val="FootnoteText"/>
      </w:pPr>
      <w:r>
        <w:rPr>
          <w:rStyle w:val="FootnoteReference"/>
        </w:rPr>
        <w:tab/>
      </w:r>
      <w:r w:rsidRPr="00D802B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>2019 (ECE/TRANS/274,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C005" w14:textId="0ECF33A5" w:rsidR="00D802B2" w:rsidRPr="00D802B2" w:rsidRDefault="00AC1822">
    <w:pPr>
      <w:pStyle w:val="Header"/>
    </w:pPr>
    <w:fldSimple w:instr=" TITLE  \* MERGEFORMAT ">
      <w:r w:rsidR="004423F2">
        <w:t>ECE/TRANS/WP.29/2019/113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C5A0" w14:textId="2DE8AB25" w:rsidR="00D802B2" w:rsidRPr="00D802B2" w:rsidRDefault="00AC1822" w:rsidP="00D802B2">
    <w:pPr>
      <w:pStyle w:val="Header"/>
      <w:jc w:val="right"/>
    </w:pPr>
    <w:fldSimple w:instr=" TITLE  \* MERGEFORMAT ">
      <w:r w:rsidR="004423F2">
        <w:t>ECE/TRANS/WP.29/2019/113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D7"/>
    <w:rsid w:val="00017F94"/>
    <w:rsid w:val="00023842"/>
    <w:rsid w:val="000334F9"/>
    <w:rsid w:val="00045FEB"/>
    <w:rsid w:val="0007796D"/>
    <w:rsid w:val="000B7790"/>
    <w:rsid w:val="00111F2F"/>
    <w:rsid w:val="001371D7"/>
    <w:rsid w:val="0014365E"/>
    <w:rsid w:val="00143C66"/>
    <w:rsid w:val="00176178"/>
    <w:rsid w:val="001F525A"/>
    <w:rsid w:val="00223272"/>
    <w:rsid w:val="0024514B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23F2"/>
    <w:rsid w:val="00446FE5"/>
    <w:rsid w:val="00452396"/>
    <w:rsid w:val="004837D8"/>
    <w:rsid w:val="004E2EED"/>
    <w:rsid w:val="004E468C"/>
    <w:rsid w:val="005505B7"/>
    <w:rsid w:val="00571ED9"/>
    <w:rsid w:val="00573BE5"/>
    <w:rsid w:val="00586ED3"/>
    <w:rsid w:val="00596AA9"/>
    <w:rsid w:val="00625995"/>
    <w:rsid w:val="0071601D"/>
    <w:rsid w:val="007A62E6"/>
    <w:rsid w:val="007F20FA"/>
    <w:rsid w:val="0080684C"/>
    <w:rsid w:val="00871C75"/>
    <w:rsid w:val="008776DC"/>
    <w:rsid w:val="00895A07"/>
    <w:rsid w:val="009446C0"/>
    <w:rsid w:val="009705C8"/>
    <w:rsid w:val="00987F06"/>
    <w:rsid w:val="009A578E"/>
    <w:rsid w:val="009C1CF4"/>
    <w:rsid w:val="009F6B74"/>
    <w:rsid w:val="00A3029F"/>
    <w:rsid w:val="00A30353"/>
    <w:rsid w:val="00A73FFD"/>
    <w:rsid w:val="00AC1822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81BAB"/>
    <w:rsid w:val="00C97039"/>
    <w:rsid w:val="00D3439C"/>
    <w:rsid w:val="00D705F1"/>
    <w:rsid w:val="00D802B2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FAC039"/>
  <w15:docId w15:val="{C30C7EEA-3C8C-4741-B572-56F2A130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ECE/TRANS/WP.29/2019/113</vt:lpstr>
      <vt:lpstr>ECE/TRANS/WP.29/2019/113</vt:lpstr>
    </vt:vector>
  </TitlesOfParts>
  <Company>DCM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ECE/TRANS/WP.29/2019/113</dc:title>
  <dc:subject/>
  <dc:creator>Valerie BERTIN</dc:creator>
  <cp:keywords/>
  <cp:lastModifiedBy>Marie-Claude Collet</cp:lastModifiedBy>
  <cp:revision>3</cp:revision>
  <cp:lastPrinted>2019-10-01T14:46:00Z</cp:lastPrinted>
  <dcterms:created xsi:type="dcterms:W3CDTF">2019-10-01T14:46:00Z</dcterms:created>
  <dcterms:modified xsi:type="dcterms:W3CDTF">2019-10-01T14:46:00Z</dcterms:modified>
</cp:coreProperties>
</file>