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2671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2DCEAA" w14:textId="77777777" w:rsidR="002D5AAC" w:rsidRDefault="002D5AAC" w:rsidP="00B434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5E28E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54C56B" w14:textId="77777777" w:rsidR="002D5AAC" w:rsidRDefault="00B43450" w:rsidP="00B43450">
            <w:pPr>
              <w:jc w:val="right"/>
            </w:pPr>
            <w:r w:rsidRPr="00B43450">
              <w:rPr>
                <w:sz w:val="40"/>
              </w:rPr>
              <w:t>ECE</w:t>
            </w:r>
            <w:r>
              <w:t>/TRANS/WP.29/2019/34</w:t>
            </w:r>
          </w:p>
        </w:tc>
      </w:tr>
      <w:tr w:rsidR="002D5AAC" w:rsidRPr="00625247" w14:paraId="6240B9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EFD02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0C10AA" wp14:editId="48E828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1128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49E480" w14:textId="77777777" w:rsidR="002D5AAC" w:rsidRDefault="00B434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CFCDCD" w14:textId="77777777" w:rsidR="00B43450" w:rsidRDefault="00B43450" w:rsidP="00B434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April 2019</w:t>
            </w:r>
          </w:p>
          <w:p w14:paraId="1317205F" w14:textId="77777777" w:rsidR="00B43450" w:rsidRDefault="00B43450" w:rsidP="00B434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418964" w14:textId="77777777" w:rsidR="00B43450" w:rsidRPr="008D53B6" w:rsidRDefault="00B43450" w:rsidP="00B434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2AFD4A" w14:textId="77777777" w:rsidR="00B4345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443E170" w14:textId="77777777" w:rsidR="00B43450" w:rsidRPr="00B43450" w:rsidRDefault="00B43450" w:rsidP="00B43450">
      <w:pPr>
        <w:spacing w:before="120"/>
        <w:rPr>
          <w:sz w:val="28"/>
          <w:szCs w:val="28"/>
        </w:rPr>
      </w:pPr>
      <w:r w:rsidRPr="00B43450">
        <w:rPr>
          <w:sz w:val="28"/>
          <w:szCs w:val="28"/>
        </w:rPr>
        <w:t>Комитет по внутреннему транспорту</w:t>
      </w:r>
    </w:p>
    <w:p w14:paraId="4B2C728F" w14:textId="77777777" w:rsidR="00B43450" w:rsidRPr="00B43450" w:rsidRDefault="00B43450" w:rsidP="00B43450">
      <w:pPr>
        <w:spacing w:before="120"/>
        <w:rPr>
          <w:b/>
          <w:sz w:val="24"/>
          <w:szCs w:val="24"/>
        </w:rPr>
      </w:pPr>
      <w:r w:rsidRPr="00B4345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43450">
        <w:rPr>
          <w:b/>
          <w:bCs/>
          <w:sz w:val="24"/>
          <w:szCs w:val="24"/>
        </w:rPr>
        <w:br/>
        <w:t>в области транспортных средств</w:t>
      </w:r>
    </w:p>
    <w:p w14:paraId="0333AEDF" w14:textId="77777777" w:rsidR="00B43450" w:rsidRPr="004D6F96" w:rsidRDefault="00B43450" w:rsidP="00B4345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70C84919" w14:textId="77777777" w:rsidR="00B43450" w:rsidRPr="004D6F96" w:rsidRDefault="00B43450" w:rsidP="00B43450">
      <w:r>
        <w:t>Женева, 25–28 июня 2019 года</w:t>
      </w:r>
    </w:p>
    <w:p w14:paraId="4EA924BE" w14:textId="77777777" w:rsidR="00B43450" w:rsidRPr="004D6F96" w:rsidRDefault="00B43450" w:rsidP="00B43450">
      <w:r>
        <w:t>Пункт 2.3 предварительной повестки дня</w:t>
      </w:r>
    </w:p>
    <w:p w14:paraId="49F363B7" w14:textId="77777777" w:rsidR="00B43450" w:rsidRPr="004D6F96" w:rsidRDefault="00B43450" w:rsidP="00B43450">
      <w:pPr>
        <w:rPr>
          <w:b/>
        </w:rPr>
      </w:pPr>
      <w:r>
        <w:rPr>
          <w:b/>
          <w:bCs/>
        </w:rPr>
        <w:t xml:space="preserve">Интеллектуальные транспортные системы </w:t>
      </w:r>
      <w:r>
        <w:rPr>
          <w:b/>
          <w:bCs/>
        </w:rPr>
        <w:br/>
        <w:t xml:space="preserve">и координация деятельности, связанной </w:t>
      </w:r>
      <w:r>
        <w:rPr>
          <w:b/>
          <w:bCs/>
        </w:rPr>
        <w:br/>
        <w:t>с автоматизированными транспортными средствами</w:t>
      </w:r>
    </w:p>
    <w:p w14:paraId="19454364" w14:textId="77777777" w:rsidR="00B43450" w:rsidRPr="004D6F96" w:rsidRDefault="00B43450" w:rsidP="00B43450">
      <w:pPr>
        <w:pStyle w:val="HChG"/>
      </w:pPr>
      <w:r>
        <w:rPr>
          <w:bCs/>
        </w:rPr>
        <w:tab/>
      </w:r>
      <w:r>
        <w:rPr>
          <w:bCs/>
        </w:rPr>
        <w:tab/>
        <w:t>Рамочный документ по автоматизированным/</w:t>
      </w:r>
      <w:r>
        <w:rPr>
          <w:bCs/>
        </w:rPr>
        <w:br/>
        <w:t>автономным транспортным средствам</w:t>
      </w:r>
    </w:p>
    <w:p w14:paraId="113719FD" w14:textId="77777777" w:rsidR="00B43450" w:rsidRPr="004D6F96" w:rsidRDefault="00B43450" w:rsidP="00B43450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B4345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09ECBD67" w14:textId="77777777" w:rsidR="00B43450" w:rsidRPr="004D6F96" w:rsidRDefault="00B43450" w:rsidP="00B43450">
      <w:pPr>
        <w:pStyle w:val="SingleTxtG"/>
        <w:ind w:firstLine="567"/>
      </w:pPr>
      <w:r>
        <w:t>Воспроизводимый ниже текст подготовлен секретариатом на основе неофициального документа WP.29-177-19, разработанного секретарем GRVA по итогам нескольких консультаций с членами АС.2, состоявшихся в ходе сессии WP.29 в марте 2019 года, и в тесном сотрудничестве с представителями Соединенного Королевства и Японии. Он представляется Всемирному форуму для согласования правил в области транспортных средств (WP.29) для рассмотрения и возможного одобрения на его 178-й сессии в июне 2019 года, а также передается Рабочей группе по автоматизированным/автономным транспортным средствам (GRVA) и Исполнительному комитету AC.3 для информации.</w:t>
      </w:r>
    </w:p>
    <w:p w14:paraId="5A2ADEA0" w14:textId="77777777" w:rsidR="00B43450" w:rsidRPr="004D6F96" w:rsidRDefault="00B43450" w:rsidP="00B43450">
      <w:pPr>
        <w:pStyle w:val="Heading1"/>
      </w:pPr>
      <w:r w:rsidRPr="004D6F96">
        <w:br w:type="page"/>
      </w:r>
    </w:p>
    <w:p w14:paraId="39AB8188" w14:textId="77777777" w:rsidR="00B43450" w:rsidRPr="004D6F96" w:rsidRDefault="00B43450" w:rsidP="00B43450">
      <w:pPr>
        <w:pStyle w:val="HChG"/>
        <w:rPr>
          <w:rStyle w:val="Strong"/>
          <w:b/>
          <w:bCs w:val="0"/>
        </w:rPr>
      </w:pPr>
      <w:r>
        <w:lastRenderedPageBreak/>
        <w:tab/>
      </w:r>
      <w:r>
        <w:tab/>
      </w:r>
      <w:r>
        <w:rPr>
          <w:bCs/>
        </w:rPr>
        <w:t>Рамочный документ по автоматизированным/</w:t>
      </w:r>
      <w:r>
        <w:rPr>
          <w:bCs/>
        </w:rPr>
        <w:br/>
        <w:t>автономным транспортным средствам</w:t>
      </w:r>
    </w:p>
    <w:p w14:paraId="03951D58" w14:textId="77777777" w:rsidR="00B43450" w:rsidRPr="004D6F96" w:rsidRDefault="00B43450" w:rsidP="00B43450">
      <w:pPr>
        <w:pStyle w:val="H1G"/>
        <w:rPr>
          <w:rStyle w:val="Strong"/>
          <w:b/>
          <w:bCs w:val="0"/>
        </w:rPr>
      </w:pPr>
      <w:r>
        <w:tab/>
        <w:t>1.</w:t>
      </w:r>
      <w:r>
        <w:tab/>
      </w:r>
      <w:r>
        <w:rPr>
          <w:bCs/>
        </w:rPr>
        <w:t>Цель</w:t>
      </w:r>
    </w:p>
    <w:p w14:paraId="0A9371C5" w14:textId="77777777" w:rsidR="00B43450" w:rsidRPr="004D6F96" w:rsidRDefault="00B43450" w:rsidP="00B43450">
      <w:pPr>
        <w:pStyle w:val="SingleTxtG"/>
      </w:pPr>
      <w:r>
        <w:t>1.1</w:t>
      </w:r>
      <w:r>
        <w:tab/>
        <w:t>Главная цель настоящего рамочного документа заключается в том, чтобы предоставить WP.29 и его вспомогательным рабочим группам руководящие указания на основе принципов, позволяющих облегчить и сориентировать обсуждения и деятельность в области характеристик автоматизированных/автономных транспортных средств. В документе определены приоритетные направления работы WP.29 и указаны ожидаемые результаты, сроки и порядок работы для осуществления деятельности по этим направлениям.</w:t>
      </w:r>
    </w:p>
    <w:p w14:paraId="558039E7" w14:textId="77777777" w:rsidR="00B43450" w:rsidRPr="004D6F96" w:rsidRDefault="00B43450" w:rsidP="00B43450">
      <w:pPr>
        <w:pStyle w:val="H1G"/>
        <w:rPr>
          <w:rStyle w:val="Strong"/>
          <w:b/>
          <w:bCs w:val="0"/>
        </w:rPr>
      </w:pPr>
      <w:r>
        <w:tab/>
        <w:t>2.</w:t>
      </w:r>
      <w:r>
        <w:tab/>
      </w:r>
      <w:r>
        <w:rPr>
          <w:bCs/>
        </w:rPr>
        <w:t>Принципы работы</w:t>
      </w:r>
    </w:p>
    <w:p w14:paraId="333A3A9F" w14:textId="77777777" w:rsidR="00B43450" w:rsidRPr="004D6F96" w:rsidRDefault="00B43450" w:rsidP="00B43450">
      <w:pPr>
        <w:pStyle w:val="SingleTxtG"/>
      </w:pPr>
      <w:r>
        <w:t>2.1</w:t>
      </w:r>
      <w:r>
        <w:tab/>
        <w:t>Согласование технических положений и/или руководящих указаний и резолюций для автоматизированных/автономных транспортных средств должно осуществляться в контексте Соглашения 1958 года и Соглашения 1998 года.</w:t>
      </w:r>
    </w:p>
    <w:p w14:paraId="5BE7A839" w14:textId="77777777" w:rsidR="00B43450" w:rsidRPr="004D6F96" w:rsidRDefault="00B43450" w:rsidP="00B43450">
      <w:pPr>
        <w:pStyle w:val="SingleTxtG"/>
      </w:pPr>
      <w:r>
        <w:t>2.2</w:t>
      </w:r>
      <w:r>
        <w:tab/>
        <w:t xml:space="preserve">Технические положения [и руководящие резолюции] для автоматизированных транспортных средств должны базироваться на характеристиках, быть нейтральными в технологическом плане и учитывать современный технологический уровень, не сдерживая и не ограничивая при этом будущие инновации. </w:t>
      </w:r>
    </w:p>
    <w:p w14:paraId="612D70F7" w14:textId="77777777" w:rsidR="00B43450" w:rsidRPr="004D6F96" w:rsidRDefault="00B43450" w:rsidP="00B43450">
      <w:pPr>
        <w:pStyle w:val="SingleTxtG"/>
      </w:pPr>
      <w:r>
        <w:t>2.3</w:t>
      </w:r>
      <w:r>
        <w:tab/>
        <w:t>В них должны быть приняты во внимание существующие стандарты/</w:t>
      </w:r>
      <w:r w:rsidR="000A563D">
        <w:br/>
      </w:r>
      <w:r>
        <w:t>руководящие принципы договаривающихся сторон и органов по стандартизац</w:t>
      </w:r>
      <w:r w:rsidR="00625247">
        <w:t>ии, а </w:t>
      </w:r>
      <w:r>
        <w:t xml:space="preserve">также предыдущие рабочие и справочные документы, согласованные в ЕЭК ООН. </w:t>
      </w:r>
    </w:p>
    <w:p w14:paraId="2753A0E7" w14:textId="77777777" w:rsidR="00B43450" w:rsidRPr="004D6F96" w:rsidRDefault="00B43450" w:rsidP="00B43450">
      <w:pPr>
        <w:pStyle w:val="SingleTxtG"/>
      </w:pPr>
      <w:r>
        <w:t>2.4</w:t>
      </w:r>
      <w:r>
        <w:tab/>
        <w:t xml:space="preserve">Осуществление технических положений в рамках установленных приоритетных направлений работы на уровне GRVA (или других рабочих групп) должно быть направлено на разработку подробных технических требований, которые могут быть сформулированы в виде нормативных или ненормативных документов (например, руководств, рекомендаций, правил ООН, глобальных технических правил ООН), согласованных и принятых договаривающимися сторонами. </w:t>
      </w:r>
    </w:p>
    <w:p w14:paraId="4E508A58" w14:textId="77777777" w:rsidR="00B43450" w:rsidRPr="004D6F96" w:rsidRDefault="00B43450" w:rsidP="00B43450">
      <w:pPr>
        <w:pStyle w:val="SingleTxtG"/>
      </w:pPr>
      <w:r>
        <w:t>2.5</w:t>
      </w:r>
      <w:r>
        <w:tab/>
        <w:t>Настоящий документ должен быть утвержден WP.29 и находиться в его ведении, поскольку ожидается, что подготовка конкретных рабочих элементов будет осуществляться несколькими рабочими группами в условиях широкомасштабной сквозной координации их усилий.</w:t>
      </w:r>
    </w:p>
    <w:p w14:paraId="02D8364D" w14:textId="77777777" w:rsidR="00B43450" w:rsidRPr="004D6F96" w:rsidRDefault="00B43450" w:rsidP="00B43450">
      <w:pPr>
        <w:pStyle w:val="H1G"/>
        <w:rPr>
          <w:rStyle w:val="Strong"/>
          <w:b/>
          <w:bCs w:val="0"/>
        </w:rPr>
      </w:pPr>
      <w:r>
        <w:tab/>
        <w:t>3.</w:t>
      </w:r>
      <w:r>
        <w:tab/>
      </w:r>
      <w:r>
        <w:rPr>
          <w:bCs/>
        </w:rPr>
        <w:t>Принципы для автоматизированных/автономных транспортных средств</w:t>
      </w:r>
    </w:p>
    <w:p w14:paraId="3BA7E3C4" w14:textId="77777777" w:rsidR="00B43450" w:rsidRPr="004D6F96" w:rsidRDefault="00B43450" w:rsidP="00B43450">
      <w:pPr>
        <w:pStyle w:val="SingleTxtG"/>
      </w:pPr>
      <w:r>
        <w:t>3.1</w:t>
      </w:r>
      <w:r>
        <w:tab/>
        <w:t>Приведенный ниже перечень тем призван служить ориентиром для обсуждений и деятельности в рамках WP.29 и каждой из его соответствующих вспомогательных рабочих групп в области автоматизированных/автономных транспортных средств. Его</w:t>
      </w:r>
      <w:r>
        <w:rPr>
          <w:lang w:val="en-US"/>
        </w:rPr>
        <w:t> </w:t>
      </w:r>
      <w:r>
        <w:t>цель заключается в том, чтобы отразить совместные интересы и вопросы, вызывающие обеспокоенность регулирующих органов, задать общие параметры нашей работы и содействовать выработке единых определений и руководящих указаний для WP.29 и заинтересованных сторон.</w:t>
      </w:r>
    </w:p>
    <w:p w14:paraId="32D9AE19" w14:textId="77777777" w:rsidR="00B43450" w:rsidRPr="004D6F96" w:rsidRDefault="00B43450" w:rsidP="00B43450">
      <w:pPr>
        <w:pStyle w:val="SingleTxtG"/>
      </w:pPr>
      <w:r>
        <w:t>3.2</w:t>
      </w:r>
      <w:r>
        <w:tab/>
        <w:t xml:space="preserve">Отмечается, что для полной реализации потенциала автоматизированных транспортных средств в целях повышения эффективности автомобильных перевозок их необходимо выводить на рынок таким образом, чтобы убедить участников дорожного движения в их безопасности. Если автоматизированные транспортные средства будут вводить участников движения в заблуждение, препятствовать дорожному движению или как-то иначе функционировать ненадлежащим образом, то результат окажется неудовлетворительным. Цель настоящего документа состоит в том, чтобы не допустить этого благодаря созданию основы, способствующей </w:t>
      </w:r>
      <w:r>
        <w:lastRenderedPageBreak/>
        <w:t>обеспечению безопасности и надежности автотранспортных средств, и содействовать сотрудничеству и коммуникации между всеми сторонами, участвующими в их разработке и надзоре за ними.</w:t>
      </w:r>
    </w:p>
    <w:p w14:paraId="63F8C208" w14:textId="77777777" w:rsidR="00B43450" w:rsidRPr="00414821" w:rsidRDefault="00B43450" w:rsidP="00B43450">
      <w:pPr>
        <w:pStyle w:val="H1G"/>
        <w:rPr>
          <w:rStyle w:val="Strong"/>
        </w:rPr>
      </w:pPr>
      <w:r>
        <w:tab/>
        <w:t>4.</w:t>
      </w:r>
      <w:r>
        <w:tab/>
      </w:r>
      <w:r>
        <w:rPr>
          <w:bCs/>
        </w:rPr>
        <w:t>Концепция безопасности</w:t>
      </w:r>
    </w:p>
    <w:p w14:paraId="59389BA6" w14:textId="77777777" w:rsidR="00B43450" w:rsidRPr="004D6F96" w:rsidRDefault="00B43450" w:rsidP="00B43450">
      <w:pPr>
        <w:pStyle w:val="SingleTxtG"/>
      </w:pPr>
      <w:r>
        <w:t>4.1</w:t>
      </w:r>
      <w:r>
        <w:tab/>
        <w:t>Уровень безопасности, который должны обеспечивать автоматизированные транспортные средства, определяется в соответствии с принципом «эксплуатация автоматизированного транспортного средства не должна приводить к возникновению какой-либо недопустимой опасности». Это означает, что использование автоматизированных транспортных систем в рамках домена их штатной эксплуатации (ДШЭ) не должно влечь за собой обоснованно предсказуемые и предотвратимые дорожно-транспортные происшествия с травмами или смертельным исходом. На</w:t>
      </w:r>
      <w:r w:rsidR="000A563D">
        <w:rPr>
          <w:lang w:val="en-US"/>
        </w:rPr>
        <w:t> </w:t>
      </w:r>
      <w:r>
        <w:t>основе этого принципа в настоящем рамочном документе изложен круг тем, которые необходимо принимать во внимание в целях обеспечения безопасности транспортных средств.</w:t>
      </w:r>
    </w:p>
    <w:p w14:paraId="6BB81AF9" w14:textId="77777777" w:rsidR="00B43450" w:rsidRPr="004D6F96" w:rsidRDefault="00B43450" w:rsidP="00B43450">
      <w:pPr>
        <w:pStyle w:val="H1G"/>
        <w:rPr>
          <w:rStyle w:val="Strong"/>
          <w:b/>
          <w:bCs w:val="0"/>
        </w:rPr>
      </w:pPr>
      <w:r>
        <w:tab/>
        <w:t>5.</w:t>
      </w:r>
      <w:r>
        <w:tab/>
      </w:r>
      <w:r>
        <w:rPr>
          <w:bCs/>
        </w:rPr>
        <w:t>Ключевые аспекты безопасности, которые надлежит рассмотреть органам WP.29</w:t>
      </w:r>
    </w:p>
    <w:p w14:paraId="10EFC356" w14:textId="77777777" w:rsidR="00B43450" w:rsidRPr="004D6F96" w:rsidRDefault="00B43450" w:rsidP="00B43450">
      <w:pPr>
        <w:pStyle w:val="SingleTxtG"/>
      </w:pPr>
      <w:r>
        <w:t>5.1</w:t>
      </w:r>
      <w:r>
        <w:tab/>
        <w:t xml:space="preserve">В основу настоящего раздела легли обсуждения и деятельность в области автоматизированных/автономных транспортных средств, которые проводятся в рамках законодательных систем договаривающихся сторон и используются в качестве ориентира для WP.29 и каждой из его соответствующих вспомогательных рабочих групп по аспектам безопасности, касающимся автоматизированных/автономных транспортных средств. Руководящие указания будут пересматриваться и обновляться соответствующими рабочими группами (см. приложение) с учетом технического прогресса и развития промышленности. </w:t>
      </w:r>
    </w:p>
    <w:p w14:paraId="59257DE7" w14:textId="77777777" w:rsidR="00B43450" w:rsidRPr="004D6F96" w:rsidRDefault="00B43450" w:rsidP="00B43450">
      <w:pPr>
        <w:pStyle w:val="SingleTxtG"/>
      </w:pPr>
      <w:r>
        <w:t>5.2</w:t>
      </w:r>
      <w:r>
        <w:tab/>
        <w:t xml:space="preserve">Ниже приведен перечень общих принципов с их кратким описанием и пояснениями. Ожидается, что он послужит основой для дальнейшей деятельности рабочих групп. </w:t>
      </w:r>
    </w:p>
    <w:p w14:paraId="0E5BE196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 xml:space="preserve">Безопасность системы: в автоматизированном режиме (ДШЭ) автоматизированное транспортное средство не должно подвергать безопасность водителя и других участников дорожного движения необоснованным рискам и должно обеспечивать соблюдение правил дорожного движения. </w:t>
      </w:r>
    </w:p>
    <w:p w14:paraId="75E9E2B9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 xml:space="preserve">Отказоустойчивое реагирование: автоматизированные транспортные средства должны быть в состоянии зафиксировать возникновение той или иной проблемы или момент прекращения действия условий ДШЭ. В этом случае транспортное средство должно автоматически переходить (путем маневрирования с минимальным риском) в режим минимального риска с запросом на передачу управления или без него. </w:t>
      </w:r>
    </w:p>
    <w:p w14:paraId="28ABCBFE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Человеко-машинный интерфейс (ЧМИ)/информация об операторе: в тех случаях, когда может потребоваться участие водителя в управлении транспортным средством (например, в случае запроса на передачу управления), автоматизированное транспортное средство должно осуществлять мониторинг вовлеченности водителя, с тем чтобы оценить его внимание и готовность полностью взять на себя управление транспортным средством. Кроме того, автоматизированное транспортное средство должно обеспечивать возможность взаимодействия с другими участниками дорожного движения (например, с помощью внешнего ЧМИ для определения рабочего состояния транспортного средства и т. д.).</w:t>
      </w:r>
    </w:p>
    <w:p w14:paraId="61BDA19E" w14:textId="77777777" w:rsidR="00B43450" w:rsidRPr="004D6F96" w:rsidRDefault="00B43450" w:rsidP="000A563D">
      <w:pPr>
        <w:pStyle w:val="SingleTxtG"/>
        <w:pageBreakBefore/>
        <w:numPr>
          <w:ilvl w:val="0"/>
          <w:numId w:val="23"/>
        </w:numPr>
        <w:ind w:left="1858" w:right="1138"/>
      </w:pPr>
      <w:r>
        <w:lastRenderedPageBreak/>
        <w:t xml:space="preserve">Обнаружение и реагирование на объекты и ситуации (ОРОС): автоматизированные транспортные средства должны быть в состоянии обнаруживать объекты/ситуации, появление которых в рамках ДШЭ вполне ожидаемо, и реагировать на них. </w:t>
      </w:r>
    </w:p>
    <w:p w14:paraId="42EE1C24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Домен штатной эксплуатации (ДШЭ) (в автоматизированном режиме): в целях оценки безопасности транспортных средств их изготовители должны четко указать ДШЭ, для которого эти транспортные средства предназначены, а также их функциональные возможности в пределах предписанных ДШЭ. В</w:t>
      </w:r>
      <w:r>
        <w:rPr>
          <w:lang w:val="en-US"/>
        </w:rPr>
        <w:t> </w:t>
      </w:r>
      <w:r>
        <w:t>описании ДШЭ должны быть перечислены конкретные условия, при которых автоматизированное транспортное средство предназначено для эксплуатации в автоматизированном режиме. Описание ДШЭ должно включать в себя по меньшей мере следующую информацию: типы проезжей части, географический район, диапазон скоростей, условия окружающей среды (погодные условия, а также дневное/ночное время суток) и другие ограничения домена.</w:t>
      </w:r>
    </w:p>
    <w:p w14:paraId="43BA6094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Проверка безопасности системы (подтверждение): изготовители транспортных средств должны продемонстрировать надежность процесса проектирования и проверки на основе системно-технологического подхода, целью которого является разработка систем автоматизированного вождения, не сопряженных с возникновением необоснованных рисков с точки зрения безопасности и обеспечивающих соблюдение правил дорожного движения и принципов, перечисленных в настоящем документе. Методы проектирования и проверки должны включать в себя анализ опасностей и оценку рисков безопасности для автоматизированной системы вождения (АСВ) и общей конструкции транспортного средства, в которую она интегрируется, а также при необходимости и для более широкой транспортной экосистемы. Методы проектирования и проверки должны продемонстрировать наличие поведенческих характеристик АСВ, которые от нее ожидаются в ходе обычной эксплуатации, ее эффективность для предотвращения аварийных ситуаций и в случае столкновения. Методы испытаний могут включать в себя сочетание моделирования, испытания на испытательном треке и в дорожных условиях.</w:t>
      </w:r>
    </w:p>
    <w:p w14:paraId="6017DCE3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Кибербезопасность: автоматизированное транспортное средство должно быть защищено от кибератак в соответствии с общепринятой передовой практикой в отношении киберфизичес</w:t>
      </w:r>
      <w:r w:rsidR="00960E97">
        <w:t>ких систем транспортных средств.</w:t>
      </w:r>
    </w:p>
    <w:p w14:paraId="0E81E97A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Обновление программного обеспечения: изготовители транспортных средств должны обеспечить безопасное обновление системы и проведение послепродажного ремонта и модификаций по мере необходимости</w:t>
      </w:r>
      <w:r w:rsidR="00960E97" w:rsidRPr="00960E97">
        <w:t>.</w:t>
      </w:r>
    </w:p>
    <w:p w14:paraId="28E6AE36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Регистратор данных об аварии: [описание: подлежит определению]</w:t>
      </w:r>
      <w:r w:rsidR="00960E97" w:rsidRPr="00960E97">
        <w:t>.</w:t>
      </w:r>
    </w:p>
    <w:p w14:paraId="34B60CA2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Система хранения данных для автоматизированных транспортных средств (СХДАВ): в автоматизированных транспортных средствах должна быть предусмотрена функция сбора и регистрации необходимых данных, касающихся состояния системы, возникновения неисправностей, ухудшения работы или сбоев, с тем чтобы можно было установить причину любой аварии.</w:t>
      </w:r>
    </w:p>
    <w:p w14:paraId="470F7379" w14:textId="77777777" w:rsidR="00B43450" w:rsidRPr="004D6F96" w:rsidRDefault="00B43450" w:rsidP="00B43450">
      <w:pPr>
        <w:pStyle w:val="H1G"/>
        <w:rPr>
          <w:b w:val="0"/>
          <w:bCs/>
        </w:rPr>
      </w:pPr>
      <w:r>
        <w:tab/>
        <w:t>6.</w:t>
      </w:r>
      <w:r>
        <w:tab/>
      </w:r>
      <w:r>
        <w:rPr>
          <w:bCs/>
        </w:rPr>
        <w:t>Дополнительные вопросы, не перечисленные в согласованных на</w:t>
      </w:r>
      <w:r>
        <w:rPr>
          <w:bCs/>
          <w:lang w:val="en-US"/>
        </w:rPr>
        <w:t> </w:t>
      </w:r>
      <w:r>
        <w:rPr>
          <w:bCs/>
        </w:rPr>
        <w:t>данный момент приоритетных направлениях работы WP.29</w:t>
      </w:r>
    </w:p>
    <w:p w14:paraId="36CDD3E1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Удаленное управление (например, беспилотные гондолы для городского транспорта)</w:t>
      </w:r>
      <w:r w:rsidR="00960E97" w:rsidRPr="00960E97">
        <w:t>.</w:t>
      </w:r>
    </w:p>
    <w:p w14:paraId="1146404C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 xml:space="preserve">Безопасность находящихся в эксплуатации транспортных средств: изготовители транспортных средств должны обеспечить безопасность находящихся в эксплуатации транспортных средств, осуществлять </w:t>
      </w:r>
      <w:r>
        <w:lastRenderedPageBreak/>
        <w:t>техническое обслуживание и контроль автоматизированных транспортных средств и т. д.</w:t>
      </w:r>
    </w:p>
    <w:p w14:paraId="4F1D6A1E" w14:textId="77777777" w:rsidR="00B43450" w:rsidRPr="004D6F96" w:rsidRDefault="00B43450" w:rsidP="00B43450">
      <w:pPr>
        <w:pStyle w:val="SingleTxtG"/>
        <w:numPr>
          <w:ilvl w:val="0"/>
          <w:numId w:val="23"/>
        </w:numPr>
      </w:pPr>
      <w:r>
        <w:t>Обучение и подготовка пользователей: изготовители транспортных средств должны заниматься разработкой, документальным обеспечением и поддержкой программ обучения и подготовки сотрудников, агентов, поставщиков и потребителей с целью преодоления проблем, обусловленных ожидаемыми различиями в использовании и эксплуатации автоматизированных транспортных средств по сравнению с обычными транспортными средствами.</w:t>
      </w:r>
    </w:p>
    <w:p w14:paraId="367CD7D1" w14:textId="77777777" w:rsidR="00B43450" w:rsidRDefault="00B43450" w:rsidP="00B50C17">
      <w:pPr>
        <w:pStyle w:val="SingleTxtG"/>
        <w:pageBreakBefore/>
        <w:ind w:left="1138" w:right="1138"/>
        <w:jc w:val="left"/>
        <w:rPr>
          <w:b/>
          <w:bCs/>
        </w:rPr>
      </w:pPr>
      <w:r w:rsidRPr="00625247">
        <w:rPr>
          <w:bCs/>
        </w:rPr>
        <w:lastRenderedPageBreak/>
        <w:t xml:space="preserve">Таблица 1 </w:t>
      </w:r>
      <w:r w:rsidRPr="00625247">
        <w:rPr>
          <w:bCs/>
        </w:rPr>
        <w:br/>
      </w:r>
      <w:r>
        <w:rPr>
          <w:b/>
          <w:bCs/>
        </w:rPr>
        <w:t>Подробное описание приоритетных направлений работы WP.29, связанных с</w:t>
      </w:r>
      <w:r>
        <w:rPr>
          <w:b/>
          <w:bCs/>
          <w:lang w:val="en-US"/>
        </w:rPr>
        <w:t> </w:t>
      </w:r>
      <w:r>
        <w:rPr>
          <w:b/>
          <w:bCs/>
        </w:rPr>
        <w:t>автоматизированными/автономными транспортными средствами</w:t>
      </w: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710"/>
        <w:gridCol w:w="805"/>
        <w:gridCol w:w="1170"/>
        <w:gridCol w:w="3245"/>
        <w:gridCol w:w="2707"/>
      </w:tblGrid>
      <w:tr w:rsidR="00AB5DD3" w:rsidRPr="00B50C17" w14:paraId="765E4F15" w14:textId="77777777" w:rsidTr="007840CA">
        <w:trPr>
          <w:tblHeader/>
        </w:trPr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03B60" w14:textId="77777777" w:rsidR="00630A49" w:rsidRPr="00B50C17" w:rsidRDefault="00630A49" w:rsidP="007051CC">
            <w:pPr>
              <w:spacing w:before="80" w:after="80" w:line="190" w:lineRule="exact"/>
              <w:ind w:left="43"/>
              <w:rPr>
                <w:rFonts w:eastAsia="MS PGothic" w:cs="Times New Roman"/>
                <w:i/>
                <w:sz w:val="16"/>
                <w:szCs w:val="16"/>
              </w:rPr>
            </w:pPr>
            <w:r w:rsidRPr="00B50C17">
              <w:rPr>
                <w:rFonts w:cs="Times New Roman"/>
                <w:i/>
                <w:sz w:val="16"/>
                <w:szCs w:val="16"/>
              </w:rPr>
              <w:t>Название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2B288" w14:textId="77777777" w:rsidR="00630A49" w:rsidRPr="00B50C17" w:rsidRDefault="00630A49" w:rsidP="007051CC">
            <w:pPr>
              <w:spacing w:before="80" w:after="80" w:line="190" w:lineRule="exact"/>
              <w:ind w:left="43"/>
              <w:jc w:val="center"/>
              <w:rPr>
                <w:rFonts w:eastAsia="MS PGothic" w:cs="Times New Roman"/>
                <w:i/>
                <w:sz w:val="16"/>
                <w:szCs w:val="16"/>
              </w:rPr>
            </w:pPr>
            <w:r w:rsidRPr="00B50C17">
              <w:rPr>
                <w:rFonts w:cs="Times New Roman"/>
                <w:i/>
                <w:sz w:val="16"/>
                <w:szCs w:val="16"/>
              </w:rPr>
              <w:t>Рабочая группа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7F189" w14:textId="77777777" w:rsidR="00630A49" w:rsidRPr="00B50C17" w:rsidRDefault="00630A49" w:rsidP="007051CC">
            <w:pPr>
              <w:spacing w:before="80" w:after="80" w:line="190" w:lineRule="exact"/>
              <w:ind w:left="43"/>
              <w:jc w:val="center"/>
              <w:rPr>
                <w:rFonts w:eastAsia="MS PGothic" w:cs="Times New Roman"/>
                <w:i/>
                <w:sz w:val="16"/>
                <w:szCs w:val="16"/>
              </w:rPr>
            </w:pPr>
            <w:r w:rsidRPr="00B50C17">
              <w:rPr>
                <w:rFonts w:cs="Times New Roman"/>
                <w:i/>
                <w:sz w:val="16"/>
                <w:szCs w:val="16"/>
              </w:rPr>
              <w:t>Целевые категории</w:t>
            </w:r>
          </w:p>
        </w:tc>
        <w:tc>
          <w:tcPr>
            <w:tcW w:w="3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9DE59" w14:textId="77777777" w:rsidR="00630A49" w:rsidRPr="00B50C17" w:rsidRDefault="00630A49" w:rsidP="007051CC">
            <w:pPr>
              <w:spacing w:before="80" w:after="80" w:line="190" w:lineRule="exact"/>
              <w:ind w:left="43"/>
              <w:jc w:val="center"/>
              <w:rPr>
                <w:rFonts w:eastAsia="MS PGothic" w:cs="Times New Roman"/>
                <w:i/>
                <w:sz w:val="16"/>
                <w:szCs w:val="16"/>
              </w:rPr>
            </w:pPr>
            <w:r w:rsidRPr="00B50C17">
              <w:rPr>
                <w:rFonts w:cs="Times New Roman"/>
                <w:i/>
                <w:sz w:val="16"/>
                <w:szCs w:val="16"/>
              </w:rPr>
              <w:t>Замечания</w:t>
            </w:r>
          </w:p>
        </w:tc>
        <w:tc>
          <w:tcPr>
            <w:tcW w:w="2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3E467" w14:textId="77777777" w:rsidR="00630A49" w:rsidRPr="00B50C17" w:rsidRDefault="000A563D" w:rsidP="007051CC">
            <w:pPr>
              <w:spacing w:before="80" w:after="80" w:line="190" w:lineRule="exact"/>
              <w:ind w:left="43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Ожидаемый результат/</w:t>
            </w:r>
            <w:r w:rsidR="00630A49" w:rsidRPr="00B50C17">
              <w:rPr>
                <w:rFonts w:cs="Times New Roman"/>
                <w:i/>
                <w:sz w:val="16"/>
                <w:szCs w:val="16"/>
              </w:rPr>
              <w:t>крайний срок</w:t>
            </w:r>
          </w:p>
        </w:tc>
      </w:tr>
      <w:tr w:rsidR="00AB5DD3" w:rsidRPr="00B50C17" w14:paraId="0014D07C" w14:textId="77777777" w:rsidTr="007840CA"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C8A6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Функциональные требования для автоматизированных/автономных транспортных средств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510F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GRVA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9499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Автоматизи</w:t>
            </w:r>
            <w:r w:rsidR="00960E97" w:rsidRPr="00960E97">
              <w:rPr>
                <w:rFonts w:cs="Times New Roman"/>
                <w:sz w:val="16"/>
                <w:szCs w:val="16"/>
              </w:rPr>
              <w:t>-</w:t>
            </w:r>
            <w:r w:rsidRPr="00B50C17">
              <w:rPr>
                <w:rFonts w:cs="Times New Roman"/>
                <w:sz w:val="16"/>
                <w:szCs w:val="16"/>
              </w:rPr>
              <w:t>рованные/</w:t>
            </w:r>
            <w:r w:rsidR="007840CA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автономные транспортные средства</w:t>
            </w:r>
          </w:p>
        </w:tc>
        <w:tc>
          <w:tcPr>
            <w:tcW w:w="3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9DDB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Это направление работы должно охватывать функциональные требования для сочетания различных функций, связанных с вождением: контроль движения в продольном направлении (ускорение, торможение и скорость движения по дороге), боковой контроль (соблюдение правил движения по полосам), наблюдение за окружающей обстановкой (спереди, сбоку, сзади), маневрирование с минимальным риском, запрос на передачу управления, ЧМИ (внутренний и внешний) и наблюдение за действиями водителя.</w:t>
            </w:r>
          </w:p>
          <w:p w14:paraId="49C5A02B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Это направление работы должно охватывать также требования в отношении функциональной безопасности.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61A5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[Март 2020 года: общие принципы, основанные на существующих национальных/региональных руководящих положениях и других соответствующих справочных документах]</w:t>
            </w:r>
          </w:p>
        </w:tc>
      </w:tr>
      <w:tr w:rsidR="00AB5DD3" w:rsidRPr="00B50C17" w14:paraId="5B53FB86" w14:textId="77777777" w:rsidTr="007840CA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DAD9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7A58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5C56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04F7" w14:textId="77777777" w:rsidR="00AB5DD3" w:rsidRPr="00B50C17" w:rsidRDefault="00AB5DD3" w:rsidP="007840CA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5AA3" w14:textId="77777777" w:rsidR="00AB5DD3" w:rsidRPr="00B50C17" w:rsidRDefault="00AB5DD3" w:rsidP="00625247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[Март 2020 года: функциональные требования для систем удержания в пределах полосы движения уровней автоматизации 3/4 САЕ (новые правила ООН для договаривающихся сторон Соглашения 1958 года)</w:t>
            </w:r>
            <w:r w:rsidR="00625247" w:rsidRPr="00B50C17">
              <w:rPr>
                <w:rFonts w:cs="Times New Roman"/>
                <w:sz w:val="16"/>
                <w:szCs w:val="16"/>
              </w:rPr>
              <w:t>]</w:t>
            </w:r>
          </w:p>
        </w:tc>
      </w:tr>
      <w:tr w:rsidR="00630A49" w:rsidRPr="00B50C17" w14:paraId="23D5D58F" w14:textId="77777777" w:rsidTr="007840CA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3FE53B7E" w14:textId="77777777" w:rsidR="00630A49" w:rsidRPr="00B50C17" w:rsidRDefault="00630A49" w:rsidP="007840CA">
            <w:pPr>
              <w:spacing w:before="40" w:after="120" w:line="190" w:lineRule="exact"/>
              <w:ind w:left="43" w:right="54"/>
              <w:rPr>
                <w:rFonts w:eastAsia="MS PGothic"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Новый метод оценки/</w:t>
            </w:r>
            <w:r w:rsidR="00960E97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испытания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14:paraId="58281542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GRVA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4C45F91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Автоматизи</w:t>
            </w:r>
            <w:r w:rsidR="00960E97" w:rsidRPr="00960E97">
              <w:rPr>
                <w:rFonts w:cs="Times New Roman"/>
                <w:sz w:val="16"/>
                <w:szCs w:val="16"/>
              </w:rPr>
              <w:t>-</w:t>
            </w:r>
            <w:r w:rsidRPr="00B50C17">
              <w:rPr>
                <w:rFonts w:cs="Times New Roman"/>
                <w:sz w:val="16"/>
                <w:szCs w:val="16"/>
              </w:rPr>
              <w:t>рованные/</w:t>
            </w:r>
            <w:r w:rsidR="007840CA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автономные транспортные средства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14:paraId="4C93084E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Многоуровневая концепция: аудит, моделирование, соответствие электронной системы, цифровая идентификация, испытательный трек, оценка вождения в реальных условиях эксплуатации.</w:t>
            </w:r>
          </w:p>
          <w:p w14:paraId="3FB26EE1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Это направление работы должно также охватывать оценку функциональной безопасности.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14:paraId="3B547FB6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[Март 2020 года: обзор существующих и будущих методов и предлагаемое направление для дальнейшей работы по оценке автоматизированных/автономных транспортных средств]</w:t>
            </w:r>
          </w:p>
          <w:p w14:paraId="33B43805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[Март 2020 года: метод испытания/</w:t>
            </w:r>
            <w:r w:rsidR="000A563D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оценки систем удержания в пределах полосы движения уровней автоматизации 3/4 САЕ в соответствии с новыми правилами ООН для договаривающихся сторон Соглашения 1958 года]</w:t>
            </w:r>
          </w:p>
        </w:tc>
      </w:tr>
      <w:tr w:rsidR="00630A49" w:rsidRPr="00B50C17" w14:paraId="1B65DA3B" w14:textId="77777777" w:rsidTr="007840CA">
        <w:tc>
          <w:tcPr>
            <w:tcW w:w="1710" w:type="dxa"/>
            <w:shd w:val="clear" w:color="auto" w:fill="auto"/>
          </w:tcPr>
          <w:p w14:paraId="5D6E9C33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 xml:space="preserve">Кибербезопасность и (беспроводное) обновление программного обеспечения </w:t>
            </w:r>
          </w:p>
        </w:tc>
        <w:tc>
          <w:tcPr>
            <w:tcW w:w="805" w:type="dxa"/>
            <w:shd w:val="clear" w:color="auto" w:fill="auto"/>
          </w:tcPr>
          <w:p w14:paraId="776B34C7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GRVA</w:t>
            </w:r>
          </w:p>
        </w:tc>
        <w:tc>
          <w:tcPr>
            <w:tcW w:w="1170" w:type="dxa"/>
            <w:shd w:val="clear" w:color="auto" w:fill="auto"/>
          </w:tcPr>
          <w:p w14:paraId="66D4B7D8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Обычные и автоматизи</w:t>
            </w:r>
            <w:r w:rsidR="00960E97" w:rsidRPr="00960E97">
              <w:rPr>
                <w:rFonts w:cs="Times New Roman"/>
                <w:sz w:val="16"/>
                <w:szCs w:val="16"/>
              </w:rPr>
              <w:t>-</w:t>
            </w:r>
            <w:r w:rsidRPr="00B50C17">
              <w:rPr>
                <w:rFonts w:cs="Times New Roman"/>
                <w:sz w:val="16"/>
                <w:szCs w:val="16"/>
              </w:rPr>
              <w:t>рованные/</w:t>
            </w:r>
            <w:r w:rsidR="007840CA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автономные транспортные средства</w:t>
            </w:r>
          </w:p>
        </w:tc>
        <w:tc>
          <w:tcPr>
            <w:tcW w:w="3245" w:type="dxa"/>
            <w:shd w:val="clear" w:color="auto" w:fill="auto"/>
          </w:tcPr>
          <w:p w14:paraId="099DB58F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 xml:space="preserve">Работа целевой группы по кибербезопасности и беспроводному обновлению программного обеспечения </w:t>
            </w:r>
            <w:r w:rsidR="000A563D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(ЦГ КБ/БПС) продолжается.</w:t>
            </w:r>
          </w:p>
          <w:p w14:paraId="024AEB7F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Проект рекомендаций относительно подхода (на основе проекта технических требований).</w:t>
            </w:r>
          </w:p>
        </w:tc>
        <w:tc>
          <w:tcPr>
            <w:tcW w:w="2707" w:type="dxa"/>
            <w:shd w:val="clear" w:color="auto" w:fill="auto"/>
          </w:tcPr>
          <w:p w14:paraId="0F3911A0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[Март 2020 года: обзор этапа испытаний в рамках проекта требований]</w:t>
            </w:r>
          </w:p>
        </w:tc>
      </w:tr>
      <w:tr w:rsidR="00630A49" w:rsidRPr="00B50C17" w14:paraId="4FB1A4B6" w14:textId="77777777" w:rsidTr="007840CA">
        <w:tc>
          <w:tcPr>
            <w:tcW w:w="1710" w:type="dxa"/>
            <w:shd w:val="clear" w:color="auto" w:fill="auto"/>
          </w:tcPr>
          <w:p w14:paraId="2D71CF45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Система хранения данных для автоматизированных транспортных средств (СХДАВ)</w:t>
            </w:r>
          </w:p>
        </w:tc>
        <w:tc>
          <w:tcPr>
            <w:tcW w:w="805" w:type="dxa"/>
            <w:shd w:val="clear" w:color="auto" w:fill="auto"/>
          </w:tcPr>
          <w:p w14:paraId="022948A3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 xml:space="preserve">Сначала: GRVA </w:t>
            </w:r>
          </w:p>
          <w:p w14:paraId="04D43C08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 xml:space="preserve">Позднее: GRSG </w:t>
            </w:r>
            <w:r w:rsidR="000A563D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(в коор</w:t>
            </w:r>
            <w:r w:rsidR="007051CC" w:rsidRPr="007051CC">
              <w:rPr>
                <w:rFonts w:cs="Times New Roman"/>
                <w:sz w:val="16"/>
                <w:szCs w:val="16"/>
              </w:rPr>
              <w:t>-</w:t>
            </w:r>
            <w:r w:rsidRPr="00B50C17">
              <w:rPr>
                <w:rFonts w:cs="Times New Roman"/>
                <w:sz w:val="16"/>
                <w:szCs w:val="16"/>
              </w:rPr>
              <w:t xml:space="preserve">динации </w:t>
            </w:r>
            <w:r w:rsidR="000A563D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с GRVA)</w:t>
            </w:r>
          </w:p>
        </w:tc>
        <w:tc>
          <w:tcPr>
            <w:tcW w:w="1170" w:type="dxa"/>
            <w:shd w:val="clear" w:color="auto" w:fill="auto"/>
          </w:tcPr>
          <w:p w14:paraId="5D0FB5D4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Автоматизи</w:t>
            </w:r>
            <w:r w:rsidR="00960E97" w:rsidRPr="00960E97">
              <w:rPr>
                <w:rFonts w:cs="Times New Roman"/>
                <w:sz w:val="16"/>
                <w:szCs w:val="16"/>
              </w:rPr>
              <w:t>-</w:t>
            </w:r>
            <w:r w:rsidRPr="00B50C17">
              <w:rPr>
                <w:rFonts w:cs="Times New Roman"/>
                <w:sz w:val="16"/>
                <w:szCs w:val="16"/>
              </w:rPr>
              <w:t>рованные/</w:t>
            </w:r>
            <w:r w:rsidR="000A563D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автономные транспортные средства</w:t>
            </w:r>
          </w:p>
        </w:tc>
        <w:tc>
          <w:tcPr>
            <w:tcW w:w="3245" w:type="dxa"/>
            <w:shd w:val="clear" w:color="auto" w:fill="auto"/>
          </w:tcPr>
          <w:p w14:paraId="3EBF7C52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СХДАВ предназначена для автономных транспортных средств (например, для регистрации данных об аварии). Это направление работы должно учитывать обсуждения, которые проходят в рамках GRVA и ее неофициальной рабочей группы по автоматизированным функциям рулевого управления (НРГ по АФРУ).</w:t>
            </w:r>
          </w:p>
          <w:p w14:paraId="53111913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Прежде чем обсуждать вопросы, касающиеся конкретных данных и информации, следует определить четкие цели и сроки и выявить различия с РДА.</w:t>
            </w:r>
          </w:p>
        </w:tc>
        <w:tc>
          <w:tcPr>
            <w:tcW w:w="2707" w:type="dxa"/>
            <w:shd w:val="clear" w:color="auto" w:fill="auto"/>
          </w:tcPr>
          <w:p w14:paraId="51FBCC16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 xml:space="preserve">[Март 2020 года: </w:t>
            </w:r>
          </w:p>
          <w:p w14:paraId="43D14E32" w14:textId="77777777" w:rsidR="00630A49" w:rsidRPr="00B50C17" w:rsidRDefault="00630A49" w:rsidP="00625247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 xml:space="preserve">требования к СХДАВ для </w:t>
            </w:r>
            <w:r w:rsidR="000A563D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систем удержания в пределах полосы движения уровней автоматизации 3/4 САЕ в</w:t>
            </w:r>
            <w:r w:rsidR="000A563D">
              <w:rPr>
                <w:rFonts w:cs="Times New Roman"/>
                <w:sz w:val="16"/>
                <w:szCs w:val="16"/>
                <w:lang w:val="en-US"/>
              </w:rPr>
              <w:t> </w:t>
            </w:r>
            <w:r w:rsidRPr="00B50C17">
              <w:rPr>
                <w:rFonts w:cs="Times New Roman"/>
                <w:sz w:val="16"/>
                <w:szCs w:val="16"/>
              </w:rPr>
              <w:t>соответствии с новыми правилами ООН для договаривающихся сторон Соглашения 1958 года]</w:t>
            </w:r>
          </w:p>
        </w:tc>
      </w:tr>
      <w:tr w:rsidR="00630A49" w:rsidRPr="00B50C17" w14:paraId="69521364" w14:textId="77777777" w:rsidTr="007840CA">
        <w:tc>
          <w:tcPr>
            <w:tcW w:w="1710" w:type="dxa"/>
            <w:shd w:val="clear" w:color="auto" w:fill="auto"/>
          </w:tcPr>
          <w:p w14:paraId="6D08BE12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Регистратор данных об аварии (РДА)</w:t>
            </w:r>
          </w:p>
        </w:tc>
        <w:tc>
          <w:tcPr>
            <w:tcW w:w="805" w:type="dxa"/>
            <w:shd w:val="clear" w:color="auto" w:fill="auto"/>
          </w:tcPr>
          <w:p w14:paraId="03709E39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GRSG</w:t>
            </w:r>
          </w:p>
        </w:tc>
        <w:tc>
          <w:tcPr>
            <w:tcW w:w="1170" w:type="dxa"/>
            <w:shd w:val="clear" w:color="auto" w:fill="auto"/>
          </w:tcPr>
          <w:p w14:paraId="1272908E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Обычные и автоматизи</w:t>
            </w:r>
            <w:r w:rsidR="00960E97" w:rsidRPr="004874B1">
              <w:rPr>
                <w:rFonts w:cs="Times New Roman"/>
                <w:sz w:val="16"/>
                <w:szCs w:val="16"/>
              </w:rPr>
              <w:t>-</w:t>
            </w:r>
            <w:r w:rsidRPr="00B50C17">
              <w:rPr>
                <w:rFonts w:cs="Times New Roman"/>
                <w:sz w:val="16"/>
                <w:szCs w:val="16"/>
              </w:rPr>
              <w:t>рованные/</w:t>
            </w:r>
            <w:r w:rsidR="000A563D">
              <w:rPr>
                <w:rFonts w:cs="Times New Roman"/>
                <w:sz w:val="16"/>
                <w:szCs w:val="16"/>
              </w:rPr>
              <w:br/>
            </w:r>
            <w:r w:rsidRPr="00B50C17">
              <w:rPr>
                <w:rFonts w:cs="Times New Roman"/>
                <w:sz w:val="16"/>
                <w:szCs w:val="16"/>
              </w:rPr>
              <w:t>автономные транспортные средства</w:t>
            </w:r>
          </w:p>
        </w:tc>
        <w:tc>
          <w:tcPr>
            <w:tcW w:w="3245" w:type="dxa"/>
            <w:shd w:val="clear" w:color="auto" w:fill="auto"/>
          </w:tcPr>
          <w:p w14:paraId="502052A1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eastAsia="MS PGothic" w:cs="Times New Roman"/>
                <w:bCs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>Существующие системы как инструмент повышения безопасности дорожного движения (например, регистрация данных об аварии)</w:t>
            </w:r>
          </w:p>
        </w:tc>
        <w:tc>
          <w:tcPr>
            <w:tcW w:w="2707" w:type="dxa"/>
            <w:shd w:val="clear" w:color="auto" w:fill="auto"/>
          </w:tcPr>
          <w:p w14:paraId="030EC96D" w14:textId="77777777" w:rsidR="00630A49" w:rsidRPr="00B50C17" w:rsidRDefault="00630A49" w:rsidP="007840CA">
            <w:pPr>
              <w:spacing w:before="40" w:after="120" w:line="190" w:lineRule="exact"/>
              <w:ind w:left="43" w:right="113"/>
              <w:rPr>
                <w:rFonts w:cs="Times New Roman"/>
                <w:sz w:val="16"/>
                <w:szCs w:val="16"/>
              </w:rPr>
            </w:pPr>
            <w:r w:rsidRPr="00B50C17">
              <w:rPr>
                <w:rFonts w:cs="Times New Roman"/>
                <w:sz w:val="16"/>
                <w:szCs w:val="16"/>
              </w:rPr>
              <w:t xml:space="preserve">[Ноябрь 2020 года: согласованные технические требования] </w:t>
            </w:r>
          </w:p>
        </w:tc>
      </w:tr>
    </w:tbl>
    <w:p w14:paraId="0CBED766" w14:textId="77777777" w:rsidR="00630A49" w:rsidRDefault="00630A49" w:rsidP="00B50C17">
      <w:pPr>
        <w:pStyle w:val="SingleTxtG"/>
        <w:spacing w:before="120" w:after="0"/>
        <w:ind w:left="1138" w:right="1138"/>
      </w:pPr>
      <w:r>
        <w:rPr>
          <w:u w:val="single"/>
        </w:rPr>
        <w:t>Примечание</w:t>
      </w:r>
      <w:r w:rsidRPr="00AB5DD3">
        <w:t>:</w:t>
      </w:r>
      <w:r>
        <w:t xml:space="preserve"> список [стран/договаривающихся сторон], проголосовавших за принятие настоящего рамочного документа, будет включен в приложение к окончательной версии настоящего документа.</w:t>
      </w:r>
    </w:p>
    <w:p w14:paraId="105A1609" w14:textId="77777777" w:rsidR="00E12C5F" w:rsidRPr="00630A49" w:rsidRDefault="00630A49" w:rsidP="00B50C1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30A49" w:rsidSect="00B434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689F" w14:textId="77777777" w:rsidR="00A46897" w:rsidRPr="00A312BC" w:rsidRDefault="00A46897" w:rsidP="00A312BC"/>
  </w:endnote>
  <w:endnote w:type="continuationSeparator" w:id="0">
    <w:p w14:paraId="23650C62" w14:textId="77777777" w:rsidR="00A46897" w:rsidRPr="00A312BC" w:rsidRDefault="00A468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1B7E" w14:textId="77777777" w:rsidR="00B43450" w:rsidRPr="00B43450" w:rsidRDefault="00B43450">
    <w:pPr>
      <w:pStyle w:val="Footer"/>
    </w:pPr>
    <w:r w:rsidRPr="00B43450">
      <w:rPr>
        <w:b/>
        <w:sz w:val="18"/>
      </w:rPr>
      <w:fldChar w:fldCharType="begin"/>
    </w:r>
    <w:r w:rsidRPr="00B43450">
      <w:rPr>
        <w:b/>
        <w:sz w:val="18"/>
      </w:rPr>
      <w:instrText xml:space="preserve"> PAGE  \* MERGEFORMAT </w:instrText>
    </w:r>
    <w:r w:rsidRPr="00B43450">
      <w:rPr>
        <w:b/>
        <w:sz w:val="18"/>
      </w:rPr>
      <w:fldChar w:fldCharType="separate"/>
    </w:r>
    <w:r w:rsidR="00144B79">
      <w:rPr>
        <w:b/>
        <w:noProof/>
        <w:sz w:val="18"/>
      </w:rPr>
      <w:t>4</w:t>
    </w:r>
    <w:r w:rsidRPr="00B43450">
      <w:rPr>
        <w:b/>
        <w:sz w:val="18"/>
      </w:rPr>
      <w:fldChar w:fldCharType="end"/>
    </w:r>
    <w:r>
      <w:rPr>
        <w:b/>
        <w:sz w:val="18"/>
      </w:rPr>
      <w:tab/>
    </w:r>
    <w:r>
      <w:t>GE.19-06306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F60D" w14:textId="77777777" w:rsidR="00B43450" w:rsidRPr="00B43450" w:rsidRDefault="00B43450" w:rsidP="00B4345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GE.19-06306</w:t>
    </w:r>
    <w:r>
      <w:tab/>
    </w:r>
    <w:r w:rsidRPr="00B43450">
      <w:rPr>
        <w:b/>
        <w:sz w:val="18"/>
      </w:rPr>
      <w:fldChar w:fldCharType="begin"/>
    </w:r>
    <w:r w:rsidRPr="00B43450">
      <w:rPr>
        <w:b/>
        <w:sz w:val="18"/>
      </w:rPr>
      <w:instrText xml:space="preserve"> PAGE  \* MERGEFORMAT </w:instrText>
    </w:r>
    <w:r w:rsidRPr="00B43450">
      <w:rPr>
        <w:b/>
        <w:sz w:val="18"/>
      </w:rPr>
      <w:fldChar w:fldCharType="separate"/>
    </w:r>
    <w:r w:rsidR="00144B79">
      <w:rPr>
        <w:b/>
        <w:noProof/>
        <w:sz w:val="18"/>
      </w:rPr>
      <w:t>5</w:t>
    </w:r>
    <w:r w:rsidRPr="00B434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DFF7" w14:textId="77777777" w:rsidR="00042B72" w:rsidRPr="00B43450" w:rsidRDefault="00B43450" w:rsidP="00B4345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04E2723" wp14:editId="014050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19-06306  (R)</w:t>
    </w:r>
    <w:r>
      <w:rPr>
        <w:lang w:val="en-US"/>
      </w:rPr>
      <w:t xml:space="preserve">  030519  030519</w:t>
    </w:r>
    <w:r>
      <w:br/>
    </w:r>
    <w:r w:rsidRPr="00B43450">
      <w:rPr>
        <w:rFonts w:ascii="C39T30Lfz" w:hAnsi="C39T30Lfz"/>
        <w:kern w:val="14"/>
        <w:sz w:val="56"/>
      </w:rPr>
      <w:t></w:t>
    </w:r>
    <w:r w:rsidRPr="00B43450">
      <w:rPr>
        <w:rFonts w:ascii="C39T30Lfz" w:hAnsi="C39T30Lfz"/>
        <w:kern w:val="14"/>
        <w:sz w:val="56"/>
      </w:rPr>
      <w:t></w:t>
    </w:r>
    <w:r w:rsidRPr="00B43450">
      <w:rPr>
        <w:rFonts w:ascii="C39T30Lfz" w:hAnsi="C39T30Lfz"/>
        <w:kern w:val="14"/>
        <w:sz w:val="56"/>
      </w:rPr>
      <w:t></w:t>
    </w:r>
    <w:r w:rsidRPr="00B43450">
      <w:rPr>
        <w:rFonts w:ascii="C39T30Lfz" w:hAnsi="C39T30Lfz"/>
        <w:kern w:val="14"/>
        <w:sz w:val="56"/>
      </w:rPr>
      <w:t></w:t>
    </w:r>
    <w:r w:rsidRPr="00B43450">
      <w:rPr>
        <w:rFonts w:ascii="C39T30Lfz" w:hAnsi="C39T30Lfz"/>
        <w:kern w:val="14"/>
        <w:sz w:val="56"/>
      </w:rPr>
      <w:t></w:t>
    </w:r>
    <w:r w:rsidRPr="00B43450">
      <w:rPr>
        <w:rFonts w:ascii="C39T30Lfz" w:hAnsi="C39T30Lfz"/>
        <w:kern w:val="14"/>
        <w:sz w:val="56"/>
      </w:rPr>
      <w:t></w:t>
    </w:r>
    <w:r w:rsidRPr="00B43450">
      <w:rPr>
        <w:rFonts w:ascii="C39T30Lfz" w:hAnsi="C39T30Lfz"/>
        <w:kern w:val="14"/>
        <w:sz w:val="56"/>
      </w:rPr>
      <w:t></w:t>
    </w:r>
    <w:r w:rsidRPr="00B43450">
      <w:rPr>
        <w:rFonts w:ascii="C39T30Lfz" w:hAnsi="C39T30Lfz"/>
        <w:kern w:val="14"/>
        <w:sz w:val="56"/>
      </w:rPr>
      <w:t></w:t>
    </w:r>
    <w:r w:rsidRPr="00B4345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5DB9E3" wp14:editId="75B0FC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AD48" w14:textId="77777777" w:rsidR="00A46897" w:rsidRPr="001075E9" w:rsidRDefault="00A468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C4CDAB" w14:textId="77777777" w:rsidR="00A46897" w:rsidRDefault="00A468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D1BBF5" w14:textId="77777777" w:rsidR="00B43450" w:rsidRPr="00DC2C16" w:rsidRDefault="00B43450" w:rsidP="00B43450">
      <w:pPr>
        <w:pStyle w:val="FootnoteText"/>
      </w:pPr>
      <w:r>
        <w:tab/>
      </w:r>
      <w:r w:rsidRPr="00B4345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5C66" w14:textId="76A74011" w:rsidR="00B43450" w:rsidRPr="00B43450" w:rsidRDefault="002056B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9BE5" w14:textId="2090A8C8" w:rsidR="00B43450" w:rsidRPr="00B43450" w:rsidRDefault="002056B8" w:rsidP="00B434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1"/>
    <w:lvlOverride w:ilvl="0">
      <w:lvl w:ilvl="0" w:tplc="A17E1026">
        <w:start w:val="1"/>
        <w:numFmt w:val="lowerLetter"/>
        <w:lvlText w:val="%1."/>
        <w:lvlJc w:val="left"/>
        <w:pPr>
          <w:ind w:left="1854" w:hanging="360"/>
        </w:pPr>
        <w:rPr>
          <w:b w:val="0"/>
          <w:bCs/>
          <w:i w:val="0"/>
          <w:iCs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97"/>
    <w:rsid w:val="00033EE1"/>
    <w:rsid w:val="00042B72"/>
    <w:rsid w:val="000558BD"/>
    <w:rsid w:val="000A563D"/>
    <w:rsid w:val="000B57E7"/>
    <w:rsid w:val="000B6373"/>
    <w:rsid w:val="000E4E5B"/>
    <w:rsid w:val="000F09DF"/>
    <w:rsid w:val="000F61B2"/>
    <w:rsid w:val="001075E9"/>
    <w:rsid w:val="0014152F"/>
    <w:rsid w:val="00144B79"/>
    <w:rsid w:val="00180183"/>
    <w:rsid w:val="0018024D"/>
    <w:rsid w:val="0018649F"/>
    <w:rsid w:val="00196389"/>
    <w:rsid w:val="001B3EF6"/>
    <w:rsid w:val="001C7A89"/>
    <w:rsid w:val="002056B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74B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780B"/>
    <w:rsid w:val="005D7914"/>
    <w:rsid w:val="005E2B41"/>
    <w:rsid w:val="005F0B42"/>
    <w:rsid w:val="00617A43"/>
    <w:rsid w:val="00625247"/>
    <w:rsid w:val="00630A4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51CC"/>
    <w:rsid w:val="00712895"/>
    <w:rsid w:val="00734ACB"/>
    <w:rsid w:val="00757357"/>
    <w:rsid w:val="007840C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D7B"/>
    <w:rsid w:val="008F7609"/>
    <w:rsid w:val="00906890"/>
    <w:rsid w:val="00911BE4"/>
    <w:rsid w:val="00951972"/>
    <w:rsid w:val="009608F3"/>
    <w:rsid w:val="00960E97"/>
    <w:rsid w:val="009A24AC"/>
    <w:rsid w:val="009C59D7"/>
    <w:rsid w:val="009C6FE6"/>
    <w:rsid w:val="009D7E7D"/>
    <w:rsid w:val="00A14DA8"/>
    <w:rsid w:val="00A312BC"/>
    <w:rsid w:val="00A46897"/>
    <w:rsid w:val="00A84021"/>
    <w:rsid w:val="00A84D35"/>
    <w:rsid w:val="00A917B3"/>
    <w:rsid w:val="00AB4B51"/>
    <w:rsid w:val="00AB5DD3"/>
    <w:rsid w:val="00AF2F5C"/>
    <w:rsid w:val="00B10CC7"/>
    <w:rsid w:val="00B36DF7"/>
    <w:rsid w:val="00B43450"/>
    <w:rsid w:val="00B50C17"/>
    <w:rsid w:val="00B539E7"/>
    <w:rsid w:val="00B62458"/>
    <w:rsid w:val="00BA073D"/>
    <w:rsid w:val="00BA392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7491CB"/>
  <w15:docId w15:val="{B84E88D8-8903-4C6B-8F9D-D11A795F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43450"/>
    <w:rPr>
      <w:lang w:val="ru-RU" w:eastAsia="en-US"/>
    </w:rPr>
  </w:style>
  <w:style w:type="character" w:styleId="Strong">
    <w:name w:val="Strong"/>
    <w:qFormat/>
    <w:rsid w:val="00B43450"/>
    <w:rPr>
      <w:b/>
      <w:bCs/>
    </w:rPr>
  </w:style>
  <w:style w:type="character" w:customStyle="1" w:styleId="HChGChar">
    <w:name w:val="_ H _Ch_G Char"/>
    <w:link w:val="HChG"/>
    <w:locked/>
    <w:rsid w:val="00B4345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ECE/TRANS/WP.29/2019/34</vt:lpstr>
      <vt:lpstr>ECE/TRANS/WP.29/2019/34</vt:lpstr>
      <vt:lpstr>A/</vt:lpstr>
    </vt:vector>
  </TitlesOfParts>
  <Company>DCM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ECE/TRANS/WP.29/2019/34</dc:title>
  <dc:subject/>
  <dc:creator>Tatiana SHARKINA</dc:creator>
  <cp:keywords/>
  <cp:lastModifiedBy>Marie-Claude Collet</cp:lastModifiedBy>
  <cp:revision>3</cp:revision>
  <cp:lastPrinted>2019-05-13T06:43:00Z</cp:lastPrinted>
  <dcterms:created xsi:type="dcterms:W3CDTF">2019-05-13T06:43:00Z</dcterms:created>
  <dcterms:modified xsi:type="dcterms:W3CDTF">2019-05-13T06:43:00Z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