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BC0AE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810C85" w14:textId="77777777" w:rsidR="00F35BAF" w:rsidRPr="00DB58B5" w:rsidRDefault="00F35BAF" w:rsidP="00A6152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CA2A9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D11915" w14:textId="77777777" w:rsidR="00F35BAF" w:rsidRPr="00DB58B5" w:rsidRDefault="00A61529" w:rsidP="00A61529">
            <w:pPr>
              <w:jc w:val="right"/>
            </w:pPr>
            <w:r w:rsidRPr="00A61529">
              <w:rPr>
                <w:sz w:val="40"/>
              </w:rPr>
              <w:t>ECE</w:t>
            </w:r>
            <w:r>
              <w:t>/TRANS/WP.29/2019/55</w:t>
            </w:r>
          </w:p>
        </w:tc>
      </w:tr>
      <w:tr w:rsidR="00F35BAF" w:rsidRPr="00DB58B5" w14:paraId="21EB5CC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FA21D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D675F8A" wp14:editId="71C8F81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F0453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9D07BA" w14:textId="77777777" w:rsidR="00F35BAF" w:rsidRDefault="00A6152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43E7138" w14:textId="77777777" w:rsidR="00A61529" w:rsidRDefault="00A61529" w:rsidP="00A61529">
            <w:pPr>
              <w:spacing w:line="240" w:lineRule="exact"/>
            </w:pPr>
            <w:r>
              <w:t>11 avril 2019</w:t>
            </w:r>
          </w:p>
          <w:p w14:paraId="0A8A348F" w14:textId="77777777" w:rsidR="00A61529" w:rsidRDefault="00A61529" w:rsidP="00A61529">
            <w:pPr>
              <w:spacing w:line="240" w:lineRule="exact"/>
            </w:pPr>
            <w:r>
              <w:t>Français</w:t>
            </w:r>
          </w:p>
          <w:p w14:paraId="730F02CD" w14:textId="77777777" w:rsidR="00A61529" w:rsidRPr="00DB58B5" w:rsidRDefault="00A61529" w:rsidP="00A61529">
            <w:pPr>
              <w:spacing w:line="240" w:lineRule="exact"/>
            </w:pPr>
            <w:r>
              <w:t>Original</w:t>
            </w:r>
            <w:r w:rsidR="00C248F1">
              <w:t> :</w:t>
            </w:r>
            <w:r>
              <w:t xml:space="preserve"> anglais</w:t>
            </w:r>
          </w:p>
        </w:tc>
      </w:tr>
    </w:tbl>
    <w:p w14:paraId="5D53CE5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248F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320678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D2F8FAA" w14:textId="77777777" w:rsidR="00A61529" w:rsidRDefault="00A6152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248F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4A73177" w14:textId="77777777" w:rsidR="00A61529" w:rsidRDefault="00AE65D4" w:rsidP="00953335">
      <w:pPr>
        <w:spacing w:before="120" w:line="240" w:lineRule="exact"/>
        <w:rPr>
          <w:b/>
        </w:rPr>
      </w:pPr>
      <w:r w:rsidRPr="00A61529">
        <w:rPr>
          <w:b/>
          <w:lang w:val="fr-FR"/>
        </w:rPr>
        <w:t>178</w:t>
      </w:r>
      <w:r w:rsidR="00A61529" w:rsidRPr="00A61529">
        <w:rPr>
          <w:b/>
          <w:vertAlign w:val="superscript"/>
          <w:lang w:val="fr-FR"/>
        </w:rPr>
        <w:t>e</w:t>
      </w:r>
      <w:r w:rsidR="00A61529">
        <w:rPr>
          <w:b/>
          <w:lang w:val="fr-FR"/>
        </w:rPr>
        <w:t> </w:t>
      </w:r>
      <w:r w:rsidR="00953335">
        <w:rPr>
          <w:b/>
          <w:lang w:val="fr-FR"/>
        </w:rPr>
        <w:t>session</w:t>
      </w:r>
    </w:p>
    <w:p w14:paraId="7D2191B8" w14:textId="77777777" w:rsidR="00A61529" w:rsidRDefault="00A61529" w:rsidP="00A61529">
      <w:pPr>
        <w:spacing w:line="240" w:lineRule="exact"/>
      </w:pPr>
      <w:r>
        <w:t xml:space="preserve">Genève, </w:t>
      </w:r>
      <w:r w:rsidR="00AE65D4" w:rsidRPr="00A61529">
        <w:rPr>
          <w:lang w:val="fr-FR"/>
        </w:rPr>
        <w:t>25-28 juin 2019</w:t>
      </w:r>
    </w:p>
    <w:p w14:paraId="0BE04AD7" w14:textId="77777777" w:rsidR="00A61529" w:rsidRDefault="00A61529" w:rsidP="00A61529">
      <w:pPr>
        <w:spacing w:line="240" w:lineRule="exact"/>
      </w:pPr>
      <w:r>
        <w:t xml:space="preserve">Point </w:t>
      </w:r>
      <w:r w:rsidR="00AE65D4" w:rsidRPr="00A61529">
        <w:rPr>
          <w:lang w:val="fr-FR"/>
        </w:rPr>
        <w:t xml:space="preserve">4.9.6 </w:t>
      </w:r>
      <w:r>
        <w:t>de l</w:t>
      </w:r>
      <w:r w:rsidR="00C248F1">
        <w:t>’</w:t>
      </w:r>
      <w:r>
        <w:t>ordre du jour provisoire</w:t>
      </w:r>
    </w:p>
    <w:p w14:paraId="36A3CB7C" w14:textId="77777777" w:rsidR="00A61529" w:rsidRPr="00A54CC1" w:rsidRDefault="00A61529" w:rsidP="00953335">
      <w:pPr>
        <w:rPr>
          <w:b/>
          <w:lang w:val="fr-FR"/>
        </w:rPr>
      </w:pPr>
      <w:r w:rsidRPr="00A54CC1">
        <w:rPr>
          <w:b/>
          <w:lang w:val="fr-FR"/>
        </w:rPr>
        <w:t>Accord de 1958 :</w:t>
      </w:r>
      <w:r w:rsidRPr="00A54CC1">
        <w:rPr>
          <w:b/>
          <w:lang w:val="fr-FR"/>
        </w:rPr>
        <w:br/>
      </w:r>
      <w:r w:rsidRPr="00A54CC1">
        <w:rPr>
          <w:b/>
          <w:bCs/>
          <w:lang w:val="fr-FR"/>
        </w:rPr>
        <w:t>Examen de projets d</w:t>
      </w:r>
      <w:r w:rsidR="00C248F1">
        <w:rPr>
          <w:b/>
          <w:bCs/>
          <w:lang w:val="fr-FR"/>
        </w:rPr>
        <w:t>’</w:t>
      </w:r>
      <w:r w:rsidRPr="00A54CC1">
        <w:rPr>
          <w:b/>
          <w:bCs/>
          <w:lang w:val="fr-FR"/>
        </w:rPr>
        <w:t xml:space="preserve">amendements à des Règlements ONU </w:t>
      </w:r>
      <w:r w:rsidR="00953335">
        <w:rPr>
          <w:b/>
          <w:bCs/>
          <w:lang w:val="fr-FR"/>
        </w:rPr>
        <w:br/>
      </w:r>
      <w:r w:rsidRPr="00A54CC1">
        <w:rPr>
          <w:b/>
          <w:bCs/>
          <w:lang w:val="fr-FR"/>
        </w:rPr>
        <w:t xml:space="preserve">existants, soumis par le GRB </w:t>
      </w:r>
    </w:p>
    <w:p w14:paraId="44C2226C" w14:textId="77777777" w:rsidR="00A61529" w:rsidRPr="00A54CC1" w:rsidRDefault="001E2EB6" w:rsidP="00B43105">
      <w:pPr>
        <w:pStyle w:val="HChG"/>
        <w:rPr>
          <w:lang w:val="fr-FR"/>
        </w:rPr>
      </w:pPr>
      <w:bookmarkStart w:id="1" w:name="_Hlk5371775"/>
      <w:r>
        <w:rPr>
          <w:lang w:val="fr-FR"/>
        </w:rPr>
        <w:tab/>
      </w:r>
      <w:r>
        <w:rPr>
          <w:lang w:val="fr-FR"/>
        </w:rPr>
        <w:tab/>
      </w:r>
      <w:r w:rsidR="00A61529" w:rsidRPr="00A54CC1">
        <w:rPr>
          <w:lang w:val="fr-FR"/>
        </w:rPr>
        <w:t>Proposition de complément 1 à la série 01 d</w:t>
      </w:r>
      <w:r w:rsidR="00C248F1">
        <w:rPr>
          <w:lang w:val="fr-FR"/>
        </w:rPr>
        <w:t>’</w:t>
      </w:r>
      <w:r w:rsidR="00A61529" w:rsidRPr="00A54CC1">
        <w:rPr>
          <w:lang w:val="fr-FR"/>
        </w:rPr>
        <w:t xml:space="preserve">amendements </w:t>
      </w:r>
      <w:r>
        <w:rPr>
          <w:lang w:val="fr-FR"/>
        </w:rPr>
        <w:br/>
      </w:r>
      <w:proofErr w:type="gramStart"/>
      <w:r w:rsidR="00A61529" w:rsidRPr="00A54CC1">
        <w:rPr>
          <w:lang w:val="fr-FR"/>
        </w:rPr>
        <w:t>au</w:t>
      </w:r>
      <w:proofErr w:type="gramEnd"/>
      <w:r w:rsidR="00A61529" w:rsidRPr="00A54CC1">
        <w:rPr>
          <w:lang w:val="fr-FR"/>
        </w:rPr>
        <w:t xml:space="preserve"> Règlement ONU </w:t>
      </w:r>
      <w:r w:rsidR="00B43105" w:rsidRPr="00B43105">
        <w:rPr>
          <w:rFonts w:eastAsia="MS Mincho"/>
          <w:szCs w:val="22"/>
          <w:lang w:val="fr-FR"/>
        </w:rPr>
        <w:t>n</w:t>
      </w:r>
      <w:r w:rsidR="00B43105" w:rsidRPr="00B43105">
        <w:rPr>
          <w:rFonts w:eastAsia="MS Mincho"/>
          <w:szCs w:val="22"/>
          <w:vertAlign w:val="superscript"/>
          <w:lang w:val="fr-FR"/>
        </w:rPr>
        <w:t>o</w:t>
      </w:r>
      <w:r w:rsidR="00B43105">
        <w:rPr>
          <w:lang w:val="fr-FR"/>
        </w:rPr>
        <w:t> </w:t>
      </w:r>
      <w:r w:rsidR="00A61529" w:rsidRPr="00A54CC1">
        <w:rPr>
          <w:lang w:val="fr-FR"/>
        </w:rPr>
        <w:t>138 (Véhicules routiers à moteur silencieux)</w:t>
      </w:r>
      <w:r w:rsidR="00B43105">
        <w:rPr>
          <w:lang w:val="fr-FR"/>
        </w:rPr>
        <w:t xml:space="preserve"> </w:t>
      </w:r>
      <w:bookmarkEnd w:id="1"/>
    </w:p>
    <w:p w14:paraId="66AF62EC" w14:textId="77777777" w:rsidR="00A61529" w:rsidRPr="00A54CC1" w:rsidRDefault="001E2EB6" w:rsidP="001E2EB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61529" w:rsidRPr="00A54CC1">
        <w:rPr>
          <w:lang w:val="fr-FR"/>
        </w:rPr>
        <w:t>Communication du Groupe de travail du bruit</w:t>
      </w:r>
      <w:r w:rsidRPr="0018506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172E1D5" w14:textId="77777777" w:rsidR="00A61529" w:rsidRDefault="00A61529" w:rsidP="001E2EB6">
      <w:pPr>
        <w:pStyle w:val="SingleTxtG"/>
        <w:ind w:firstLine="567"/>
        <w:rPr>
          <w:lang w:val="fr-FR"/>
        </w:rPr>
      </w:pPr>
      <w:r w:rsidRPr="00A54CC1">
        <w:rPr>
          <w:lang w:val="fr-FR"/>
        </w:rPr>
        <w:t xml:space="preserve">Le texte reproduit ci-dessous a été adopté par le Groupe de travail du bruit à sa soixante-neuvième session (ECE/TRANS/WP.29/GRB/67, </w:t>
      </w:r>
      <w:r w:rsidR="00C248F1">
        <w:rPr>
          <w:lang w:val="fr-FR"/>
        </w:rPr>
        <w:t>par. </w:t>
      </w:r>
      <w:r w:rsidRPr="00A54CC1">
        <w:rPr>
          <w:lang w:val="fr-FR"/>
        </w:rPr>
        <w:t>15</w:t>
      </w:r>
      <w:r w:rsidRPr="00A54CC1">
        <w:rPr>
          <w:bCs/>
          <w:lang w:val="fr-FR"/>
        </w:rPr>
        <w:t>). Il est fondé sur l</w:t>
      </w:r>
      <w:r w:rsidR="00C248F1">
        <w:rPr>
          <w:bCs/>
          <w:lang w:val="fr-FR"/>
        </w:rPr>
        <w:t>’</w:t>
      </w:r>
      <w:r w:rsidRPr="00A54CC1">
        <w:rPr>
          <w:bCs/>
          <w:lang w:val="fr-FR"/>
        </w:rPr>
        <w:t xml:space="preserve">annexe II du rapport. </w:t>
      </w:r>
      <w:r w:rsidRPr="00A54CC1">
        <w:rPr>
          <w:lang w:val="fr-FR"/>
        </w:rPr>
        <w:t>Il est soumis au Forum mondial de l</w:t>
      </w:r>
      <w:r w:rsidR="00C248F1">
        <w:rPr>
          <w:lang w:val="fr-FR"/>
        </w:rPr>
        <w:t>’</w:t>
      </w:r>
      <w:r w:rsidRPr="00A54CC1">
        <w:rPr>
          <w:lang w:val="fr-FR"/>
        </w:rPr>
        <w:t>harmonisation des Règlements concernant les véhicules (WP.29) et au Comité d</w:t>
      </w:r>
      <w:r w:rsidR="00C248F1">
        <w:rPr>
          <w:lang w:val="fr-FR"/>
        </w:rPr>
        <w:t>’</w:t>
      </w:r>
      <w:r w:rsidRPr="00A54CC1">
        <w:rPr>
          <w:lang w:val="fr-FR"/>
        </w:rPr>
        <w:t>administration (AC.1) pour examen à leurs sessions de juin 2019.</w:t>
      </w:r>
    </w:p>
    <w:p w14:paraId="5F4E8A02" w14:textId="77777777" w:rsidR="00A54CC1" w:rsidRPr="008B203E" w:rsidRDefault="00A61529" w:rsidP="00B43105">
      <w:pPr>
        <w:pStyle w:val="HChG"/>
        <w:rPr>
          <w:lang w:val="fr-FR"/>
        </w:rPr>
      </w:pPr>
      <w:r>
        <w:rPr>
          <w:lang w:val="fr-FR"/>
        </w:rPr>
        <w:br w:type="page"/>
      </w:r>
      <w:r w:rsidR="00AE65D4" w:rsidRPr="008B203E">
        <w:rPr>
          <w:lang w:val="fr-FR"/>
        </w:rPr>
        <w:lastRenderedPageBreak/>
        <w:tab/>
      </w:r>
      <w:r w:rsidR="00AE65D4" w:rsidRPr="008B203E">
        <w:rPr>
          <w:lang w:val="fr-FR"/>
        </w:rPr>
        <w:tab/>
        <w:t>Complément 1 à la série 01 d</w:t>
      </w:r>
      <w:r w:rsidR="00C248F1">
        <w:rPr>
          <w:lang w:val="fr-FR"/>
        </w:rPr>
        <w:t>’</w:t>
      </w:r>
      <w:r w:rsidR="00AE65D4" w:rsidRPr="008B203E">
        <w:rPr>
          <w:lang w:val="fr-FR"/>
        </w:rPr>
        <w:t xml:space="preserve">amendements au Règlement ONU </w:t>
      </w:r>
      <w:r w:rsidR="00B43105" w:rsidRPr="00B43105">
        <w:rPr>
          <w:rFonts w:eastAsia="MS Mincho"/>
          <w:szCs w:val="22"/>
          <w:lang w:val="fr-FR"/>
        </w:rPr>
        <w:t>n</w:t>
      </w:r>
      <w:r w:rsidR="00B43105" w:rsidRPr="00B43105">
        <w:rPr>
          <w:rFonts w:eastAsia="MS Mincho"/>
          <w:szCs w:val="22"/>
          <w:vertAlign w:val="superscript"/>
          <w:lang w:val="fr-FR"/>
        </w:rPr>
        <w:t>o</w:t>
      </w:r>
      <w:r w:rsidR="00B43105">
        <w:rPr>
          <w:lang w:val="fr-FR"/>
        </w:rPr>
        <w:t> </w:t>
      </w:r>
      <w:r w:rsidR="00AE65D4" w:rsidRPr="008B203E">
        <w:rPr>
          <w:lang w:val="fr-FR"/>
        </w:rPr>
        <w:t xml:space="preserve">138 (Véhicules routiers à moteur silencieux) </w:t>
      </w:r>
    </w:p>
    <w:p w14:paraId="631162A4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Paragraphe 1, ajouter la nouvelle note d</w:t>
      </w:r>
      <w:r w:rsidRPr="008B203E">
        <w:rPr>
          <w:i/>
          <w:lang w:val="fr-FR"/>
        </w:rPr>
        <w:t>e bas de page 3</w:t>
      </w:r>
      <w:r w:rsidRPr="008B203E">
        <w:rPr>
          <w:lang w:val="fr-FR"/>
        </w:rPr>
        <w:t>, libellée comme suit :</w:t>
      </w:r>
    </w:p>
    <w:p w14:paraId="2D020758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« 1.</w:t>
      </w:r>
      <w:r w:rsidRPr="008B203E">
        <w:rPr>
          <w:lang w:val="fr-FR"/>
        </w:rPr>
        <w:tab/>
      </w:r>
      <w:r w:rsidRPr="00AD7A03">
        <w:rPr>
          <w:rFonts w:eastAsia="Times New Roman"/>
        </w:rPr>
        <w:t>Domaine</w:t>
      </w:r>
      <w:r w:rsidRPr="008B203E">
        <w:rPr>
          <w:lang w:val="fr-FR"/>
        </w:rPr>
        <w:t xml:space="preserve"> d</w:t>
      </w:r>
      <w:r w:rsidR="00C248F1">
        <w:rPr>
          <w:lang w:val="fr-FR"/>
        </w:rPr>
        <w:t>’</w:t>
      </w:r>
      <w:r w:rsidRPr="008B203E">
        <w:rPr>
          <w:lang w:val="fr-FR"/>
        </w:rPr>
        <w:t>application</w:t>
      </w:r>
    </w:p>
    <w:p w14:paraId="41E085AC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 xml:space="preserve">Le </w:t>
      </w:r>
      <w:r w:rsidRPr="00AD7A03">
        <w:rPr>
          <w:rFonts w:eastAsia="Times New Roman"/>
        </w:rPr>
        <w:t>présent</w:t>
      </w:r>
      <w:r w:rsidRPr="008B203E">
        <w:rPr>
          <w:lang w:val="fr-FR"/>
        </w:rPr>
        <w:t xml:space="preserve"> Règlement s</w:t>
      </w:r>
      <w:r w:rsidR="00C248F1">
        <w:rPr>
          <w:lang w:val="fr-FR"/>
        </w:rPr>
        <w:t>’</w:t>
      </w:r>
      <w:r w:rsidRPr="008B203E">
        <w:rPr>
          <w:lang w:val="fr-FR"/>
        </w:rPr>
        <w:t>applique aux véhicules électriques des catégories M et N</w:t>
      </w:r>
      <w:r w:rsidRPr="008B203E">
        <w:rPr>
          <w:vertAlign w:val="superscript"/>
          <w:lang w:val="fr-FR"/>
        </w:rPr>
        <w:t>1</w:t>
      </w:r>
      <w:r w:rsidRPr="008B203E">
        <w:rPr>
          <w:lang w:val="fr-FR"/>
        </w:rPr>
        <w:t xml:space="preserve"> qui peuvent circuler normalement et en marche arrière, ou au moins en marche avant avec une vitesse, et sur lesquels il n</w:t>
      </w:r>
      <w:r w:rsidR="00C248F1">
        <w:rPr>
          <w:lang w:val="fr-FR"/>
        </w:rPr>
        <w:t>’</w:t>
      </w:r>
      <w:r w:rsidRPr="008B203E">
        <w:rPr>
          <w:lang w:val="fr-FR"/>
        </w:rPr>
        <w:t>y a pas de moteur à combustion interne en marche, en ce qui concerne leur audibilité</w:t>
      </w:r>
      <w:r w:rsidRPr="0095706D">
        <w:rPr>
          <w:bCs/>
          <w:vertAlign w:val="superscript"/>
          <w:lang w:val="fr-FR"/>
        </w:rPr>
        <w:t>3</w:t>
      </w:r>
      <w:r w:rsidRPr="008B203E">
        <w:rPr>
          <w:lang w:val="fr-FR"/>
        </w:rPr>
        <w:t>.</w:t>
      </w:r>
    </w:p>
    <w:p w14:paraId="5D74F4FE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lang w:val="fr-FR"/>
        </w:rPr>
        <w:t>___________________</w:t>
      </w:r>
    </w:p>
    <w:p w14:paraId="6AE7A87C" w14:textId="77777777" w:rsidR="00A54CC1" w:rsidRPr="008B203E" w:rsidRDefault="00AE65D4" w:rsidP="00AD7A03">
      <w:pPr>
        <w:pStyle w:val="SingleTxtG"/>
        <w:ind w:left="2268" w:hanging="1134"/>
        <w:rPr>
          <w:bCs/>
          <w:lang w:val="fr-FR"/>
        </w:rPr>
      </w:pPr>
      <w:r w:rsidRPr="008B203E">
        <w:rPr>
          <w:bCs/>
          <w:vertAlign w:val="superscript"/>
          <w:lang w:val="fr-FR"/>
        </w:rPr>
        <w:t>3</w:t>
      </w:r>
      <w:r w:rsidRPr="008B203E">
        <w:rPr>
          <w:bCs/>
          <w:lang w:val="fr-FR"/>
        </w:rPr>
        <w:tab/>
        <w:t xml:space="preserve">Voir </w:t>
      </w:r>
      <w:r w:rsidRPr="00AD7A03">
        <w:rPr>
          <w:rFonts w:eastAsia="Times New Roman"/>
          <w:sz w:val="18"/>
          <w:szCs w:val="18"/>
        </w:rPr>
        <w:t>paragraphe</w:t>
      </w:r>
      <w:r w:rsidRPr="008B203E">
        <w:rPr>
          <w:bCs/>
          <w:lang w:val="fr-FR"/>
        </w:rPr>
        <w:t xml:space="preserve"> 5.1.1 po</w:t>
      </w:r>
      <w:r w:rsidRPr="008B203E">
        <w:rPr>
          <w:bCs/>
          <w:lang w:val="fr-FR"/>
        </w:rPr>
        <w:t>ur une spécification plus détaillée de l</w:t>
      </w:r>
      <w:r w:rsidR="00C248F1">
        <w:rPr>
          <w:bCs/>
          <w:lang w:val="fr-FR"/>
        </w:rPr>
        <w:t>’</w:t>
      </w:r>
      <w:r w:rsidRPr="008B203E">
        <w:rPr>
          <w:bCs/>
          <w:lang w:val="fr-FR"/>
        </w:rPr>
        <w:t>application. ».</w:t>
      </w:r>
    </w:p>
    <w:p w14:paraId="543792AF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Ajouter le nouveau paragraphe 5.1.1</w:t>
      </w:r>
      <w:r w:rsidRPr="008B203E">
        <w:rPr>
          <w:lang w:val="fr-FR"/>
        </w:rPr>
        <w:t>, libellé comme suit :</w:t>
      </w:r>
    </w:p>
    <w:p w14:paraId="7303244E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« 5.1.1</w:t>
      </w:r>
      <w:r w:rsidRPr="008B203E">
        <w:rPr>
          <w:lang w:val="fr-FR"/>
        </w:rPr>
        <w:tab/>
        <w:t>Dans le cas d</w:t>
      </w:r>
      <w:r w:rsidR="00C248F1">
        <w:rPr>
          <w:lang w:val="fr-FR"/>
        </w:rPr>
        <w:t>’</w:t>
      </w:r>
      <w:r w:rsidRPr="008B203E">
        <w:rPr>
          <w:lang w:val="fr-FR"/>
        </w:rPr>
        <w:t>un véhicule hybride équipé d</w:t>
      </w:r>
      <w:r w:rsidR="00C248F1">
        <w:rPr>
          <w:lang w:val="fr-FR"/>
        </w:rPr>
        <w:t>’</w:t>
      </w:r>
      <w:r w:rsidRPr="008B203E">
        <w:rPr>
          <w:lang w:val="fr-FR"/>
        </w:rPr>
        <w:t>un moteur à combustion interne : si le constructeur peut démontrer à l</w:t>
      </w:r>
      <w:r w:rsidR="00C248F1">
        <w:rPr>
          <w:lang w:val="fr-FR"/>
        </w:rPr>
        <w:t>’</w:t>
      </w:r>
      <w:r w:rsidRPr="008B203E">
        <w:rPr>
          <w:lang w:val="fr-FR"/>
        </w:rPr>
        <w:t>autorité d</w:t>
      </w:r>
      <w:r w:rsidR="00C248F1">
        <w:rPr>
          <w:lang w:val="fr-FR"/>
        </w:rPr>
        <w:t>’</w:t>
      </w:r>
      <w:r w:rsidRPr="008B203E">
        <w:rPr>
          <w:lang w:val="fr-FR"/>
        </w:rPr>
        <w:t>homologa</w:t>
      </w:r>
      <w:r w:rsidRPr="008B203E">
        <w:rPr>
          <w:lang w:val="fr-FR"/>
        </w:rPr>
        <w:t>tion de type que le véhicule ne peut pas être évalué conformément aux dispositions du Règlement en raison du fait que le moteur à combustion interne utilisé pour la propulsion fonctionnera pendant les essais prescrits, ce Règlement doit être considéré comm</w:t>
      </w:r>
      <w:r w:rsidRPr="008B203E">
        <w:rPr>
          <w:lang w:val="fr-FR"/>
        </w:rPr>
        <w:t>e n</w:t>
      </w:r>
      <w:r w:rsidR="00C248F1">
        <w:rPr>
          <w:lang w:val="fr-FR"/>
        </w:rPr>
        <w:t>’</w:t>
      </w:r>
      <w:r w:rsidRPr="008B203E">
        <w:rPr>
          <w:lang w:val="fr-FR"/>
        </w:rPr>
        <w:t>étant pas applicable à ce véhicule. ».</w:t>
      </w:r>
    </w:p>
    <w:p w14:paraId="5A94B148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Paragraphe 6.2</w:t>
      </w:r>
      <w:r w:rsidRPr="008B203E">
        <w:rPr>
          <w:lang w:val="fr-FR"/>
        </w:rPr>
        <w:t>,</w:t>
      </w:r>
      <w:r w:rsidRPr="008B203E">
        <w:rPr>
          <w:i/>
          <w:lang w:val="fr-FR"/>
        </w:rPr>
        <w:t xml:space="preserve"> </w:t>
      </w:r>
      <w:r w:rsidRPr="008B203E">
        <w:rPr>
          <w:lang w:val="fr-FR"/>
        </w:rPr>
        <w:t>lire :</w:t>
      </w:r>
    </w:p>
    <w:p w14:paraId="1561F532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« 6.2</w:t>
      </w:r>
      <w:r w:rsidRPr="008B203E">
        <w:rPr>
          <w:lang w:val="fr-FR"/>
        </w:rPr>
        <w:tab/>
      </w:r>
      <w:r w:rsidRPr="00AD7A03">
        <w:rPr>
          <w:rFonts w:eastAsia="Times New Roman"/>
        </w:rPr>
        <w:t>Spécifications</w:t>
      </w:r>
      <w:r w:rsidRPr="008B203E">
        <w:rPr>
          <w:lang w:val="fr-FR"/>
        </w:rPr>
        <w:t xml:space="preserve"> acoustiques </w:t>
      </w:r>
    </w:p>
    <w:p w14:paraId="6A083110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 bruit émis par le véhicule soumis à l</w:t>
      </w:r>
      <w:r w:rsidR="00C248F1">
        <w:rPr>
          <w:lang w:val="fr-FR"/>
        </w:rPr>
        <w:t>’</w:t>
      </w:r>
      <w:r w:rsidRPr="008B203E">
        <w:rPr>
          <w:lang w:val="fr-FR"/>
        </w:rPr>
        <w:t>homologation doit être mesuré à l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aide des méthodes </w:t>
      </w:r>
      <w:r w:rsidRPr="00AD7A03">
        <w:rPr>
          <w:rFonts w:eastAsia="Times New Roman"/>
        </w:rPr>
        <w:t>décrites</w:t>
      </w:r>
      <w:r w:rsidRPr="008B203E">
        <w:rPr>
          <w:lang w:val="fr-FR"/>
        </w:rPr>
        <w:t xml:space="preserve"> à l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annexe 3 du présent Règlement. </w:t>
      </w:r>
    </w:p>
    <w:p w14:paraId="574F31F7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 xml:space="preserve">Les </w:t>
      </w:r>
      <w:r w:rsidRPr="008B203E">
        <w:rPr>
          <w:lang w:val="fr-FR"/>
        </w:rPr>
        <w:t>spécifications du présent Règlement s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appliquent à la plage de vitesses supérieures à 0 km/h et </w:t>
      </w:r>
      <w:r w:rsidRPr="00AD7A03">
        <w:rPr>
          <w:rFonts w:eastAsia="Times New Roman"/>
        </w:rPr>
        <w:t>inférieures</w:t>
      </w:r>
      <w:r w:rsidRPr="008B203E">
        <w:rPr>
          <w:lang w:val="fr-FR"/>
        </w:rPr>
        <w:t xml:space="preserve"> ou égales à 20 km/h. Le fonctionnement d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un système avertisseur sonore de présence est permis lorsque la vitesse du véhicule se situe hors de cette </w:t>
      </w:r>
      <w:r w:rsidRPr="008B203E">
        <w:rPr>
          <w:lang w:val="fr-FR"/>
        </w:rPr>
        <w:t>fourchette. Le système avertisseur peut fonctionner indépendamment d</w:t>
      </w:r>
      <w:r w:rsidR="00C248F1">
        <w:rPr>
          <w:lang w:val="fr-FR"/>
        </w:rPr>
        <w:t>’</w:t>
      </w:r>
      <w:r w:rsidRPr="008B203E">
        <w:rPr>
          <w:lang w:val="fr-FR"/>
        </w:rPr>
        <w:t>un moteur à combustion interne à l</w:t>
      </w:r>
      <w:r w:rsidR="00C248F1">
        <w:rPr>
          <w:lang w:val="fr-FR"/>
        </w:rPr>
        <w:t>’</w:t>
      </w:r>
      <w:r w:rsidRPr="008B203E">
        <w:rPr>
          <w:lang w:val="fr-FR"/>
        </w:rPr>
        <w:t>intérieur ou en dehors de la plage indiquée.</w:t>
      </w:r>
    </w:p>
    <w:p w14:paraId="143CB3F0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Dans le cas d</w:t>
      </w:r>
      <w:r w:rsidR="00C248F1">
        <w:rPr>
          <w:lang w:val="fr-FR"/>
        </w:rPr>
        <w:t>’</w:t>
      </w:r>
      <w:r w:rsidRPr="008B203E">
        <w:rPr>
          <w:lang w:val="fr-FR"/>
        </w:rPr>
        <w:t>un véhicule qui n</w:t>
      </w:r>
      <w:r w:rsidR="00C248F1">
        <w:rPr>
          <w:lang w:val="fr-FR"/>
        </w:rPr>
        <w:t>’</w:t>
      </w:r>
      <w:r w:rsidRPr="008B203E">
        <w:rPr>
          <w:lang w:val="fr-FR"/>
        </w:rPr>
        <w:t>est pas équipé d</w:t>
      </w:r>
      <w:r w:rsidR="00C248F1">
        <w:rPr>
          <w:lang w:val="fr-FR"/>
        </w:rPr>
        <w:t>’</w:t>
      </w:r>
      <w:r w:rsidRPr="008B203E">
        <w:rPr>
          <w:lang w:val="fr-FR"/>
        </w:rPr>
        <w:t>un système avertisseur sonore, si les résultats obtenus c</w:t>
      </w:r>
      <w:r w:rsidRPr="008B203E">
        <w:rPr>
          <w:lang w:val="fr-FR"/>
        </w:rPr>
        <w:t>orrespondent aux niveaux généraux indiqués au tableau 2 ci-après avec une marge de +3 dB (A), les spécifications pour les bandes de tiers d</w:t>
      </w:r>
      <w:r w:rsidR="00C248F1">
        <w:rPr>
          <w:lang w:val="fr-FR"/>
        </w:rPr>
        <w:t>’</w:t>
      </w:r>
      <w:r w:rsidRPr="008B203E">
        <w:rPr>
          <w:lang w:val="fr-FR"/>
        </w:rPr>
        <w:t>octave et le changement de fréquence ne sont pas applicables. ».</w:t>
      </w:r>
    </w:p>
    <w:p w14:paraId="77CFC48B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Ajouter le nouveau paragraphe 6.2.6</w:t>
      </w:r>
      <w:r w:rsidRPr="008B203E">
        <w:rPr>
          <w:lang w:val="fr-FR"/>
        </w:rPr>
        <w:t xml:space="preserve">, libellé comme </w:t>
      </w:r>
      <w:r w:rsidRPr="008B203E">
        <w:rPr>
          <w:lang w:val="fr-FR"/>
        </w:rPr>
        <w:t>suit :</w:t>
      </w:r>
    </w:p>
    <w:p w14:paraId="78B3F7D6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« 6.2.6</w:t>
      </w:r>
      <w:r w:rsidRPr="008B203E">
        <w:rPr>
          <w:lang w:val="fr-FR"/>
        </w:rPr>
        <w:tab/>
        <w:t xml:space="preserve">Variation du </w:t>
      </w:r>
      <w:r w:rsidRPr="00AD7A03">
        <w:rPr>
          <w:rFonts w:eastAsia="Times New Roman"/>
        </w:rPr>
        <w:t>niveau</w:t>
      </w:r>
      <w:r w:rsidRPr="008B203E">
        <w:rPr>
          <w:lang w:val="fr-FR"/>
        </w:rPr>
        <w:t xml:space="preserve"> sonore du système avertisseur sonore de présence</w:t>
      </w:r>
    </w:p>
    <w:p w14:paraId="2B37C9F3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>S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il est installé, le système avertisseur de présence peut fonctionner à différents niveaux sonores pouvant être soit </w:t>
      </w:r>
      <w:r w:rsidRPr="008B203E">
        <w:rPr>
          <w:lang w:val="fr-FR"/>
        </w:rPr>
        <w:t xml:space="preserve">gérés automatiquement par le module de gestion soit choisis </w:t>
      </w:r>
      <w:r w:rsidRPr="00AD7A03">
        <w:rPr>
          <w:rFonts w:eastAsia="Times New Roman"/>
        </w:rPr>
        <w:t>manuellement</w:t>
      </w:r>
      <w:r w:rsidRPr="008B203E">
        <w:rPr>
          <w:lang w:val="fr-FR"/>
        </w:rPr>
        <w:t xml:space="preserve"> par le conducteur, chacun de ces niveaux sonores devant être conforme aux spécifications des paragraphes 6.2.1 à 6.2.3 et des paragraphes 6.2.8 et 6.2.9. ».</w:t>
      </w:r>
    </w:p>
    <w:p w14:paraId="164B36D6" w14:textId="77777777" w:rsidR="00A54CC1" w:rsidRPr="008B203E" w:rsidRDefault="00AE65D4" w:rsidP="008B203E">
      <w:pPr>
        <w:pStyle w:val="SingleTxtG"/>
        <w:rPr>
          <w:iCs/>
          <w:lang w:val="fr-FR"/>
        </w:rPr>
      </w:pPr>
      <w:r w:rsidRPr="008B203E">
        <w:rPr>
          <w:i/>
          <w:lang w:val="fr-FR"/>
        </w:rPr>
        <w:t>Les paragraphes 6.2.6 à 6.</w:t>
      </w:r>
      <w:r w:rsidRPr="008B203E">
        <w:rPr>
          <w:i/>
          <w:lang w:val="fr-FR"/>
        </w:rPr>
        <w:t xml:space="preserve">2.8 </w:t>
      </w:r>
      <w:r w:rsidRPr="008B203E">
        <w:rPr>
          <w:iCs/>
          <w:lang w:val="fr-FR"/>
        </w:rPr>
        <w:t>deviennent les paragraphes 6.2.7 à 6.2.9.</w:t>
      </w:r>
    </w:p>
    <w:p w14:paraId="5E837520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Annexe 3, paragraphe 2.2</w:t>
      </w:r>
      <w:r w:rsidRPr="008B203E">
        <w:rPr>
          <w:lang w:val="fr-FR"/>
        </w:rPr>
        <w:t>,</w:t>
      </w:r>
      <w:r w:rsidRPr="008B203E">
        <w:rPr>
          <w:i/>
          <w:lang w:val="fr-FR"/>
        </w:rPr>
        <w:t xml:space="preserve"> </w:t>
      </w:r>
      <w:r w:rsidRPr="008B203E">
        <w:rPr>
          <w:lang w:val="fr-FR"/>
        </w:rPr>
        <w:t>lire :</w:t>
      </w:r>
    </w:p>
    <w:p w14:paraId="74312E1B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« 2.2</w:t>
      </w:r>
      <w:r w:rsidRPr="008B203E">
        <w:rPr>
          <w:lang w:val="fr-FR"/>
        </w:rPr>
        <w:tab/>
        <w:t xml:space="preserve">Conditions </w:t>
      </w:r>
      <w:r w:rsidRPr="00AD7A03">
        <w:rPr>
          <w:rFonts w:eastAsia="Times New Roman"/>
        </w:rPr>
        <w:t>météorologiques</w:t>
      </w:r>
    </w:p>
    <w:p w14:paraId="1DC2A7B7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2.2.1</w:t>
      </w:r>
      <w:r w:rsidRPr="008B203E">
        <w:rPr>
          <w:lang w:val="fr-FR"/>
        </w:rPr>
        <w:tab/>
        <w:t>En cas d</w:t>
      </w:r>
      <w:r w:rsidR="00C248F1">
        <w:rPr>
          <w:lang w:val="fr-FR"/>
        </w:rPr>
        <w:t>’</w:t>
      </w:r>
      <w:r w:rsidRPr="008B203E">
        <w:rPr>
          <w:lang w:val="fr-FR"/>
        </w:rPr>
        <w:t>essais à l</w:t>
      </w:r>
      <w:r w:rsidR="00C248F1">
        <w:rPr>
          <w:lang w:val="fr-FR"/>
        </w:rPr>
        <w:t>’</w:t>
      </w:r>
      <w:r w:rsidRPr="008B203E">
        <w:rPr>
          <w:lang w:val="fr-FR"/>
        </w:rPr>
        <w:t>extérieur</w:t>
      </w:r>
    </w:p>
    <w:p w14:paraId="4FA8CC28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Les conditions météorologiques permettent de procéder aux essais à des températures de fonctionnement norma</w:t>
      </w:r>
      <w:r w:rsidRPr="008B203E">
        <w:rPr>
          <w:lang w:val="fr-FR"/>
        </w:rPr>
        <w:t>les et d</w:t>
      </w:r>
      <w:r w:rsidR="00C248F1">
        <w:rPr>
          <w:lang w:val="fr-FR"/>
        </w:rPr>
        <w:t>’</w:t>
      </w:r>
      <w:r w:rsidRPr="008B203E">
        <w:rPr>
          <w:lang w:val="fr-FR"/>
        </w:rPr>
        <w:t>éviter des résultats anormaux dus à des conditions extrêmes.</w:t>
      </w:r>
    </w:p>
    <w:p w14:paraId="19ACE89C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 xml:space="preserve">Les appareils de mesure météorologique doivent produire des données </w:t>
      </w:r>
      <w:r w:rsidRPr="00AD7A03">
        <w:rPr>
          <w:rFonts w:eastAsia="Times New Roman"/>
        </w:rPr>
        <w:t>représentatives</w:t>
      </w:r>
      <w:r w:rsidRPr="008B203E">
        <w:rPr>
          <w:lang w:val="fr-FR"/>
        </w:rPr>
        <w:t xml:space="preserve"> du lieu d</w:t>
      </w:r>
      <w:r w:rsidR="00C248F1">
        <w:rPr>
          <w:lang w:val="fr-FR"/>
        </w:rPr>
        <w:t>’</w:t>
      </w:r>
      <w:r w:rsidRPr="008B203E">
        <w:rPr>
          <w:lang w:val="fr-FR"/>
        </w:rPr>
        <w:t>essai et doivent être placés à proximité de l</w:t>
      </w:r>
      <w:r w:rsidR="00C248F1">
        <w:rPr>
          <w:lang w:val="fr-FR"/>
        </w:rPr>
        <w:t>’</w:t>
      </w:r>
      <w:r w:rsidRPr="008B203E">
        <w:rPr>
          <w:lang w:val="fr-FR"/>
        </w:rPr>
        <w:t xml:space="preserve">aire </w:t>
      </w:r>
      <w:r w:rsidRPr="008B203E">
        <w:rPr>
          <w:lang w:val="fr-FR"/>
        </w:rPr>
        <w:lastRenderedPageBreak/>
        <w:t>d</w:t>
      </w:r>
      <w:r w:rsidR="00C248F1">
        <w:rPr>
          <w:lang w:val="fr-FR"/>
        </w:rPr>
        <w:t>’</w:t>
      </w:r>
      <w:r w:rsidRPr="008B203E">
        <w:rPr>
          <w:lang w:val="fr-FR"/>
        </w:rPr>
        <w:t>essai, à une hauteur correspondant à l</w:t>
      </w:r>
      <w:r w:rsidRPr="008B203E">
        <w:rPr>
          <w:lang w:val="fr-FR"/>
        </w:rPr>
        <w:t>a hauteur des microphones servant à mesurer le bruit.</w:t>
      </w:r>
    </w:p>
    <w:p w14:paraId="1964667E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 xml:space="preserve">Une </w:t>
      </w:r>
      <w:r w:rsidRPr="00AD7A03">
        <w:rPr>
          <w:rFonts w:eastAsia="Times New Roman"/>
        </w:rPr>
        <w:t>valeur</w:t>
      </w:r>
      <w:r w:rsidRPr="008B203E">
        <w:rPr>
          <w:lang w:val="fr-FR"/>
        </w:rPr>
        <w:t xml:space="preserve"> représentative de la température, de la vitesse du vent, de l</w:t>
      </w:r>
      <w:r w:rsidR="00C248F1">
        <w:rPr>
          <w:lang w:val="fr-FR"/>
        </w:rPr>
        <w:t>’</w:t>
      </w:r>
      <w:r w:rsidRPr="008B203E">
        <w:rPr>
          <w:lang w:val="fr-FR"/>
        </w:rPr>
        <w:t>humidité relative et de la pression barométrique doit être enregistrée durant la période de mesure.</w:t>
      </w:r>
    </w:p>
    <w:p w14:paraId="3BBC9DA1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Les mesures du bruit doivent</w:t>
      </w:r>
      <w:r w:rsidRPr="008B203E">
        <w:rPr>
          <w:lang w:val="fr-FR"/>
        </w:rPr>
        <w:t xml:space="preserve"> se faire lorsque la température de l</w:t>
      </w:r>
      <w:r w:rsidR="00C248F1">
        <w:rPr>
          <w:lang w:val="fr-FR"/>
        </w:rPr>
        <w:t>’</w:t>
      </w:r>
      <w:r w:rsidRPr="008B203E">
        <w:rPr>
          <w:lang w:val="fr-FR"/>
        </w:rPr>
        <w:t>air ambiant est comprise entre 5 et 40 °C.</w:t>
      </w:r>
    </w:p>
    <w:p w14:paraId="4DF8099F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 xml:space="preserve">Il </w:t>
      </w:r>
      <w:r w:rsidRPr="00AD7A03">
        <w:rPr>
          <w:rFonts w:eastAsia="Times New Roman"/>
        </w:rPr>
        <w:t>est</w:t>
      </w:r>
      <w:r w:rsidRPr="008B203E">
        <w:rPr>
          <w:lang w:val="fr-FR"/>
        </w:rPr>
        <w:t xml:space="preserve"> possible de réduire cette plage de températures ambiantes de sorte que les principales fonctions du véhicule contribuant à la réduction de ses émissions sonores </w:t>
      </w:r>
      <w:r w:rsidRPr="008B203E">
        <w:rPr>
          <w:lang w:val="fr-FR"/>
        </w:rPr>
        <w:t>(système arrêt-démarrage automatique, propulsion hybride, propulsion à partir des batteries ou mise en service des piles à combustible, par exemple) soient activées conformément aux instructions du constructeur.</w:t>
      </w:r>
    </w:p>
    <w:p w14:paraId="3F95F453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Les essais ne doivent pas être réalisés si,</w:t>
      </w:r>
      <w:r w:rsidRPr="008B203E">
        <w:rPr>
          <w:lang w:val="fr-FR"/>
        </w:rPr>
        <w:t xml:space="preserve"> durant la période de mesure, la vitesse du vent, y </w:t>
      </w:r>
      <w:r w:rsidRPr="00AD7A03">
        <w:rPr>
          <w:rFonts w:eastAsia="Times New Roman"/>
        </w:rPr>
        <w:t>compris</w:t>
      </w:r>
      <w:r w:rsidRPr="008B203E">
        <w:rPr>
          <w:lang w:val="fr-FR"/>
        </w:rPr>
        <w:t xml:space="preserve"> en rafale, dépasse 5 m/s à la hauteur des microphones.</w:t>
      </w:r>
    </w:p>
    <w:p w14:paraId="76CAECA4" w14:textId="77777777" w:rsidR="00A54CC1" w:rsidRPr="008B203E" w:rsidRDefault="00AE65D4" w:rsidP="00AD7A03">
      <w:pPr>
        <w:pStyle w:val="SingleTxtG"/>
        <w:ind w:left="2268" w:hanging="1134"/>
        <w:rPr>
          <w:lang w:val="fr-FR"/>
        </w:rPr>
      </w:pPr>
      <w:r w:rsidRPr="008B203E">
        <w:rPr>
          <w:lang w:val="fr-FR"/>
        </w:rPr>
        <w:t>2.2.2</w:t>
      </w:r>
      <w:r w:rsidRPr="008B203E">
        <w:rPr>
          <w:lang w:val="fr-FR"/>
        </w:rPr>
        <w:tab/>
        <w:t xml:space="preserve">En cas </w:t>
      </w:r>
      <w:r w:rsidRPr="00AD7A03">
        <w:rPr>
          <w:rFonts w:eastAsia="Times New Roman"/>
        </w:rPr>
        <w:t>d</w:t>
      </w:r>
      <w:r w:rsidR="00C248F1">
        <w:rPr>
          <w:rFonts w:eastAsia="Times New Roman"/>
        </w:rPr>
        <w:t>’</w:t>
      </w:r>
      <w:r w:rsidRPr="00AD7A03">
        <w:rPr>
          <w:rFonts w:eastAsia="Times New Roman"/>
        </w:rPr>
        <w:t>essais</w:t>
      </w:r>
      <w:r w:rsidRPr="008B203E">
        <w:rPr>
          <w:lang w:val="fr-FR"/>
        </w:rPr>
        <w:t xml:space="preserve"> à l</w:t>
      </w:r>
      <w:r w:rsidR="00C248F1">
        <w:rPr>
          <w:lang w:val="fr-FR"/>
        </w:rPr>
        <w:t>’</w:t>
      </w:r>
      <w:r w:rsidRPr="008B203E">
        <w:rPr>
          <w:lang w:val="fr-FR"/>
        </w:rPr>
        <w:t>intérieur</w:t>
      </w:r>
    </w:p>
    <w:p w14:paraId="61E53D45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 xml:space="preserve">Les conditions météorologiques permettent de procéder aux essais à des températures de </w:t>
      </w:r>
      <w:r w:rsidRPr="00AD7A03">
        <w:rPr>
          <w:rFonts w:eastAsia="Times New Roman"/>
        </w:rPr>
        <w:t>fonctionnement</w:t>
      </w:r>
      <w:r w:rsidRPr="008B203E">
        <w:rPr>
          <w:lang w:val="fr-FR"/>
        </w:rPr>
        <w:t xml:space="preserve"> nor</w:t>
      </w:r>
      <w:r w:rsidRPr="008B203E">
        <w:rPr>
          <w:lang w:val="fr-FR"/>
        </w:rPr>
        <w:t>males et d</w:t>
      </w:r>
      <w:r w:rsidR="00C248F1">
        <w:rPr>
          <w:lang w:val="fr-FR"/>
        </w:rPr>
        <w:t>’</w:t>
      </w:r>
      <w:r w:rsidRPr="008B203E">
        <w:rPr>
          <w:lang w:val="fr-FR"/>
        </w:rPr>
        <w:t>éviter des résultats anormaux dus à des conditions extrêmes.</w:t>
      </w:r>
    </w:p>
    <w:p w14:paraId="326C7D46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Les appareils de mesure météorologique doivent produire des données représentatives du lieu d</w:t>
      </w:r>
      <w:r w:rsidR="00C248F1">
        <w:rPr>
          <w:lang w:val="fr-FR"/>
        </w:rPr>
        <w:t>’</w:t>
      </w:r>
      <w:r w:rsidRPr="008B203E">
        <w:rPr>
          <w:lang w:val="fr-FR"/>
        </w:rPr>
        <w:t>essai, et les valeurs de la température, de l</w:t>
      </w:r>
      <w:r w:rsidR="00C248F1">
        <w:rPr>
          <w:lang w:val="fr-FR"/>
        </w:rPr>
        <w:t>’</w:t>
      </w:r>
      <w:r w:rsidRPr="008B203E">
        <w:rPr>
          <w:lang w:val="fr-FR"/>
        </w:rPr>
        <w:t>humidité relative et de la pression baromét</w:t>
      </w:r>
      <w:r w:rsidRPr="008B203E">
        <w:rPr>
          <w:lang w:val="fr-FR"/>
        </w:rPr>
        <w:t>rique doivent être enregistrées durant la période de mesure.</w:t>
      </w:r>
    </w:p>
    <w:p w14:paraId="070EADEA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Les mesures du bruit doivent se faire lorsque la température de l</w:t>
      </w:r>
      <w:r w:rsidR="00C248F1">
        <w:rPr>
          <w:lang w:val="fr-FR"/>
        </w:rPr>
        <w:t>’</w:t>
      </w:r>
      <w:r w:rsidRPr="008B203E">
        <w:rPr>
          <w:lang w:val="fr-FR"/>
        </w:rPr>
        <w:t>air ambiant est comprise entre 5 et 40 °C.</w:t>
      </w:r>
    </w:p>
    <w:p w14:paraId="5932A86C" w14:textId="77777777" w:rsidR="00A54CC1" w:rsidRPr="008B203E" w:rsidRDefault="00AE65D4" w:rsidP="00AD7A03">
      <w:pPr>
        <w:pStyle w:val="SingleTxtG"/>
        <w:ind w:left="2268"/>
        <w:rPr>
          <w:lang w:val="fr-FR"/>
        </w:rPr>
      </w:pPr>
      <w:r w:rsidRPr="008B203E">
        <w:rPr>
          <w:lang w:val="fr-FR"/>
        </w:rPr>
        <w:tab/>
        <w:t>Il est possible de réduire cette plage de températures ambiantes de sorte que les pr</w:t>
      </w:r>
      <w:r w:rsidRPr="008B203E">
        <w:rPr>
          <w:lang w:val="fr-FR"/>
        </w:rPr>
        <w:t xml:space="preserve">incipales fonctions du véhicule contribuant à la réduction de ses émissions sonores (système </w:t>
      </w:r>
      <w:r w:rsidRPr="00AD7A03">
        <w:rPr>
          <w:rFonts w:eastAsia="Times New Roman"/>
        </w:rPr>
        <w:t>arrêt</w:t>
      </w:r>
      <w:r w:rsidRPr="008B203E">
        <w:rPr>
          <w:lang w:val="fr-FR"/>
        </w:rPr>
        <w:t>-démarrage automatique, propulsion hybride, propulsion à partir des batteries ou mise en service des piles à combustible, par exemple) soient activées conform</w:t>
      </w:r>
      <w:r w:rsidRPr="008B203E">
        <w:rPr>
          <w:lang w:val="fr-FR"/>
        </w:rPr>
        <w:t>ément aux instructions du constructeur. ».</w:t>
      </w:r>
    </w:p>
    <w:p w14:paraId="07741CD7" w14:textId="77777777" w:rsidR="00A54CC1" w:rsidRPr="008B203E" w:rsidRDefault="00AE65D4" w:rsidP="008B203E">
      <w:pPr>
        <w:pStyle w:val="SingleTxtG"/>
        <w:rPr>
          <w:i/>
          <w:lang w:val="fr-FR"/>
        </w:rPr>
      </w:pPr>
      <w:r w:rsidRPr="008B203E">
        <w:rPr>
          <w:i/>
          <w:lang w:val="fr-FR"/>
        </w:rPr>
        <w:t>Appendice à l</w:t>
      </w:r>
      <w:r w:rsidR="00C248F1">
        <w:rPr>
          <w:i/>
          <w:lang w:val="fr-FR"/>
        </w:rPr>
        <w:t>’</w:t>
      </w:r>
      <w:r w:rsidRPr="008B203E">
        <w:rPr>
          <w:i/>
          <w:lang w:val="fr-FR"/>
        </w:rPr>
        <w:t xml:space="preserve">annexe 3, </w:t>
      </w:r>
    </w:p>
    <w:p w14:paraId="0C832346" w14:textId="77777777" w:rsidR="00A54CC1" w:rsidRPr="008B203E" w:rsidRDefault="00AE65D4" w:rsidP="008B203E">
      <w:pPr>
        <w:pStyle w:val="SingleTxtG"/>
        <w:rPr>
          <w:lang w:val="fr-FR"/>
        </w:rPr>
      </w:pPr>
      <w:r w:rsidRPr="008B203E">
        <w:rPr>
          <w:i/>
          <w:lang w:val="fr-FR"/>
        </w:rPr>
        <w:t>Figure 4</w:t>
      </w:r>
      <w:r w:rsidRPr="00101B9B">
        <w:rPr>
          <w:i/>
          <w:iCs/>
          <w:lang w:val="fr-FR"/>
        </w:rPr>
        <w:t>, titre</w:t>
      </w:r>
      <w:r w:rsidRPr="008B203E">
        <w:rPr>
          <w:lang w:val="fr-FR"/>
        </w:rPr>
        <w:t>, lire :</w:t>
      </w:r>
    </w:p>
    <w:p w14:paraId="1DECECA1" w14:textId="77777777" w:rsidR="00F9573C" w:rsidRDefault="00AE65D4" w:rsidP="00101B9B">
      <w:pPr>
        <w:pStyle w:val="SingleTxtG"/>
        <w:jc w:val="left"/>
        <w:rPr>
          <w:lang w:val="fr-FR"/>
        </w:rPr>
      </w:pPr>
      <w:r w:rsidRPr="008B203E">
        <w:rPr>
          <w:lang w:val="fr-FR"/>
        </w:rPr>
        <w:t>« Figure 4</w:t>
      </w:r>
      <w:r w:rsidRPr="008B203E">
        <w:rPr>
          <w:lang w:val="fr-FR"/>
        </w:rPr>
        <w:br/>
        <w:t>Bruit de fond et paramètre sonore ».</w:t>
      </w:r>
    </w:p>
    <w:p w14:paraId="253E98CF" w14:textId="77777777" w:rsidR="00A54CC1" w:rsidRPr="008B203E" w:rsidRDefault="00AE65D4" w:rsidP="00101B9B">
      <w:pPr>
        <w:pStyle w:val="SingleTxtG"/>
        <w:keepNext/>
        <w:keepLines/>
        <w:rPr>
          <w:iCs/>
          <w:lang w:val="fr-FR"/>
        </w:rPr>
      </w:pPr>
      <w:r w:rsidRPr="008B203E">
        <w:rPr>
          <w:i/>
          <w:lang w:val="fr-FR"/>
        </w:rPr>
        <w:lastRenderedPageBreak/>
        <w:t>Figure 7b</w:t>
      </w:r>
      <w:r w:rsidRPr="008B203E">
        <w:rPr>
          <w:lang w:val="fr-FR"/>
        </w:rPr>
        <w:t xml:space="preserve">, </w:t>
      </w:r>
      <w:r w:rsidRPr="008B203E">
        <w:rPr>
          <w:iCs/>
          <w:lang w:val="fr-FR"/>
        </w:rPr>
        <w:t>lire :</w:t>
      </w:r>
    </w:p>
    <w:p w14:paraId="6D78F924" w14:textId="77777777" w:rsidR="008B203E" w:rsidRDefault="00AE65D4" w:rsidP="00F37D2E">
      <w:pPr>
        <w:pStyle w:val="SingleTxtG"/>
        <w:keepNext/>
        <w:keepLines/>
        <w:spacing w:after="240"/>
        <w:jc w:val="left"/>
        <w:rPr>
          <w:lang w:val="fr-FR"/>
        </w:rPr>
      </w:pPr>
      <w:r w:rsidRPr="008B203E">
        <w:rPr>
          <w:lang w:val="fr-FR"/>
        </w:rPr>
        <w:t>« Figure 7b</w:t>
      </w:r>
      <w:r w:rsidRPr="008B203E">
        <w:rPr>
          <w:lang w:val="fr-FR"/>
        </w:rPr>
        <w:br/>
        <w:t>Procédure d</w:t>
      </w:r>
      <w:r w:rsidR="00C248F1">
        <w:rPr>
          <w:lang w:val="fr-FR"/>
        </w:rPr>
        <w:t>’</w:t>
      </w:r>
      <w:r w:rsidRPr="008B203E">
        <w:rPr>
          <w:lang w:val="fr-FR"/>
        </w:rPr>
        <w:t>essai pour la mesure du changement de fréquence − méthode A</w:t>
      </w:r>
    </w:p>
    <w:p w14:paraId="54FABFE8" w14:textId="77777777" w:rsidR="008B203E" w:rsidRDefault="001E2EB6" w:rsidP="00F37D2E">
      <w:pPr>
        <w:keepNext/>
        <w:keepLines/>
        <w:ind w:left="2552"/>
        <w:rPr>
          <w:lang w:val="fr-FR"/>
        </w:rPr>
      </w:pPr>
      <w:r w:rsidRPr="00A54CC1">
        <w:rPr>
          <w:noProof/>
        </w:rPr>
        <mc:AlternateContent>
          <mc:Choice Requires="wpg">
            <w:drawing>
              <wp:inline distT="0" distB="0" distL="0" distR="0" wp14:anchorId="45E264B8" wp14:editId="193EC315">
                <wp:extent cx="3124800" cy="5958000"/>
                <wp:effectExtent l="0" t="0" r="19050" b="24130"/>
                <wp:docPr id="4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00" cy="5958000"/>
                          <a:chOff x="0" y="0"/>
                          <a:chExt cx="3124276" cy="5958916"/>
                        </a:xfrm>
                      </wpg:grpSpPr>
                      <wps:wsp>
                        <wps:cNvPr id="42" name="Flowchart: Process 25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3124274" cy="89419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3AC15" w14:textId="77777777" w:rsidR="001E2EB6" w:rsidRPr="008B203E" w:rsidRDefault="001E2EB6" w:rsidP="00E60B04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Prendre quatre mesures à chaque vitesse spécifiée au 4.3.1. Enregistrer les données pour chaque mesure </w:t>
                              </w:r>
                              <w:r w:rsidR="00E60B0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3173">
                                <w:rPr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entre 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AA</w:t>
                              </w:r>
                              <w:r w:rsidR="00E60B0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et -1 m avant PP</w:t>
                              </w:r>
                              <w:r w:rsidR="00E60B0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(4.4.1)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lowchart: Process 256"/>
                        <wps:cNvSpPr>
                          <a:spLocks noChangeArrowheads="1"/>
                        </wps:cNvSpPr>
                        <wps:spPr bwMode="auto">
                          <a:xfrm>
                            <a:off x="1" y="2190836"/>
                            <a:ext cx="3124275" cy="67120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3CC3C" w14:textId="77777777" w:rsidR="001E2EB6" w:rsidRPr="00973173" w:rsidRDefault="001E2EB6" w:rsidP="00101B9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Utiliser une fenêtre 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Hanning et un recouvrement de 66,6 %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au moins pour calculer un spectre de puissance selon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les paramètres de l’analyseur (voir le 4.2)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lowchart: Process 257"/>
                        <wps:cNvSpPr>
                          <a:spLocks noChangeArrowheads="1"/>
                        </wps:cNvSpPr>
                        <wps:spPr bwMode="auto">
                          <a:xfrm>
                            <a:off x="1" y="3126500"/>
                            <a:ext cx="3124275" cy="115216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C3A22" w14:textId="77777777" w:rsidR="001E2EB6" w:rsidRPr="00973173" w:rsidRDefault="001E2EB6" w:rsidP="00E60B04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Calculer les </w:t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spectres finaux en faisant la moyenne mathématique de la fréquence déterminée par échantillon. Calculer la vitesse 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du véhicule en faisant la moyenne mathématique des vitesses mesurées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lowchart: Process 258"/>
                        <wps:cNvSpPr>
                          <a:spLocks noChangeArrowheads="1"/>
                        </wps:cNvSpPr>
                        <wps:spPr bwMode="auto">
                          <a:xfrm>
                            <a:off x="1" y="4549459"/>
                            <a:ext cx="3124275" cy="5143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9C3DE" w14:textId="77777777" w:rsidR="001E2EB6" w:rsidRPr="00973173" w:rsidRDefault="001E2EB6" w:rsidP="00101B9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Noter la vitesse du véhicule et les données de fréquence </w:t>
                              </w:r>
                              <w:r w:rsidR="00A052D6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pour chaque vitesse d’essai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lowchart: Process 260"/>
                        <wps:cNvSpPr>
                          <a:spLocks noChangeArrowheads="1"/>
                        </wps:cNvSpPr>
                        <wps:spPr bwMode="auto">
                          <a:xfrm>
                            <a:off x="1" y="5358810"/>
                            <a:ext cx="3124275" cy="6001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7A0B4" w14:textId="77777777" w:rsidR="001E2EB6" w:rsidRPr="00973173" w:rsidRDefault="001E2EB6" w:rsidP="00101B9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Calculer le changement de fréquence selon l’équation 1 </w:t>
                              </w:r>
                              <w:r w:rsidR="00A052D6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(voir le paragraphe 4.5.1), puis le n</w:t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oter </w:t>
                              </w:r>
                              <w:r w:rsidR="00A052D6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dans le tableau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5 du 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paragraphe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4.5.1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直線矢印コネクタ 16"/>
                        <wps:cNvCnPr/>
                        <wps:spPr>
                          <a:xfrm>
                            <a:off x="1562138" y="894190"/>
                            <a:ext cx="0" cy="283733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直線矢印コネクタ 17"/>
                        <wps:cNvCnPr/>
                        <wps:spPr>
                          <a:xfrm>
                            <a:off x="1562139" y="2862043"/>
                            <a:ext cx="0" cy="26445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直線矢印コネクタ 18"/>
                        <wps:cNvCnPr/>
                        <wps:spPr>
                          <a:xfrm>
                            <a:off x="1562139" y="4278660"/>
                            <a:ext cx="0" cy="27079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直線矢印コネクタ 19"/>
                        <wps:cNvCnPr/>
                        <wps:spPr>
                          <a:xfrm>
                            <a:off x="1562139" y="5063764"/>
                            <a:ext cx="0" cy="29504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Flowchart: Process 254"/>
                        <wps:cNvSpPr>
                          <a:spLocks noChangeArrowheads="1"/>
                        </wps:cNvSpPr>
                        <wps:spPr bwMode="auto">
                          <a:xfrm>
                            <a:off x="0" y="1177923"/>
                            <a:ext cx="3124275" cy="72440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25195" w14:textId="77777777" w:rsidR="001E2EB6" w:rsidRPr="00892643" w:rsidRDefault="001E2EB6" w:rsidP="00101B9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17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Utiliser les données du microphone gau</w:t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che </w:t>
                              </w:r>
                              <w:r w:rsidR="00E60B04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892643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et du microphone droit pour une analyse complémentaire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直線矢印コネクタ 16"/>
                        <wps:cNvCnPr/>
                        <wps:spPr>
                          <a:xfrm>
                            <a:off x="1562138" y="1902330"/>
                            <a:ext cx="1" cy="28850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264B8" id="Gruppieren 1" o:spid="_x0000_s1026" style="width:246.05pt;height:469.15pt;mso-position-horizontal-relative:char;mso-position-vertical-relative:line" coordsize="31242,5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3" o:spid="_x0000_s1027" type="#_x0000_t109" style="position:absolute;width:31242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" fillcolor="window" strokecolor="windowText" strokeweight="1pt">
                  <v:textbox>
                    <w:txbxContent>
                      <w:p w14:paraId="6FA3AC15" w14:textId="77777777" w:rsidR="001E2EB6" w:rsidRPr="008B203E" w:rsidRDefault="001E2EB6" w:rsidP="00E60B04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Prendre quatre mesures à chaque vitesse spécifiée au 4.3.1. Enregistrer les données pour chaque mesure </w:t>
                        </w:r>
                        <w:r w:rsidR="00E60B04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3173">
                          <w:rPr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entre 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AA</w:t>
                        </w:r>
                        <w:r w:rsidR="00E60B04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’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et -1 m avant PP</w:t>
                        </w:r>
                        <w:r w:rsidR="00E60B04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’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(4.4.1)</w:t>
                        </w:r>
                      </w:p>
                    </w:txbxContent>
                  </v:textbox>
                </v:shape>
                <v:shape id="Flowchart: Process 256" o:spid="_x0000_s1028" type="#_x0000_t109" style="position:absolute;top:21908;width:31242;height:6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" fillcolor="window" strokecolor="windowText" strokeweight="1pt">
                  <v:textbox>
                    <w:txbxContent>
                      <w:p w14:paraId="2573CC3C" w14:textId="77777777" w:rsidR="001E2EB6" w:rsidRPr="00973173" w:rsidRDefault="001E2EB6" w:rsidP="00101B9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Utiliser une fenêtre 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Hanning et un recouvrement de 66,6 % 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au moins pour calculer un spectre de puissance selon 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les paramètres de l’analyseur (voir le 4.2) </w:t>
                        </w:r>
                      </w:p>
                    </w:txbxContent>
                  </v:textbox>
                </v:shape>
                <v:shape id="Flowchart: Process 257" o:spid="_x0000_s1029" type="#_x0000_t109" style="position:absolute;top:31265;width:31242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" fillcolor="window" strokecolor="windowText" strokeweight="1pt">
                  <v:textbox>
                    <w:txbxContent>
                      <w:p w14:paraId="44FC3A22" w14:textId="77777777" w:rsidR="001E2EB6" w:rsidRPr="00973173" w:rsidRDefault="001E2EB6" w:rsidP="00E60B04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Calculer les </w:t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spectres finaux en faisant la moyenne mathématique de la fréquence déterminée par échantillon. Calculer la vitesse 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du véhicule en faisant la moyenne mathématique des vitesses mesurées</w:t>
                        </w:r>
                      </w:p>
                    </w:txbxContent>
                  </v:textbox>
                </v:shape>
                <v:shape id="Flowchart: Process 258" o:spid="_x0000_s1030" type="#_x0000_t109" style="position:absolute;top:45494;width:3124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" fillcolor="window" strokecolor="windowText" strokeweight="1pt">
                  <v:textbox>
                    <w:txbxContent>
                      <w:p w14:paraId="4399C3DE" w14:textId="77777777" w:rsidR="001E2EB6" w:rsidRPr="00973173" w:rsidRDefault="001E2EB6" w:rsidP="00101B9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Noter la vitesse du véhicule et les données de fréquence </w:t>
                        </w:r>
                        <w:r w:rsidR="00A052D6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pour chaque vitesse d’essai</w:t>
                        </w:r>
                      </w:p>
                    </w:txbxContent>
                  </v:textbox>
                </v:shape>
                <v:shape id="Flowchart: Process 260" o:spid="_x0000_s1031" type="#_x0000_t109" style="position:absolute;top:53588;width:3124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" fillcolor="window" strokecolor="windowText" strokeweight="1pt">
                  <v:textbox>
                    <w:txbxContent>
                      <w:p w14:paraId="6767A0B4" w14:textId="77777777" w:rsidR="001E2EB6" w:rsidRPr="00973173" w:rsidRDefault="001E2EB6" w:rsidP="00101B9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Calculer le changement de fréquence selon l’équation 1 </w:t>
                        </w:r>
                        <w:r w:rsidR="00A052D6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(voir le paragraphe 4.5.1), puis le n</w:t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oter </w:t>
                        </w:r>
                        <w:r w:rsidR="00A052D6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dans le tableau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5 du 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paragraphe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4.5.1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32" type="#_x0000_t32" style="position:absolute;left:15621;top:8941;width:0;height:2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" strokecolor="windowText" strokeweight="2.25pt">
                  <v:stroke endarrow="block"/>
                </v:shape>
                <v:shape id="直線矢印コネクタ 17" o:spid="_x0000_s1033" type="#_x0000_t32" style="position:absolute;left:15621;top:28620;width:0;height:2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" strokecolor="windowText" strokeweight="2.25pt">
                  <v:stroke endarrow="block"/>
                </v:shape>
                <v:shape id="直線矢印コネクタ 18" o:spid="_x0000_s1034" type="#_x0000_t32" style="position:absolute;left:15621;top:42786;width:0;height:2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" strokecolor="windowText" strokeweight="2.25pt">
                  <v:stroke endarrow="block"/>
                </v:shape>
                <v:shape id="直線矢印コネクタ 19" o:spid="_x0000_s1035" type="#_x0000_t32" style="position:absolute;left:15621;top:50637;width:0;height:2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" strokecolor="windowText" strokeweight="2.25pt">
                  <v:stroke endarrow="block"/>
                </v:shape>
                <v:shape id="Flowchart: Process 254" o:spid="_x0000_s1036" type="#_x0000_t109" style="position:absolute;top:11779;width:31242;height:7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" fillcolor="window" strokecolor="windowText" strokeweight="1pt">
                  <v:textbox>
                    <w:txbxContent>
                      <w:p w14:paraId="76025195" w14:textId="77777777" w:rsidR="001E2EB6" w:rsidRPr="00892643" w:rsidRDefault="001E2EB6" w:rsidP="00101B9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97317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Utiliser les données du microphone gau</w:t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che </w:t>
                        </w:r>
                        <w:r w:rsidR="00E60B04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892643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et du microphone droit pour une analyse complémentaire</w:t>
                        </w:r>
                      </w:p>
                    </w:txbxContent>
                  </v:textbox>
                </v:shape>
                <v:shape id="直線矢印コネクタ 16" o:spid="_x0000_s1037" type="#_x0000_t32" style="position:absolute;left:15621;top:19023;width:0;height:2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" strokecolor="windowText" strokeweight="2.25pt">
                  <v:stroke endarrow="block"/>
                </v:shape>
                <w10:anchorlock/>
              </v:group>
            </w:pict>
          </mc:Fallback>
        </mc:AlternateContent>
      </w:r>
    </w:p>
    <w:p w14:paraId="32A0FB6D" w14:textId="77777777" w:rsidR="00F37D2E" w:rsidRDefault="00F37D2E" w:rsidP="00F37D2E">
      <w:pPr>
        <w:pStyle w:val="SingleTxtG"/>
        <w:jc w:val="right"/>
      </w:pPr>
      <w:r w:rsidRPr="00D46BDF">
        <w:rPr>
          <w:lang w:val="fr-FR"/>
        </w:rPr>
        <w:t> ».</w:t>
      </w:r>
    </w:p>
    <w:p w14:paraId="64DA5DC3" w14:textId="77777777" w:rsidR="00A24FC2" w:rsidRPr="00A54CC1" w:rsidRDefault="00A24FC2" w:rsidP="00F37D2E">
      <w:pPr>
        <w:pStyle w:val="SingleTxtG"/>
        <w:keepNext/>
        <w:keepLines/>
        <w:rPr>
          <w:iCs/>
          <w:lang w:val="fr-FR"/>
        </w:rPr>
      </w:pPr>
      <w:r>
        <w:br w:type="page"/>
      </w:r>
      <w:r w:rsidRPr="00A54CC1">
        <w:rPr>
          <w:i/>
          <w:lang w:val="fr-FR"/>
        </w:rPr>
        <w:lastRenderedPageBreak/>
        <w:t>Figure 7c</w:t>
      </w:r>
      <w:r w:rsidRPr="00A54CC1">
        <w:rPr>
          <w:iCs/>
          <w:lang w:val="fr-FR"/>
        </w:rPr>
        <w:t>, lire :</w:t>
      </w:r>
    </w:p>
    <w:p w14:paraId="284BE186" w14:textId="77777777" w:rsidR="008B203E" w:rsidRDefault="00A24FC2" w:rsidP="00F37D2E">
      <w:pPr>
        <w:pStyle w:val="SingleTxtG"/>
        <w:keepNext/>
        <w:keepLines/>
        <w:spacing w:after="240"/>
        <w:jc w:val="left"/>
        <w:rPr>
          <w:lang w:val="fr-FR"/>
        </w:rPr>
      </w:pPr>
      <w:r w:rsidRPr="00A54CC1">
        <w:rPr>
          <w:lang w:val="fr-FR"/>
        </w:rPr>
        <w:t>« Figure 7c</w:t>
      </w:r>
      <w:r w:rsidR="00F37D2E">
        <w:rPr>
          <w:lang w:val="fr-FR"/>
        </w:rPr>
        <w:t xml:space="preserve"> </w:t>
      </w:r>
      <w:r w:rsidR="00F37D2E">
        <w:rPr>
          <w:lang w:val="fr-FR"/>
        </w:rPr>
        <w:br/>
      </w:r>
      <w:r w:rsidRPr="00A54CC1">
        <w:rPr>
          <w:lang w:val="fr-FR"/>
        </w:rPr>
        <w:t>Procédure d</w:t>
      </w:r>
      <w:r w:rsidR="00C248F1">
        <w:rPr>
          <w:lang w:val="fr-FR"/>
        </w:rPr>
        <w:t>’</w:t>
      </w:r>
      <w:r w:rsidRPr="00A54CC1">
        <w:rPr>
          <w:lang w:val="fr-FR"/>
        </w:rPr>
        <w:t>essai pour la mesure du changement de fréquence − méthodes B, C, D et E</w:t>
      </w:r>
    </w:p>
    <w:p w14:paraId="0217A9CD" w14:textId="77777777" w:rsidR="005734DB" w:rsidRDefault="005734DB" w:rsidP="00F37D2E">
      <w:pPr>
        <w:ind w:left="2552"/>
        <w:rPr>
          <w:lang w:val="fr-FR"/>
        </w:rPr>
      </w:pPr>
      <w:r w:rsidRPr="00A54CC1">
        <w:rPr>
          <w:noProof/>
        </w:rPr>
        <mc:AlternateContent>
          <mc:Choice Requires="wpg">
            <w:drawing>
              <wp:inline distT="0" distB="0" distL="0" distR="0" wp14:anchorId="17CEC71C" wp14:editId="72B945C6">
                <wp:extent cx="3124226" cy="3984613"/>
                <wp:effectExtent l="0" t="0" r="19050" b="16510"/>
                <wp:docPr id="64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26" cy="3984613"/>
                          <a:chOff x="0" y="0"/>
                          <a:chExt cx="3124226" cy="3984613"/>
                        </a:xfrm>
                      </wpg:grpSpPr>
                      <wps:wsp>
                        <wps:cNvPr id="65" name="Flowchart: Process 2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25" cy="83135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F03AD" w14:textId="77777777" w:rsidR="005734DB" w:rsidRPr="002D5070" w:rsidRDefault="005734DB" w:rsidP="005734D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Prendre une mesure à chaque vitesse spécifiée au 4.3.2, </w:t>
                              </w:r>
                              <w:r w:rsidR="00A052D6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4.3.3 ou 4.3.4, selon la méthode choisie.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Enregistrer cinq secondes de données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pour chaque mesure (4.4.2)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lowchart: Process 274"/>
                        <wps:cNvSpPr>
                          <a:spLocks noChangeArrowheads="1"/>
                        </wps:cNvSpPr>
                        <wps:spPr bwMode="auto">
                          <a:xfrm>
                            <a:off x="1" y="1872260"/>
                            <a:ext cx="3124225" cy="58207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E8E6F" w14:textId="77777777" w:rsidR="005734DB" w:rsidRPr="00486D80" w:rsidRDefault="005734DB" w:rsidP="005734DB">
                              <w:pPr>
                                <w:spacing w:line="180" w:lineRule="exact"/>
                                <w:jc w:val="center"/>
                                <w:textAlignment w:val="baseline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Utiliser une fenêtre </w:t>
                              </w: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Hanning et un recouvrement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de 66,6 % au moins pour calculer un spectre de puissance </w:t>
                              </w: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selon les paramètres de l’analyseur </w:t>
                              </w:r>
                            </w:p>
                            <w:p w14:paraId="604B2DA9" w14:textId="77777777" w:rsidR="005734DB" w:rsidRPr="00486D80" w:rsidRDefault="005734DB" w:rsidP="005734DB">
                              <w:pPr>
                                <w:spacing w:line="18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(voir le 4.2)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lowchart: Process 277"/>
                        <wps:cNvSpPr>
                          <a:spLocks noChangeArrowheads="1"/>
                        </wps:cNvSpPr>
                        <wps:spPr bwMode="auto">
                          <a:xfrm>
                            <a:off x="1" y="2654103"/>
                            <a:ext cx="3124225" cy="51433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69FB9" w14:textId="77777777" w:rsidR="005734DB" w:rsidRPr="00486D80" w:rsidRDefault="005734DB" w:rsidP="005734DB">
                              <w:pPr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Noter la vitesse du véhicule et les données de fréquence </w:t>
                              </w:r>
                              <w:r w:rsidR="00A052D6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486D8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pour chaque vitesse d’essai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lowchart: Process 278"/>
                        <wps:cNvSpPr>
                          <a:spLocks noChangeArrowheads="1"/>
                        </wps:cNvSpPr>
                        <wps:spPr bwMode="auto">
                          <a:xfrm>
                            <a:off x="1" y="3384470"/>
                            <a:ext cx="3124225" cy="60014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1C969" w14:textId="77777777" w:rsidR="005734DB" w:rsidRPr="00486D80" w:rsidRDefault="005734DB" w:rsidP="005734DB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D80">
                                <w:rPr>
                                  <w:sz w:val="18"/>
                                  <w:szCs w:val="18"/>
                                </w:rPr>
                                <w:t xml:space="preserve">Calculer le changement de fréquence selon l’équation 1 </w:t>
                              </w:r>
                              <w:r w:rsidRPr="00486D80">
                                <w:rPr>
                                  <w:sz w:val="18"/>
                                  <w:szCs w:val="18"/>
                                </w:rPr>
                                <w:br/>
                                <w:t>(voir le 4.5.1), puis le noter dan</w:t>
                              </w:r>
                              <w:r w:rsidRPr="00691A52">
                                <w:rPr>
                                  <w:sz w:val="18"/>
                                  <w:szCs w:val="18"/>
                                </w:rPr>
                                <w:t>s le tableau 5 du 4.5</w:t>
                              </w:r>
                              <w:r w:rsidRPr="00486D80"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直線矢印コネクタ 15"/>
                        <wps:cNvCnPr/>
                        <wps:spPr>
                          <a:xfrm>
                            <a:off x="1562113" y="831356"/>
                            <a:ext cx="0" cy="23715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直線矢印コネクタ 16"/>
                        <wps:cNvCnPr/>
                        <wps:spPr>
                          <a:xfrm>
                            <a:off x="1562114" y="2454333"/>
                            <a:ext cx="0" cy="19977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直線矢印コネクタ 17"/>
                        <wps:cNvCnPr/>
                        <wps:spPr>
                          <a:xfrm>
                            <a:off x="1562114" y="3168440"/>
                            <a:ext cx="0" cy="2160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Flowchart: Process 272"/>
                        <wps:cNvSpPr>
                          <a:spLocks noChangeArrowheads="1"/>
                        </wps:cNvSpPr>
                        <wps:spPr bwMode="auto">
                          <a:xfrm>
                            <a:off x="0" y="1068513"/>
                            <a:ext cx="3124225" cy="58771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B6708" w14:textId="77777777" w:rsidR="005734DB" w:rsidRPr="002D5070" w:rsidRDefault="005734DB" w:rsidP="00A052D6">
                              <w:pPr>
                                <w:spacing w:before="120" w:line="196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Utiliser les données du microphone gauche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B36989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et du microphone droit pour une an</w:t>
                              </w:r>
                              <w:r w:rsidRPr="002D5070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alyse complémentaire </w:t>
                              </w:r>
                            </w:p>
                          </w:txbxContent>
                        </wps:txbx>
                        <wps:bodyPr vert="horz" wrap="square" lIns="0" tIns="3600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直線矢印コネクタ 15"/>
                        <wps:cNvCnPr/>
                        <wps:spPr>
                          <a:xfrm>
                            <a:off x="1562113" y="1656230"/>
                            <a:ext cx="1" cy="2160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EC71C" id="Gruppieren 7" o:spid="_x0000_s1038" style="width:246pt;height:313.75pt;mso-position-horizontal-relative:char;mso-position-vertical-relative:line" coordsize="31242,3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">
                <v:shape id="Flowchart: Process 271" o:spid="_x0000_s1039" type="#_x0000_t109" style="position:absolute;width:31242;height: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" fillcolor="window" strokecolor="windowText" strokeweight="1pt">
                  <v:textbox>
                    <w:txbxContent>
                      <w:p w14:paraId="7FEF03AD" w14:textId="77777777" w:rsidR="005734DB" w:rsidRPr="002D5070" w:rsidRDefault="005734DB" w:rsidP="005734D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Prendre une mesure à chaque vitesse spécifiée au 4.3.2, </w:t>
                        </w:r>
                        <w:r w:rsidR="00A052D6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4.3.3 ou 4.3.4, selon la méthode choisie.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Enregistrer cinq secondes de données 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pour chaque mesure (4.4.2)</w:t>
                        </w:r>
                      </w:p>
                    </w:txbxContent>
                  </v:textbox>
                </v:shape>
                <v:shape id="Flowchart: Process 274" o:spid="_x0000_s1040" type="#_x0000_t109" style="position:absolute;top:18722;width:312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" fillcolor="window" strokecolor="windowText" strokeweight="1pt">
                  <v:textbox>
                    <w:txbxContent>
                      <w:p w14:paraId="651E8E6F" w14:textId="77777777" w:rsidR="005734DB" w:rsidRPr="00486D80" w:rsidRDefault="005734DB" w:rsidP="005734DB">
                        <w:pPr>
                          <w:spacing w:line="180" w:lineRule="exact"/>
                          <w:jc w:val="center"/>
                          <w:textAlignment w:val="baseline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Utiliser une fenêtre </w:t>
                        </w: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Hanning et un recouvrement 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de 66,6 % au moins pour calculer un spectre de puissance </w:t>
                        </w: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 xml:space="preserve">selon les paramètres de l’analyseur </w:t>
                        </w:r>
                      </w:p>
                      <w:p w14:paraId="604B2DA9" w14:textId="77777777" w:rsidR="005734DB" w:rsidRPr="00486D80" w:rsidRDefault="005734DB" w:rsidP="005734DB">
                        <w:pPr>
                          <w:spacing w:line="18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(voir le 4.2)</w:t>
                        </w:r>
                      </w:p>
                    </w:txbxContent>
                  </v:textbox>
                </v:shape>
                <v:shape id="Flowchart: Process 277" o:spid="_x0000_s1041" type="#_x0000_t109" style="position:absolute;top:26541;width:3124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" fillcolor="window" strokecolor="windowText" strokeweight="1pt">
                  <v:textbox>
                    <w:txbxContent>
                      <w:p w14:paraId="53769FB9" w14:textId="77777777" w:rsidR="005734DB" w:rsidRPr="00486D80" w:rsidRDefault="005734DB" w:rsidP="005734DB">
                        <w:pPr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Noter la vitesse du véhicule et les données de fréquence </w:t>
                        </w:r>
                        <w:r w:rsidR="00A052D6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486D8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pour chaque vitesse d’essai</w:t>
                        </w:r>
                      </w:p>
                    </w:txbxContent>
                  </v:textbox>
                </v:shape>
                <v:shape id="Flowchart: Process 278" o:spid="_x0000_s1042" type="#_x0000_t109" style="position:absolute;top:33844;width:31242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" fillcolor="window" strokecolor="windowText" strokeweight="1pt">
                  <v:textbox>
                    <w:txbxContent>
                      <w:p w14:paraId="3CC1C969" w14:textId="77777777" w:rsidR="005734DB" w:rsidRPr="00486D80" w:rsidRDefault="005734DB" w:rsidP="005734DB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D80">
                          <w:rPr>
                            <w:sz w:val="18"/>
                            <w:szCs w:val="18"/>
                          </w:rPr>
                          <w:t xml:space="preserve">Calculer le changement de fréquence selon l’équation 1 </w:t>
                        </w:r>
                        <w:r w:rsidRPr="00486D80">
                          <w:rPr>
                            <w:sz w:val="18"/>
                            <w:szCs w:val="18"/>
                          </w:rPr>
                          <w:br/>
                          <w:t>(voir le 4.5.1), puis le noter dan</w:t>
                        </w:r>
                        <w:r w:rsidRPr="00691A52">
                          <w:rPr>
                            <w:sz w:val="18"/>
                            <w:szCs w:val="18"/>
                          </w:rPr>
                          <w:t>s le tableau 5 du 4.5</w:t>
                        </w:r>
                        <w:r w:rsidRPr="00486D80">
                          <w:rPr>
                            <w:sz w:val="18"/>
                            <w:szCs w:val="18"/>
                          </w:rPr>
                          <w:t>.1</w:t>
                        </w:r>
                      </w:p>
                    </w:txbxContent>
                  </v:textbox>
                </v:shape>
                <v:shape id="直線矢印コネクタ 15" o:spid="_x0000_s1043" type="#_x0000_t32" style="position:absolute;left:15621;top:8313;width:0;height:2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" strokecolor="windowText" strokeweight="2.25pt">
                  <v:stroke endarrow="block"/>
                </v:shape>
                <v:shape id="直線矢印コネクタ 16" o:spid="_x0000_s1044" type="#_x0000_t32" style="position:absolute;left:15621;top:24543;width:0;height:1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" strokecolor="windowText" strokeweight="2.25pt">
                  <v:stroke endarrow="block"/>
                </v:shape>
                <v:shape id="直線矢印コネクタ 17" o:spid="_x0000_s1045" type="#_x0000_t32" style="position:absolute;left:15621;top:31684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" strokecolor="windowText" strokeweight="2.25pt">
                  <v:stroke endarrow="block"/>
                </v:shape>
                <v:shape id="Flowchart: Process 272" o:spid="_x0000_s1046" type="#_x0000_t109" style="position:absolute;top:10685;width:31242;height: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" fillcolor="window" strokecolor="windowText" strokeweight="1pt">
                  <v:textbox inset="0,1mm,0,0">
                    <w:txbxContent>
                      <w:p w14:paraId="6C7B6708" w14:textId="77777777" w:rsidR="005734DB" w:rsidRPr="002D5070" w:rsidRDefault="005734DB" w:rsidP="00A052D6">
                        <w:pPr>
                          <w:spacing w:before="120" w:line="196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Utiliser les données du microphone gauche </w:t>
                        </w: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B36989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et du microphone droit pour une an</w:t>
                        </w:r>
                        <w:r w:rsidRPr="002D5070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alyse complémentaire </w:t>
                        </w:r>
                      </w:p>
                    </w:txbxContent>
                  </v:textbox>
                </v:shape>
                <v:shape id="直線矢印コネクタ 15" o:spid="_x0000_s1047" type="#_x0000_t32" style="position:absolute;left:15621;top:16562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" strokecolor="windowText" strokeweight="2.25pt">
                  <v:stroke endarrow="block"/>
                </v:shape>
                <w10:anchorlock/>
              </v:group>
            </w:pict>
          </mc:Fallback>
        </mc:AlternateContent>
      </w:r>
    </w:p>
    <w:p w14:paraId="60D9C1F6" w14:textId="77777777" w:rsidR="00A24FC2" w:rsidRDefault="00D46BDF" w:rsidP="00F37D2E">
      <w:pPr>
        <w:pStyle w:val="SingleTxtG"/>
        <w:jc w:val="right"/>
        <w:rPr>
          <w:lang w:val="fr-FR"/>
        </w:rPr>
      </w:pPr>
      <w:r w:rsidRPr="00D46BDF">
        <w:rPr>
          <w:lang w:val="fr-FR"/>
        </w:rPr>
        <w:t> ».</w:t>
      </w:r>
    </w:p>
    <w:p w14:paraId="1CF2E5D2" w14:textId="77777777" w:rsidR="00E60B04" w:rsidRPr="00E60B04" w:rsidRDefault="00E60B04" w:rsidP="00E60B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0B04" w:rsidRPr="00E60B04" w:rsidSect="00A615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E158" w14:textId="77777777" w:rsidR="00832EC9" w:rsidRDefault="00832EC9" w:rsidP="00F95C08">
      <w:pPr>
        <w:spacing w:line="240" w:lineRule="auto"/>
      </w:pPr>
    </w:p>
  </w:endnote>
  <w:endnote w:type="continuationSeparator" w:id="0">
    <w:p w14:paraId="3134A38A" w14:textId="77777777" w:rsidR="00832EC9" w:rsidRPr="00AC3823" w:rsidRDefault="00832EC9" w:rsidP="00AC3823">
      <w:pPr>
        <w:pStyle w:val="Footer"/>
      </w:pPr>
    </w:p>
  </w:endnote>
  <w:endnote w:type="continuationNotice" w:id="1">
    <w:p w14:paraId="0BA0BD5F" w14:textId="77777777" w:rsidR="00832EC9" w:rsidRDefault="00832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FF" w14:textId="77777777" w:rsidR="00A61529" w:rsidRPr="00A61529" w:rsidRDefault="00A61529" w:rsidP="00A61529">
    <w:pPr>
      <w:pStyle w:val="Footer"/>
      <w:tabs>
        <w:tab w:val="right" w:pos="9638"/>
      </w:tabs>
    </w:pPr>
    <w:r w:rsidRPr="00A61529">
      <w:rPr>
        <w:b/>
        <w:sz w:val="18"/>
      </w:rPr>
      <w:fldChar w:fldCharType="begin"/>
    </w:r>
    <w:r w:rsidRPr="00A61529">
      <w:rPr>
        <w:b/>
        <w:sz w:val="18"/>
      </w:rPr>
      <w:instrText xml:space="preserve"> PAGE  \* MERGEFORMAT </w:instrText>
    </w:r>
    <w:r w:rsidRPr="00A61529">
      <w:rPr>
        <w:b/>
        <w:sz w:val="18"/>
      </w:rPr>
      <w:fldChar w:fldCharType="separate"/>
    </w:r>
    <w:r w:rsidR="00104DA4">
      <w:rPr>
        <w:b/>
        <w:noProof/>
        <w:sz w:val="18"/>
      </w:rPr>
      <w:t>4</w:t>
    </w:r>
    <w:r w:rsidRPr="00A61529">
      <w:rPr>
        <w:b/>
        <w:sz w:val="18"/>
      </w:rPr>
      <w:fldChar w:fldCharType="end"/>
    </w:r>
    <w:r>
      <w:rPr>
        <w:b/>
        <w:sz w:val="18"/>
      </w:rPr>
      <w:tab/>
    </w:r>
    <w:r>
      <w:t>GE.19-06142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9C6A" w14:textId="77777777" w:rsidR="00A61529" w:rsidRPr="00A61529" w:rsidRDefault="00A61529" w:rsidP="00A61529">
    <w:pPr>
      <w:pStyle w:val="Footer"/>
      <w:tabs>
        <w:tab w:val="right" w:pos="9638"/>
      </w:tabs>
      <w:rPr>
        <w:b/>
        <w:sz w:val="18"/>
      </w:rPr>
    </w:pPr>
    <w:r>
      <w:t>GE.19-06142</w:t>
    </w:r>
    <w:r>
      <w:tab/>
    </w:r>
    <w:r w:rsidRPr="00A61529">
      <w:rPr>
        <w:b/>
        <w:sz w:val="18"/>
      </w:rPr>
      <w:fldChar w:fldCharType="begin"/>
    </w:r>
    <w:r w:rsidRPr="00A61529">
      <w:rPr>
        <w:b/>
        <w:sz w:val="18"/>
      </w:rPr>
      <w:instrText xml:space="preserve"> PAGE  \* MERGEFORMAT </w:instrText>
    </w:r>
    <w:r w:rsidRPr="00A61529">
      <w:rPr>
        <w:b/>
        <w:sz w:val="18"/>
      </w:rPr>
      <w:fldChar w:fldCharType="separate"/>
    </w:r>
    <w:r w:rsidR="00104DA4">
      <w:rPr>
        <w:b/>
        <w:noProof/>
        <w:sz w:val="18"/>
      </w:rPr>
      <w:t>5</w:t>
    </w:r>
    <w:r w:rsidRPr="00A615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44F3" w14:textId="77777777" w:rsidR="007F20FA" w:rsidRPr="00A61529" w:rsidRDefault="00A61529" w:rsidP="00A6152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65E9E473" wp14:editId="58EDFE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06142  (</w:t>
    </w:r>
    <w:proofErr w:type="gramEnd"/>
    <w:r>
      <w:rPr>
        <w:sz w:val="20"/>
      </w:rPr>
      <w:t>F)</w:t>
    </w:r>
    <w:r w:rsidR="00CE508D">
      <w:rPr>
        <w:sz w:val="20"/>
      </w:rPr>
      <w:t xml:space="preserve">    300419    010519</w:t>
    </w:r>
    <w:r>
      <w:rPr>
        <w:sz w:val="20"/>
      </w:rPr>
      <w:br/>
    </w:r>
    <w:r w:rsidRPr="00A61529">
      <w:rPr>
        <w:rFonts w:ascii="C39T30Lfz" w:hAnsi="C39T30Lfz"/>
        <w:sz w:val="56"/>
      </w:rPr>
      <w:t></w:t>
    </w:r>
    <w:r w:rsidRPr="00A61529">
      <w:rPr>
        <w:rFonts w:ascii="C39T30Lfz" w:hAnsi="C39T30Lfz"/>
        <w:sz w:val="56"/>
      </w:rPr>
      <w:t></w:t>
    </w:r>
    <w:r w:rsidRPr="00A61529">
      <w:rPr>
        <w:rFonts w:ascii="C39T30Lfz" w:hAnsi="C39T30Lfz"/>
        <w:sz w:val="56"/>
      </w:rPr>
      <w:t></w:t>
    </w:r>
    <w:r w:rsidRPr="00A61529">
      <w:rPr>
        <w:rFonts w:ascii="C39T30Lfz" w:hAnsi="C39T30Lfz"/>
        <w:sz w:val="56"/>
      </w:rPr>
      <w:t></w:t>
    </w:r>
    <w:r w:rsidRPr="00A61529">
      <w:rPr>
        <w:rFonts w:ascii="C39T30Lfz" w:hAnsi="C39T30Lfz"/>
        <w:sz w:val="56"/>
      </w:rPr>
      <w:t></w:t>
    </w:r>
    <w:r w:rsidRPr="00A61529">
      <w:rPr>
        <w:rFonts w:ascii="C39T30Lfz" w:hAnsi="C39T30Lfz"/>
        <w:sz w:val="56"/>
      </w:rPr>
      <w:t></w:t>
    </w:r>
    <w:r w:rsidRPr="00A61529">
      <w:rPr>
        <w:rFonts w:ascii="C39T30Lfz" w:hAnsi="C39T30Lfz"/>
        <w:sz w:val="56"/>
      </w:rPr>
      <w:t></w:t>
    </w:r>
    <w:r w:rsidRPr="00A61529">
      <w:rPr>
        <w:rFonts w:ascii="C39T30Lfz" w:hAnsi="C39T30Lfz"/>
        <w:sz w:val="56"/>
      </w:rPr>
      <w:t></w:t>
    </w:r>
    <w:r w:rsidRPr="00A61529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3D47401E" wp14:editId="71739D8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BD82" w14:textId="77777777" w:rsidR="00832EC9" w:rsidRPr="00AC3823" w:rsidRDefault="00832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AF3806" w14:textId="77777777" w:rsidR="00832EC9" w:rsidRPr="00AC3823" w:rsidRDefault="00832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019A4E" w14:textId="77777777" w:rsidR="00832EC9" w:rsidRPr="00AC3823" w:rsidRDefault="00832EC9">
      <w:pPr>
        <w:spacing w:line="240" w:lineRule="auto"/>
        <w:rPr>
          <w:sz w:val="2"/>
          <w:szCs w:val="2"/>
        </w:rPr>
      </w:pPr>
    </w:p>
  </w:footnote>
  <w:footnote w:id="2">
    <w:p w14:paraId="7B6F540D" w14:textId="77777777" w:rsidR="001E2EB6" w:rsidRPr="001E2EB6" w:rsidRDefault="001E2EB6">
      <w:pPr>
        <w:pStyle w:val="FootnoteText"/>
      </w:pPr>
      <w:r>
        <w:rPr>
          <w:rStyle w:val="FootnoteReference"/>
        </w:rPr>
        <w:tab/>
      </w:r>
      <w:r w:rsidRPr="001E2EB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002AF">
        <w:rPr>
          <w:lang w:val="fr-FR"/>
        </w:rPr>
        <w:t xml:space="preserve">Conformément au programme de travail du Comité des transports intérieurs pour la période 2018-2019 (ECE/TRANS/274, </w:t>
      </w:r>
      <w:r w:rsidR="00C248F1">
        <w:rPr>
          <w:lang w:val="fr-FR"/>
        </w:rPr>
        <w:t>par. </w:t>
      </w:r>
      <w:r w:rsidRPr="002002AF"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5E51" w14:textId="2D663521" w:rsidR="00A61529" w:rsidRPr="00A61529" w:rsidRDefault="00AE65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DFB6" w14:textId="3A2BB26E" w:rsidR="00A61529" w:rsidRPr="00A61529" w:rsidRDefault="00AE65D4" w:rsidP="00A615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C9"/>
    <w:rsid w:val="00017F94"/>
    <w:rsid w:val="00023842"/>
    <w:rsid w:val="000334F9"/>
    <w:rsid w:val="00045FEB"/>
    <w:rsid w:val="0007796D"/>
    <w:rsid w:val="000B7790"/>
    <w:rsid w:val="00101B9B"/>
    <w:rsid w:val="00104DA4"/>
    <w:rsid w:val="00111F2F"/>
    <w:rsid w:val="0014365E"/>
    <w:rsid w:val="00143C66"/>
    <w:rsid w:val="00176178"/>
    <w:rsid w:val="00185069"/>
    <w:rsid w:val="001E2EB6"/>
    <w:rsid w:val="001F525A"/>
    <w:rsid w:val="00223272"/>
    <w:rsid w:val="0024779E"/>
    <w:rsid w:val="00251424"/>
    <w:rsid w:val="00257168"/>
    <w:rsid w:val="002744B8"/>
    <w:rsid w:val="002832AC"/>
    <w:rsid w:val="002D7C93"/>
    <w:rsid w:val="00305801"/>
    <w:rsid w:val="0031506E"/>
    <w:rsid w:val="003916DE"/>
    <w:rsid w:val="00421996"/>
    <w:rsid w:val="00441C3B"/>
    <w:rsid w:val="00446FE5"/>
    <w:rsid w:val="00452396"/>
    <w:rsid w:val="004837D8"/>
    <w:rsid w:val="004E2EED"/>
    <w:rsid w:val="004E468C"/>
    <w:rsid w:val="00535E7C"/>
    <w:rsid w:val="005505B7"/>
    <w:rsid w:val="005734DB"/>
    <w:rsid w:val="00573BE5"/>
    <w:rsid w:val="00573E2A"/>
    <w:rsid w:val="00586ED3"/>
    <w:rsid w:val="00596AA9"/>
    <w:rsid w:val="0071601D"/>
    <w:rsid w:val="007A62E6"/>
    <w:rsid w:val="007F20FA"/>
    <w:rsid w:val="0080684C"/>
    <w:rsid w:val="00832EC9"/>
    <w:rsid w:val="00871C75"/>
    <w:rsid w:val="008776DC"/>
    <w:rsid w:val="008B203E"/>
    <w:rsid w:val="009446C0"/>
    <w:rsid w:val="00953335"/>
    <w:rsid w:val="0095706D"/>
    <w:rsid w:val="009705C8"/>
    <w:rsid w:val="009C1CF4"/>
    <w:rsid w:val="009F6B74"/>
    <w:rsid w:val="00A052D6"/>
    <w:rsid w:val="00A24FC2"/>
    <w:rsid w:val="00A3029F"/>
    <w:rsid w:val="00A30353"/>
    <w:rsid w:val="00A61529"/>
    <w:rsid w:val="00AC3823"/>
    <w:rsid w:val="00AD7A03"/>
    <w:rsid w:val="00AE1F03"/>
    <w:rsid w:val="00AE323C"/>
    <w:rsid w:val="00AE65D4"/>
    <w:rsid w:val="00AF0CB5"/>
    <w:rsid w:val="00B00181"/>
    <w:rsid w:val="00B00B0D"/>
    <w:rsid w:val="00B43105"/>
    <w:rsid w:val="00B45F2E"/>
    <w:rsid w:val="00B765F7"/>
    <w:rsid w:val="00BA0CA9"/>
    <w:rsid w:val="00C02897"/>
    <w:rsid w:val="00C248F1"/>
    <w:rsid w:val="00C97039"/>
    <w:rsid w:val="00CE508D"/>
    <w:rsid w:val="00D3439C"/>
    <w:rsid w:val="00D46BDF"/>
    <w:rsid w:val="00DB1831"/>
    <w:rsid w:val="00DD3BFD"/>
    <w:rsid w:val="00DF6678"/>
    <w:rsid w:val="00E0299A"/>
    <w:rsid w:val="00E60B04"/>
    <w:rsid w:val="00E85C74"/>
    <w:rsid w:val="00EA6547"/>
    <w:rsid w:val="00EF2E22"/>
    <w:rsid w:val="00F35BAF"/>
    <w:rsid w:val="00F37D2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E9F36"/>
  <w15:docId w15:val="{A029C20E-BD36-4CA0-A845-2277BD3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ECE/TRANS/WP.29/2019/55</vt:lpstr>
      <vt:lpstr>ECE/TRANS/WP.29/2019/55</vt:lpstr>
    </vt:vector>
  </TitlesOfParts>
  <Company>DCM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ECE/TRANS/WP.29/2019/55</dc:title>
  <dc:subject/>
  <dc:creator>Pascale BEYSARD</dc:creator>
  <cp:keywords/>
  <cp:lastModifiedBy>Marie-Claude Collet</cp:lastModifiedBy>
  <cp:revision>3</cp:revision>
  <cp:lastPrinted>2019-05-01T08:09:00Z</cp:lastPrinted>
  <dcterms:created xsi:type="dcterms:W3CDTF">2019-05-01T08:08:00Z</dcterms:created>
  <dcterms:modified xsi:type="dcterms:W3CDTF">2019-05-01T08:10:00Z</dcterms:modified>
</cp:coreProperties>
</file>