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64210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59BE43" w14:textId="77777777" w:rsidR="002D5AAC" w:rsidRDefault="002D5AAC" w:rsidP="00BE334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9E4DDD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1E6DB9" w14:textId="77777777" w:rsidR="002D5AAC" w:rsidRDefault="00BE334E" w:rsidP="00BE334E">
            <w:pPr>
              <w:jc w:val="right"/>
            </w:pPr>
            <w:proofErr w:type="spellStart"/>
            <w:r w:rsidRPr="00BE334E">
              <w:rPr>
                <w:sz w:val="40"/>
              </w:rPr>
              <w:t>ECE</w:t>
            </w:r>
            <w:proofErr w:type="spellEnd"/>
            <w:r>
              <w:t>/</w:t>
            </w:r>
            <w:proofErr w:type="spellStart"/>
            <w:r>
              <w:t>TRANS</w:t>
            </w:r>
            <w:proofErr w:type="spellEnd"/>
            <w:r>
              <w:t>/</w:t>
            </w:r>
            <w:proofErr w:type="spellStart"/>
            <w:r>
              <w:t>WP.29</w:t>
            </w:r>
            <w:proofErr w:type="spellEnd"/>
            <w:r>
              <w:t>/</w:t>
            </w:r>
            <w:proofErr w:type="spellStart"/>
            <w:r>
              <w:t>GRBP</w:t>
            </w:r>
            <w:proofErr w:type="spellEnd"/>
            <w:r>
              <w:t>/2019/25</w:t>
            </w:r>
          </w:p>
        </w:tc>
      </w:tr>
      <w:tr w:rsidR="002D5AAC" w:rsidRPr="00BE334E" w14:paraId="41BF32B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540D0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5AC01C" wp14:editId="0C88C0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85305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9D6A07" w14:textId="77777777" w:rsidR="002D5AAC" w:rsidRDefault="00BE334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F96D41" w14:textId="77777777" w:rsidR="00BE334E" w:rsidRDefault="00BE334E" w:rsidP="00BE33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June 2019</w:t>
            </w:r>
          </w:p>
          <w:p w14:paraId="61E120DE" w14:textId="77777777" w:rsidR="00BE334E" w:rsidRDefault="00BE334E" w:rsidP="00BE33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B6BEB7" w14:textId="77777777" w:rsidR="00BE334E" w:rsidRPr="008D53B6" w:rsidRDefault="00BE334E" w:rsidP="00BE334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F08A3B0" w14:textId="77777777" w:rsidR="00BE334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97C8CA6" w14:textId="77777777" w:rsidR="00BE334E" w:rsidRPr="00BE334E" w:rsidRDefault="00BE334E" w:rsidP="00BE334E">
      <w:pPr>
        <w:spacing w:before="120"/>
        <w:rPr>
          <w:sz w:val="28"/>
          <w:szCs w:val="28"/>
        </w:rPr>
      </w:pPr>
      <w:r w:rsidRPr="00BE334E">
        <w:rPr>
          <w:sz w:val="28"/>
          <w:szCs w:val="28"/>
        </w:rPr>
        <w:t>Комитет по внутреннему транспорту</w:t>
      </w:r>
    </w:p>
    <w:p w14:paraId="6A2CA3DA" w14:textId="77777777" w:rsidR="00BE334E" w:rsidRPr="00BE334E" w:rsidRDefault="00BE334E" w:rsidP="00BE334E">
      <w:pPr>
        <w:spacing w:before="120"/>
        <w:rPr>
          <w:b/>
          <w:sz w:val="24"/>
          <w:szCs w:val="24"/>
        </w:rPr>
      </w:pPr>
      <w:r w:rsidRPr="00BE334E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BE334E">
        <w:rPr>
          <w:b/>
          <w:bCs/>
          <w:sz w:val="24"/>
          <w:szCs w:val="24"/>
        </w:rPr>
        <w:t>в области транспортных средств</w:t>
      </w:r>
    </w:p>
    <w:p w14:paraId="4D96E372" w14:textId="77777777" w:rsidR="00BE334E" w:rsidRPr="00EF2338" w:rsidRDefault="00BE334E" w:rsidP="00BE334E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30A072EB" w14:textId="77777777" w:rsidR="00BE334E" w:rsidRPr="00EF2338" w:rsidRDefault="00BE334E" w:rsidP="00BE334E">
      <w:pPr>
        <w:spacing w:before="120"/>
      </w:pPr>
      <w:r>
        <w:rPr>
          <w:b/>
          <w:bCs/>
        </w:rPr>
        <w:t>Семидесятая сессия</w:t>
      </w:r>
      <w:r>
        <w:rPr>
          <w:b/>
          <w:bCs/>
        </w:rPr>
        <w:br/>
      </w:r>
      <w:r>
        <w:t>Женева, 11–13 сентября 2019 года</w:t>
      </w:r>
      <w:r>
        <w:br/>
      </w:r>
      <w:r>
        <w:t>Пункт 3 предварительной повестки дня</w:t>
      </w:r>
      <w:r>
        <w:br/>
      </w:r>
      <w:r>
        <w:rPr>
          <w:b/>
          <w:bCs/>
        </w:rPr>
        <w:t>Правила № 9 ООН (шум, производимый мотоциклами)</w:t>
      </w:r>
      <w:r>
        <w:t xml:space="preserve"> </w:t>
      </w:r>
    </w:p>
    <w:p w14:paraId="1665676F" w14:textId="77777777" w:rsidR="00BE334E" w:rsidRPr="00EF2338" w:rsidRDefault="00BE334E" w:rsidP="00BE334E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04</w:t>
      </w:r>
      <w:r>
        <w:rPr>
          <w:bCs/>
        </w:rPr>
        <w:br/>
      </w:r>
      <w:r>
        <w:rPr>
          <w:bCs/>
        </w:rPr>
        <w:t>к Правилам № 41 ООН (шум, производимый мотоциклами)</w:t>
      </w:r>
    </w:p>
    <w:p w14:paraId="4B3DBA6E" w14:textId="77777777" w:rsidR="00BE334E" w:rsidRPr="00EF2338" w:rsidRDefault="00BE334E" w:rsidP="00BE334E">
      <w:pPr>
        <w:pStyle w:val="H1G"/>
        <w:ind w:right="1467" w:firstLine="0"/>
      </w:pPr>
      <w:r>
        <w:rPr>
          <w:bCs/>
        </w:rPr>
        <w:t>Представлено экспертом от Международной ассоциации заводов-изготовителей мотоциклов (</w:t>
      </w:r>
      <w:proofErr w:type="spellStart"/>
      <w:r>
        <w:rPr>
          <w:bCs/>
        </w:rPr>
        <w:t>МАЗМ</w:t>
      </w:r>
      <w:proofErr w:type="spellEnd"/>
      <w:r>
        <w:rPr>
          <w:bCs/>
        </w:rPr>
        <w:t>)</w:t>
      </w:r>
      <w:r w:rsidRPr="00BE334E">
        <w:rPr>
          <w:rFonts w:ascii="Times New Roman Bold" w:hAnsi="Times New Roman Bold"/>
          <w:b w:val="0"/>
          <w:position w:val="6"/>
          <w:sz w:val="18"/>
          <w:szCs w:val="18"/>
        </w:rPr>
        <w:footnoteReference w:customMarkFollows="1" w:id="1"/>
        <w:t>*</w:t>
      </w:r>
    </w:p>
    <w:p w14:paraId="1A25F524" w14:textId="77777777" w:rsidR="00E12C5F" w:rsidRDefault="00BE334E" w:rsidP="00BE334E">
      <w:pPr>
        <w:pStyle w:val="SingleTxtG"/>
      </w:pPr>
      <w:r>
        <w:tab/>
      </w:r>
      <w:r>
        <w:tab/>
        <w:t xml:space="preserve">Воспроизведенный ниже текст был подготовлен экспертом от </w:t>
      </w:r>
      <w:proofErr w:type="spellStart"/>
      <w:r>
        <w:t>МАЗМ</w:t>
      </w:r>
      <w:proofErr w:type="spellEnd"/>
      <w:r>
        <w:t xml:space="preserve"> в целях минимизации увеличения числа номеров официальных утверждений. Изменения выделены жирным шрифтом в случае нового текста либо зачеркиванием в случае исключенного текста.</w:t>
      </w:r>
    </w:p>
    <w:p w14:paraId="3D3A1E20" w14:textId="77777777" w:rsidR="00BE334E" w:rsidRPr="00EF2338" w:rsidRDefault="00BE334E" w:rsidP="00BE334E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9A2865E" w14:textId="77777777" w:rsidR="00BE334E" w:rsidRPr="00EF2338" w:rsidRDefault="00BE334E" w:rsidP="00BE334E">
      <w:pPr>
        <w:pStyle w:val="SingleTxtG"/>
        <w:rPr>
          <w:color w:val="000000" w:themeColor="text1"/>
        </w:rPr>
      </w:pPr>
      <w:r>
        <w:rPr>
          <w:i/>
          <w:iCs/>
        </w:rPr>
        <w:t>Пункт 2</w:t>
      </w:r>
      <w:r>
        <w:t xml:space="preserve"> изменить следующим образом:</w:t>
      </w:r>
    </w:p>
    <w:p w14:paraId="6B09AEB2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«</w:t>
      </w:r>
      <w:r>
        <w:t>2.</w:t>
      </w:r>
      <w:r>
        <w:tab/>
        <w:t>…</w:t>
      </w:r>
    </w:p>
    <w:p w14:paraId="6D7FC7E4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2.1</w:t>
      </w:r>
      <w:r>
        <w:tab/>
      </w:r>
      <w:r>
        <w:tab/>
      </w:r>
      <w:r w:rsidRPr="00834D93">
        <w:rPr>
          <w:i/>
        </w:rPr>
        <w:t>"</w:t>
      </w:r>
      <w:r>
        <w:rPr>
          <w:i/>
          <w:iCs/>
        </w:rPr>
        <w:t>Официальное утверждение мотоцикла</w:t>
      </w:r>
      <w:r w:rsidRPr="00834D93">
        <w:rPr>
          <w:i/>
        </w:rPr>
        <w:t>"</w:t>
      </w:r>
      <w:r>
        <w:t xml:space="preserve"> означает официальное утверждение типа мотоцикла в связи с производимым им шумом.</w:t>
      </w:r>
    </w:p>
    <w:p w14:paraId="5A245EF4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2.2</w:t>
      </w:r>
      <w:r>
        <w:tab/>
      </w:r>
      <w:r w:rsidRPr="003E5430">
        <w:rPr>
          <w:i/>
        </w:rPr>
        <w:t>"</w:t>
      </w:r>
      <w:r>
        <w:rPr>
          <w:i/>
          <w:iCs/>
        </w:rPr>
        <w:t xml:space="preserve">Тип мотоцикла в связи с уровнем его звука </w:t>
      </w:r>
      <w:r>
        <w:rPr>
          <w:i/>
          <w:iCs/>
          <w:strike/>
        </w:rPr>
        <w:t>и системой выпуска</w:t>
      </w:r>
      <w:r w:rsidRPr="003E5430">
        <w:rPr>
          <w:i/>
        </w:rPr>
        <w:t>"</w:t>
      </w:r>
      <w:r>
        <w:t xml:space="preserve"> означает мотоциклы, не имеющие существенных различий в отношении:</w:t>
      </w:r>
    </w:p>
    <w:p w14:paraId="405B8A7C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2.2.1</w:t>
      </w:r>
      <w:r>
        <w:tab/>
        <w:t xml:space="preserve">типа двигателя (двухтактный или четырехтактный, поршневой двигатель или роторный двигатель, число и рабочий объем цилиндров, число и тип карбюраторов или систем </w:t>
      </w:r>
      <w:proofErr w:type="spellStart"/>
      <w:r>
        <w:t>вспрыска</w:t>
      </w:r>
      <w:proofErr w:type="spellEnd"/>
      <w:r>
        <w:t xml:space="preserve">, расположение клапанов, номинальная полезная максимальная мощность и соответствующая частота вращения двигателя </w:t>
      </w:r>
      <w:r>
        <w:rPr>
          <w:b/>
          <w:bCs/>
        </w:rPr>
        <w:t>в пределах допуска СП</w:t>
      </w:r>
      <w:r>
        <w:t>). В случае роторно-поршневых двигателей рабочий объем должен в два раза превышать объем камеры;</w:t>
      </w:r>
    </w:p>
    <w:p w14:paraId="12DC9AB4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2.2.2</w:t>
      </w:r>
      <w:r>
        <w:tab/>
        <w:t>системы трансмиссии, в частности количества передач и передаточных чисел;</w:t>
      </w:r>
    </w:p>
    <w:p w14:paraId="3427B532" w14:textId="77777777" w:rsidR="00BE334E" w:rsidRPr="00EF2338" w:rsidRDefault="00BE334E" w:rsidP="00BE334E">
      <w:pPr>
        <w:pStyle w:val="SingleTxtG"/>
        <w:ind w:left="2268" w:hanging="1134"/>
        <w:rPr>
          <w:strike/>
          <w:color w:val="000000" w:themeColor="text1"/>
        </w:rPr>
      </w:pPr>
      <w:r>
        <w:rPr>
          <w:strike/>
        </w:rPr>
        <w:t>2.2.3</w:t>
      </w:r>
      <w:r>
        <w:tab/>
      </w:r>
      <w:r>
        <w:rPr>
          <w:strike/>
        </w:rPr>
        <w:t>числа, типа и расположения систем выпуска или глушителей</w:t>
      </w:r>
      <w:r w:rsidRPr="00BE334E">
        <w:rPr>
          <w:strike/>
        </w:rPr>
        <w:t>.</w:t>
      </w:r>
    </w:p>
    <w:p w14:paraId="725F15C7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</w:t>
      </w:r>
      <w:r>
        <w:rPr>
          <w:b/>
          <w:bCs/>
        </w:rPr>
        <w:t>3</w:t>
      </w:r>
      <w:r>
        <w:tab/>
      </w:r>
      <w:r w:rsidRPr="003E5430">
        <w:rPr>
          <w:i/>
        </w:rPr>
        <w:t>"</w:t>
      </w:r>
      <w:r>
        <w:rPr>
          <w:i/>
          <w:iCs/>
        </w:rPr>
        <w:t>Система выпуска или глушителя</w:t>
      </w:r>
      <w:r w:rsidRPr="003E5430">
        <w:rPr>
          <w:i/>
        </w:rPr>
        <w:t>"</w:t>
      </w:r>
      <w:r>
        <w:t xml:space="preserve"> означает полный комплект элементов, необходимых для снижения шума, производимого двигателем мотоцикла и его выхлопными газами.</w:t>
      </w:r>
    </w:p>
    <w:p w14:paraId="44D37299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</w:t>
      </w:r>
      <w:r>
        <w:rPr>
          <w:b/>
          <w:bCs/>
        </w:rPr>
        <w:t>3.1</w:t>
      </w:r>
      <w:r>
        <w:tab/>
      </w:r>
      <w:r w:rsidRPr="003E5430">
        <w:rPr>
          <w:i/>
        </w:rPr>
        <w:t>"</w:t>
      </w:r>
      <w:r>
        <w:rPr>
          <w:i/>
          <w:iCs/>
        </w:rPr>
        <w:t>Оригинальная система выпуска или глушителя</w:t>
      </w:r>
      <w:r w:rsidRPr="003E5430">
        <w:rPr>
          <w:i/>
        </w:rPr>
        <w:t>"</w:t>
      </w:r>
      <w:r>
        <w:t xml:space="preserve"> означает систему такого типа, которой транспортное средство было оснащено в момент официального утверждения или распространения официального утверждения. Она может также быть сменной частью, произведенной изготовителем транспортного средства.</w:t>
      </w:r>
    </w:p>
    <w:p w14:paraId="7EE0226F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</w:t>
      </w:r>
      <w:r w:rsidRPr="00266A93">
        <w:rPr>
          <w:b/>
          <w:bCs/>
        </w:rPr>
        <w:t>3.2</w:t>
      </w:r>
      <w:r>
        <w:tab/>
      </w:r>
      <w:r w:rsidRPr="003E5430">
        <w:rPr>
          <w:i/>
        </w:rPr>
        <w:t>"</w:t>
      </w:r>
      <w:r>
        <w:rPr>
          <w:i/>
          <w:iCs/>
        </w:rPr>
        <w:t>Неоригинальная система выпуска или глушителя</w:t>
      </w:r>
      <w:r w:rsidRPr="003E5430">
        <w:rPr>
          <w:i/>
        </w:rPr>
        <w:t>"</w:t>
      </w:r>
      <w:r>
        <w:t xml:space="preserve"> означает систему, которая отличается от системы того типа, которой транспортное средство было оснащено в момент официального утверждения или распространения официального утверждения.</w:t>
      </w:r>
    </w:p>
    <w:p w14:paraId="7795E7C5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</w:t>
      </w:r>
      <w:r w:rsidRPr="00266A93">
        <w:rPr>
          <w:b/>
          <w:bCs/>
        </w:rPr>
        <w:t>4</w:t>
      </w:r>
      <w:r>
        <w:tab/>
      </w:r>
      <w:r w:rsidRPr="003E5430">
        <w:rPr>
          <w:i/>
        </w:rPr>
        <w:t>"</w:t>
      </w:r>
      <w:r>
        <w:rPr>
          <w:i/>
          <w:iCs/>
        </w:rPr>
        <w:t xml:space="preserve">Системы выпуска или глушителей различных конфигураций </w:t>
      </w:r>
      <w:r>
        <w:rPr>
          <w:i/>
          <w:iCs/>
          <w:strike/>
        </w:rPr>
        <w:t>различного типа</w:t>
      </w:r>
      <w:r w:rsidRPr="003E5430">
        <w:rPr>
          <w:i/>
        </w:rPr>
        <w:t>"</w:t>
      </w:r>
      <w:r>
        <w:t xml:space="preserve"> означают системы, имеющие одно или более из следующих существенных различий:</w:t>
      </w:r>
    </w:p>
    <w:p w14:paraId="4CE95CB0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</w:t>
      </w:r>
      <w:r w:rsidRPr="00266A93">
        <w:rPr>
          <w:b/>
          <w:bCs/>
        </w:rPr>
        <w:t>4.1</w:t>
      </w:r>
      <w:r>
        <w:tab/>
        <w:t>системы, элементы которых имеют различные фабричные или торговые знаки;</w:t>
      </w:r>
    </w:p>
    <w:p w14:paraId="2F95A9F9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</w:t>
      </w:r>
      <w:r w:rsidRPr="00266A93">
        <w:rPr>
          <w:b/>
          <w:bCs/>
        </w:rPr>
        <w:t>4.2</w:t>
      </w:r>
      <w:r>
        <w:tab/>
        <w:t>системы, в которых характеристики материалов, из которых изготовлен какой-либо элемент системы, являются разными или элементы которых имеют разную форму либо размер;</w:t>
      </w:r>
    </w:p>
    <w:p w14:paraId="1BA68DBA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</w:t>
      </w:r>
      <w:r w:rsidRPr="00266A93">
        <w:rPr>
          <w:b/>
          <w:bCs/>
        </w:rPr>
        <w:t>4.3</w:t>
      </w:r>
      <w:r>
        <w:tab/>
        <w:t>системы, в которых принципы работы хотя бы одного элемента различаются;</w:t>
      </w:r>
    </w:p>
    <w:p w14:paraId="5F97CAFF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</w:t>
      </w:r>
      <w:r w:rsidRPr="00266A93">
        <w:rPr>
          <w:b/>
          <w:bCs/>
        </w:rPr>
        <w:t>4.4</w:t>
      </w:r>
      <w:r>
        <w:tab/>
        <w:t>системы, элементы которых комбинируются по-разному.</w:t>
      </w:r>
    </w:p>
    <w:p w14:paraId="5D537BD7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2.5</w:t>
      </w:r>
      <w:r>
        <w:tab/>
        <w:t>…</w:t>
      </w:r>
      <w:r>
        <w:t>»</w:t>
      </w:r>
    </w:p>
    <w:p w14:paraId="66C2D3D3" w14:textId="77777777" w:rsidR="00BE334E" w:rsidRPr="00EF2338" w:rsidRDefault="00BE334E" w:rsidP="00BE334E">
      <w:pPr>
        <w:pStyle w:val="SingleTxtG"/>
        <w:pageBreakBefore/>
        <w:tabs>
          <w:tab w:val="left" w:pos="1418"/>
        </w:tabs>
        <w:rPr>
          <w:color w:val="000000" w:themeColor="text1"/>
        </w:rPr>
      </w:pPr>
      <w:r>
        <w:rPr>
          <w:i/>
          <w:iCs/>
        </w:rPr>
        <w:lastRenderedPageBreak/>
        <w:t>Пункт 5</w:t>
      </w:r>
      <w:r>
        <w:t xml:space="preserve"> изменить следующим образом:</w:t>
      </w:r>
    </w:p>
    <w:p w14:paraId="5B4534FF" w14:textId="77777777" w:rsidR="00BE334E" w:rsidRPr="00EF2338" w:rsidRDefault="00BE334E" w:rsidP="00BE334E">
      <w:pPr>
        <w:pStyle w:val="SingleTxtG"/>
        <w:tabs>
          <w:tab w:val="left" w:pos="2268"/>
        </w:tabs>
        <w:rPr>
          <w:color w:val="000000" w:themeColor="text1"/>
        </w:rPr>
      </w:pPr>
      <w:r>
        <w:t>«</w:t>
      </w:r>
      <w:r>
        <w:t>5.</w:t>
      </w:r>
      <w:r>
        <w:tab/>
      </w:r>
      <w:r>
        <w:tab/>
        <w:t>ОФИЦИАЛЬНОЕ УТВЕРЖДЕНИЕ</w:t>
      </w:r>
      <w:r>
        <w:t xml:space="preserve"> </w:t>
      </w:r>
    </w:p>
    <w:p w14:paraId="090EF155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5.1</w:t>
      </w:r>
      <w:r>
        <w:tab/>
        <w:t>Если тип мотоцикла, представленного на официальное утверждение на основании настоящих Правил, соответствует требованиям пунктов 6 и 7 ниже, то данный тип мотоцикла официально утверждается.</w:t>
      </w:r>
    </w:p>
    <w:p w14:paraId="1D4D036D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5.2.</w:t>
      </w:r>
      <w:r w:rsidRPr="00266A93">
        <w:rPr>
          <w:b/>
          <w:bCs/>
        </w:rPr>
        <w:t>1</w:t>
      </w:r>
      <w:r>
        <w:t xml:space="preserve"> </w:t>
      </w:r>
      <w:r>
        <w:tab/>
        <w:t xml:space="preserve">Каждому официально утвержденному типу присваивают номер официального утверждения, первые две цифры которого указывают серию поправок, включающую самые последние основные технические изменения, внесенные в Правила на момент предоставления официального утверждения. Одна и та же Договаривающаяся сторона не может присвоить этот номер </w:t>
      </w:r>
      <w:r>
        <w:rPr>
          <w:strike/>
        </w:rPr>
        <w:t>такому же типу мотоцикла, оборудованного другим типом глушителя, или</w:t>
      </w:r>
      <w:r>
        <w:t xml:space="preserve"> другому типу мотоцикла.</w:t>
      </w:r>
    </w:p>
    <w:p w14:paraId="2E893342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 w:rsidRPr="00266A93">
        <w:rPr>
          <w:b/>
          <w:bCs/>
        </w:rPr>
        <w:t>5.2.2</w:t>
      </w:r>
      <w:r>
        <w:t xml:space="preserve"> </w:t>
      </w:r>
      <w:r>
        <w:tab/>
      </w:r>
      <w:r w:rsidRPr="00AC2994">
        <w:rPr>
          <w:b/>
          <w:bCs/>
        </w:rPr>
        <w:t>Разн</w:t>
      </w:r>
      <w:r>
        <w:rPr>
          <w:b/>
          <w:bCs/>
        </w:rPr>
        <w:t>ые конфигурации системы выпуска и/или глушителя могут быть четко перечислены в рамках одного и того же официального утверждения типа мотоцикла с результатами соответствующих испытаний или быть испытаны по наихудшим критериям, установленным по договоренности между органом по официальному утверждению типа и изготовителем.</w:t>
      </w:r>
    </w:p>
    <w:p w14:paraId="60802977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 xml:space="preserve">5.3 </w:t>
      </w:r>
      <w:r>
        <w:tab/>
        <w:t xml:space="preserve">Стороны Соглашения, применяющие настоящие Правила, уведомляются об официальном утверждении или об отказе в официальном утверждении типа мотоцикла на основании настоящих Правил посредством карточки, соответствующей образцу, приведенному в приложении 1 к настоящим Правилам, и чертежей глушителя (представляемых предприятием, подавшим заявку на официальное утверждение) максимальным форматом </w:t>
      </w:r>
      <w:proofErr w:type="spellStart"/>
      <w:r>
        <w:t>A4</w:t>
      </w:r>
      <w:proofErr w:type="spellEnd"/>
      <w:r w:rsidR="003E5430">
        <w:t> </w:t>
      </w:r>
      <w:r>
        <w:t>(210</w:t>
      </w:r>
      <w:r w:rsidR="003E5430">
        <w:t> </w:t>
      </w:r>
      <w:r>
        <w:t>х</w:t>
      </w:r>
      <w:r w:rsidR="003E5430">
        <w:t> </w:t>
      </w:r>
      <w:r>
        <w:t>297</w:t>
      </w:r>
      <w:r w:rsidR="003E5430">
        <w:t> </w:t>
      </w:r>
      <w:r>
        <w:t>мм) или фор</w:t>
      </w:r>
      <w:bookmarkStart w:id="0" w:name="_GoBack"/>
      <w:bookmarkEnd w:id="0"/>
      <w:r>
        <w:t>матом, кратным ему и в соответствующем масштабе.</w:t>
      </w:r>
    </w:p>
    <w:p w14:paraId="2FC3A6CE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5.4</w:t>
      </w:r>
      <w:r>
        <w:tab/>
        <w:t>…</w:t>
      </w:r>
      <w:r>
        <w:t>»</w:t>
      </w:r>
    </w:p>
    <w:p w14:paraId="7FE2E7E0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rPr>
          <w:i/>
          <w:iCs/>
        </w:rPr>
        <w:t>Приложение 3, пункт 1.3.2.1</w:t>
      </w:r>
      <w:r>
        <w:t xml:space="preserve"> изменить следующим образом:</w:t>
      </w:r>
    </w:p>
    <w:p w14:paraId="3EE681AC" w14:textId="77777777" w:rsidR="00BE334E" w:rsidRPr="00EF2338" w:rsidRDefault="00BE334E" w:rsidP="00BE334E">
      <w:pPr>
        <w:pStyle w:val="SingleTxtG"/>
        <w:ind w:left="2268" w:hanging="1134"/>
        <w:rPr>
          <w:color w:val="000000" w:themeColor="text1"/>
        </w:rPr>
      </w:pPr>
      <w:r>
        <w:t>«</w:t>
      </w:r>
      <w:r>
        <w:t>1.3.2.1</w:t>
      </w:r>
      <w:r>
        <w:tab/>
        <w:t>Общие условия</w:t>
      </w:r>
    </w:p>
    <w:p w14:paraId="2C0982B8" w14:textId="77777777" w:rsidR="00BE334E" w:rsidRPr="00EF2338" w:rsidRDefault="00BE334E" w:rsidP="00BE334E">
      <w:pPr>
        <w:pStyle w:val="SingleTxtG"/>
        <w:ind w:left="2268"/>
        <w:rPr>
          <w:b/>
          <w:bCs/>
          <w:color w:val="000000" w:themeColor="text1"/>
        </w:rPr>
      </w:pPr>
      <w:r>
        <w:tab/>
      </w:r>
      <w:r>
        <w:rPr>
          <w:strike/>
        </w:rPr>
        <w:t>Представленное транспортное средство должно соответствовать техническим требованиям, указанным изготовителем.</w:t>
      </w:r>
      <w:r>
        <w:t xml:space="preserve"> </w:t>
      </w:r>
      <w:r>
        <w:rPr>
          <w:b/>
          <w:bCs/>
        </w:rPr>
        <w:t>В целях соблюдения требований настоящих Правил испытуемое(ые) транспортное(ые) средство(а) должно (должны) быть репрезентативным(и) для транспортных средств, предназначенных для выпуска на рынок, в рамках типа транспортных средств, подлежащего официальному утверждению, и выбирается(ются) изготовителем по согласованию с органом по официальному утверждению типа.</w:t>
      </w:r>
    </w:p>
    <w:p w14:paraId="03E8A184" w14:textId="77777777" w:rsidR="00BE334E" w:rsidRPr="00EF2338" w:rsidRDefault="00BE334E" w:rsidP="00BE334E">
      <w:pPr>
        <w:pStyle w:val="SingleTxtG"/>
        <w:ind w:left="2268" w:hanging="1134"/>
      </w:pPr>
      <w:r>
        <w:tab/>
        <w:t>…</w:t>
      </w:r>
      <w:r>
        <w:t>»</w:t>
      </w:r>
    </w:p>
    <w:p w14:paraId="0E89022C" w14:textId="77777777" w:rsidR="00BE334E" w:rsidRPr="00EF2338" w:rsidRDefault="00BE334E" w:rsidP="00BE334E">
      <w:pPr>
        <w:pStyle w:val="HChG"/>
        <w:rPr>
          <w:i/>
        </w:rPr>
      </w:pPr>
      <w:r>
        <w:tab/>
        <w:t>II.</w:t>
      </w:r>
      <w:r>
        <w:tab/>
      </w:r>
      <w:r>
        <w:rPr>
          <w:bCs/>
        </w:rPr>
        <w:t>Обоснование</w:t>
      </w:r>
    </w:p>
    <w:p w14:paraId="392514D2" w14:textId="77777777" w:rsidR="00BE334E" w:rsidRPr="00EF2338" w:rsidRDefault="00BE334E" w:rsidP="00BE334E">
      <w:pPr>
        <w:pStyle w:val="SingleTxtG"/>
      </w:pPr>
      <w:r>
        <w:tab/>
      </w:r>
      <w:r>
        <w:tab/>
        <w:t xml:space="preserve">Цель настоящего предложения заключается в минимизации увеличения числа номеров официальных утверждений в результате появления моделей транспортных средств с различиями в системах выпуска и глушителя. Нынешний порядок определения типа в самом строгом смысле этого слова не позволяет включать в одно и то же свидетельство об официальном утверждении разные конфигурации, например с различным расположением систем выпуска, впуска и двигателя. Для каждой конфигурации должны быть созданы отдельный номер официального утверждения и соответствующий документ. Поскольку официальные утверждения в соответствии с Правилами № 41 ООН используются все большим числом стран по всему миру, увеличение числа номеров официальных утверждений и объема работы по составлению документации, связанной официальным утверждением каждой </w:t>
      </w:r>
      <w:r>
        <w:lastRenderedPageBreak/>
        <w:t>конфигурации, может привести к тому, что для изготовителей и органов по официальному утверждению типа эти процедуры окажутся неудобоуправляемыми и обременительными.</w:t>
      </w:r>
      <w:r>
        <w:t xml:space="preserve"> </w:t>
      </w:r>
      <w:r>
        <w:t>В предлагаемых изменениях уточняется, что данные о разных конфигурациях систем выпуска и впуска могут быть перечислены в одном свидетельстве об официальном утверждении типа. Такая поправка позволит уменьшить избыточность и свести к минимуму вероятность ошибок в документации.</w:t>
      </w:r>
    </w:p>
    <w:p w14:paraId="5E9C9707" w14:textId="77777777" w:rsidR="00BE334E" w:rsidRDefault="00BE334E" w:rsidP="00BE334E">
      <w:pPr>
        <w:spacing w:before="240"/>
        <w:ind w:left="1134" w:right="1134"/>
        <w:jc w:val="center"/>
        <w:rPr>
          <w:rFonts w:eastAsia="Times New Roman"/>
          <w:u w:val="single"/>
        </w:rPr>
      </w:pPr>
      <w:r w:rsidRPr="00EF2338">
        <w:rPr>
          <w:rFonts w:eastAsia="Times New Roman"/>
          <w:u w:val="single"/>
        </w:rPr>
        <w:tab/>
      </w:r>
      <w:r w:rsidRPr="00EF2338">
        <w:rPr>
          <w:rFonts w:eastAsia="Times New Roman"/>
          <w:u w:val="single"/>
        </w:rPr>
        <w:tab/>
      </w:r>
      <w:r w:rsidRPr="00EF2338">
        <w:rPr>
          <w:rFonts w:eastAsia="Times New Roman"/>
          <w:u w:val="single"/>
        </w:rPr>
        <w:tab/>
      </w:r>
      <w:r w:rsidRPr="00EF2338">
        <w:rPr>
          <w:rFonts w:eastAsia="Times New Roman"/>
          <w:u w:val="single"/>
        </w:rPr>
        <w:tab/>
      </w:r>
    </w:p>
    <w:sectPr w:rsidR="00BE334E" w:rsidSect="00BE33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B8CA0" w14:textId="77777777" w:rsidR="00E73033" w:rsidRPr="00A312BC" w:rsidRDefault="00E73033" w:rsidP="00A312BC"/>
  </w:endnote>
  <w:endnote w:type="continuationSeparator" w:id="0">
    <w:p w14:paraId="73E675D9" w14:textId="77777777" w:rsidR="00E73033" w:rsidRPr="00A312BC" w:rsidRDefault="00E730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BD50" w14:textId="77777777" w:rsidR="00BE334E" w:rsidRPr="00BE334E" w:rsidRDefault="00BE334E">
    <w:pPr>
      <w:pStyle w:val="a8"/>
    </w:pPr>
    <w:r w:rsidRPr="00BE334E">
      <w:rPr>
        <w:b/>
        <w:sz w:val="18"/>
      </w:rPr>
      <w:fldChar w:fldCharType="begin"/>
    </w:r>
    <w:r w:rsidRPr="00BE334E">
      <w:rPr>
        <w:b/>
        <w:sz w:val="18"/>
      </w:rPr>
      <w:instrText xml:space="preserve"> PAGE  \* MERGEFORMAT </w:instrText>
    </w:r>
    <w:r w:rsidRPr="00BE334E">
      <w:rPr>
        <w:b/>
        <w:sz w:val="18"/>
      </w:rPr>
      <w:fldChar w:fldCharType="separate"/>
    </w:r>
    <w:r w:rsidRPr="00BE334E">
      <w:rPr>
        <w:b/>
        <w:noProof/>
        <w:sz w:val="18"/>
      </w:rPr>
      <w:t>2</w:t>
    </w:r>
    <w:r w:rsidRPr="00BE334E">
      <w:rPr>
        <w:b/>
        <w:sz w:val="18"/>
      </w:rPr>
      <w:fldChar w:fldCharType="end"/>
    </w:r>
    <w:r>
      <w:rPr>
        <w:b/>
        <w:sz w:val="18"/>
      </w:rPr>
      <w:tab/>
    </w:r>
    <w:proofErr w:type="spellStart"/>
    <w:r>
      <w:t>GE.19</w:t>
    </w:r>
    <w:proofErr w:type="spellEnd"/>
    <w:r>
      <w:t>-10233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843CA" w14:textId="77777777" w:rsidR="00BE334E" w:rsidRPr="00BE334E" w:rsidRDefault="00BE334E" w:rsidP="00BE334E">
    <w:pPr>
      <w:pStyle w:val="a8"/>
      <w:tabs>
        <w:tab w:val="clear" w:pos="9639"/>
        <w:tab w:val="right" w:pos="9638"/>
      </w:tabs>
      <w:rPr>
        <w:b/>
        <w:sz w:val="18"/>
      </w:rPr>
    </w:pPr>
    <w:proofErr w:type="spellStart"/>
    <w:r>
      <w:t>GE.19</w:t>
    </w:r>
    <w:proofErr w:type="spellEnd"/>
    <w:r>
      <w:t>-10233</w:t>
    </w:r>
    <w:r>
      <w:tab/>
    </w:r>
    <w:r w:rsidRPr="00BE334E">
      <w:rPr>
        <w:b/>
        <w:sz w:val="18"/>
      </w:rPr>
      <w:fldChar w:fldCharType="begin"/>
    </w:r>
    <w:r w:rsidRPr="00BE334E">
      <w:rPr>
        <w:b/>
        <w:sz w:val="18"/>
      </w:rPr>
      <w:instrText xml:space="preserve"> PAGE  \* MERGEFORMAT </w:instrText>
    </w:r>
    <w:r w:rsidRPr="00BE334E">
      <w:rPr>
        <w:b/>
        <w:sz w:val="18"/>
      </w:rPr>
      <w:fldChar w:fldCharType="separate"/>
    </w:r>
    <w:r w:rsidRPr="00BE334E">
      <w:rPr>
        <w:b/>
        <w:noProof/>
        <w:sz w:val="18"/>
      </w:rPr>
      <w:t>3</w:t>
    </w:r>
    <w:r w:rsidRPr="00BE334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6804" w14:textId="77777777" w:rsidR="00042B72" w:rsidRPr="00BE334E" w:rsidRDefault="00BE334E" w:rsidP="00BE334E">
    <w:pPr>
      <w:spacing w:before="120" w:line="240" w:lineRule="auto"/>
    </w:pPr>
    <w:proofErr w:type="spellStart"/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6E1AAE" wp14:editId="3E027B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</w:t>
    </w:r>
    <w:proofErr w:type="spellEnd"/>
    <w:r>
      <w:t>-10233  (R)</w:t>
    </w:r>
    <w:r>
      <w:rPr>
        <w:lang w:val="en-US"/>
      </w:rPr>
      <w:t xml:space="preserve">  010719  020719</w:t>
    </w:r>
    <w:r>
      <w:br/>
    </w:r>
    <w:r w:rsidRPr="00BE334E">
      <w:rPr>
        <w:rFonts w:ascii="C39T30Lfz" w:hAnsi="C39T30Lfz"/>
        <w:kern w:val="14"/>
        <w:sz w:val="56"/>
      </w:rPr>
      <w:t></w:t>
    </w:r>
    <w:r w:rsidRPr="00BE334E">
      <w:rPr>
        <w:rFonts w:ascii="C39T30Lfz" w:hAnsi="C39T30Lfz"/>
        <w:kern w:val="14"/>
        <w:sz w:val="56"/>
      </w:rPr>
      <w:t></w:t>
    </w:r>
    <w:r w:rsidRPr="00BE334E">
      <w:rPr>
        <w:rFonts w:ascii="C39T30Lfz" w:hAnsi="C39T30Lfz"/>
        <w:kern w:val="14"/>
        <w:sz w:val="56"/>
      </w:rPr>
      <w:t></w:t>
    </w:r>
    <w:r w:rsidRPr="00BE334E">
      <w:rPr>
        <w:rFonts w:ascii="C39T30Lfz" w:hAnsi="C39T30Lfz"/>
        <w:kern w:val="14"/>
        <w:sz w:val="56"/>
      </w:rPr>
      <w:t></w:t>
    </w:r>
    <w:r w:rsidRPr="00BE334E">
      <w:rPr>
        <w:rFonts w:ascii="C39T30Lfz" w:hAnsi="C39T30Lfz"/>
        <w:kern w:val="14"/>
        <w:sz w:val="56"/>
      </w:rPr>
      <w:t></w:t>
    </w:r>
    <w:r w:rsidRPr="00BE334E">
      <w:rPr>
        <w:rFonts w:ascii="C39T30Lfz" w:hAnsi="C39T30Lfz"/>
        <w:kern w:val="14"/>
        <w:sz w:val="56"/>
      </w:rPr>
      <w:t></w:t>
    </w:r>
    <w:r w:rsidRPr="00BE334E">
      <w:rPr>
        <w:rFonts w:ascii="C39T30Lfz" w:hAnsi="C39T30Lfz"/>
        <w:kern w:val="14"/>
        <w:sz w:val="56"/>
      </w:rPr>
      <w:t></w:t>
    </w:r>
    <w:r w:rsidRPr="00BE334E">
      <w:rPr>
        <w:rFonts w:ascii="C39T30Lfz" w:hAnsi="C39T30Lfz"/>
        <w:kern w:val="14"/>
        <w:sz w:val="56"/>
      </w:rPr>
      <w:t></w:t>
    </w:r>
    <w:r w:rsidRPr="00BE334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38571B" wp14:editId="0C725A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2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DDB5" w14:textId="77777777" w:rsidR="00E73033" w:rsidRPr="001075E9" w:rsidRDefault="00E730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D9104F" w14:textId="77777777" w:rsidR="00E73033" w:rsidRDefault="00E730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0C5C4E" w14:textId="77777777" w:rsidR="00BE334E" w:rsidRPr="00C477C8" w:rsidRDefault="00BE334E" w:rsidP="00BE334E">
      <w:pPr>
        <w:pStyle w:val="ad"/>
        <w:spacing w:after="120"/>
        <w:rPr>
          <w:szCs w:val="18"/>
        </w:rPr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</w:t>
      </w:r>
      <w:proofErr w:type="spellStart"/>
      <w:r>
        <w:t>ECE</w:t>
      </w:r>
      <w:proofErr w:type="spellEnd"/>
      <w:r>
        <w:t>/</w:t>
      </w:r>
      <w:proofErr w:type="spellStart"/>
      <w:r>
        <w:t>TRANS</w:t>
      </w:r>
      <w:proofErr w:type="spellEnd"/>
      <w:r>
        <w:t xml:space="preserve">/274, пункт 123, и </w:t>
      </w:r>
      <w:proofErr w:type="spellStart"/>
      <w:r>
        <w:t>ECE</w:t>
      </w:r>
      <w:proofErr w:type="spellEnd"/>
      <w:r>
        <w:t>/</w:t>
      </w:r>
      <w:proofErr w:type="spellStart"/>
      <w:r>
        <w:t>TRANS</w:t>
      </w:r>
      <w:proofErr w:type="spellEnd"/>
      <w:r>
        <w:t>/2018/21/</w:t>
      </w:r>
      <w:proofErr w:type="spellStart"/>
      <w:r>
        <w:t>Add.1</w:t>
      </w:r>
      <w:proofErr w:type="spellEnd"/>
      <w:r>
        <w:t>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0E6A" w14:textId="3A2DE579" w:rsidR="00BE334E" w:rsidRPr="00BE334E" w:rsidRDefault="00BE334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D39F1">
      <w:t>ECE</w:t>
    </w:r>
    <w:proofErr w:type="spellEnd"/>
    <w:r w:rsidR="004D39F1">
      <w:t>/TRANS/</w:t>
    </w:r>
    <w:proofErr w:type="spellStart"/>
    <w:r w:rsidR="004D39F1">
      <w:t>WP.29</w:t>
    </w:r>
    <w:proofErr w:type="spellEnd"/>
    <w:r w:rsidR="004D39F1">
      <w:t>/</w:t>
    </w:r>
    <w:proofErr w:type="spellStart"/>
    <w:r w:rsidR="004D39F1">
      <w:t>GRBP</w:t>
    </w:r>
    <w:proofErr w:type="spellEnd"/>
    <w:r w:rsidR="004D39F1">
      <w:t>/2019/25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5C29" w14:textId="7755BBF9" w:rsidR="00BE334E" w:rsidRPr="00BE334E" w:rsidRDefault="00BE334E" w:rsidP="00BE334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4D39F1">
      <w:t>ECE</w:t>
    </w:r>
    <w:proofErr w:type="spellEnd"/>
    <w:r w:rsidR="004D39F1">
      <w:t>/TRANS/</w:t>
    </w:r>
    <w:proofErr w:type="spellStart"/>
    <w:r w:rsidR="004D39F1">
      <w:t>WP.29</w:t>
    </w:r>
    <w:proofErr w:type="spellEnd"/>
    <w:r w:rsidR="004D39F1">
      <w:t>/</w:t>
    </w:r>
    <w:proofErr w:type="spellStart"/>
    <w:r w:rsidR="004D39F1">
      <w:t>GRBP</w:t>
    </w:r>
    <w:proofErr w:type="spellEnd"/>
    <w:r w:rsidR="004D39F1">
      <w:t>/2019/25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33"/>
    <w:rsid w:val="00033EE1"/>
    <w:rsid w:val="00042B72"/>
    <w:rsid w:val="000558BD"/>
    <w:rsid w:val="000B57E7"/>
    <w:rsid w:val="000B6373"/>
    <w:rsid w:val="000E4E5B"/>
    <w:rsid w:val="000F09DF"/>
    <w:rsid w:val="000F61B2"/>
    <w:rsid w:val="00104EFB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5430"/>
    <w:rsid w:val="00407B78"/>
    <w:rsid w:val="00424203"/>
    <w:rsid w:val="00452493"/>
    <w:rsid w:val="00453318"/>
    <w:rsid w:val="00454AF2"/>
    <w:rsid w:val="00454E07"/>
    <w:rsid w:val="00472C5C"/>
    <w:rsid w:val="004D39F1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4D93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334E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2850"/>
    <w:rsid w:val="00E7303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1BCB2A"/>
  <w15:docId w15:val="{09B966C3-0469-46B6-A707-A0B2F685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E334E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E334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BE334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785</Words>
  <Characters>5526</Characters>
  <Application>Microsoft Office Word</Application>
  <DocSecurity>0</DocSecurity>
  <Lines>127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ECE/TRANS/WP.29/GRBP/2019/25</vt:lpstr>
      <vt:lpstr>A/</vt:lpstr>
      <vt:lpstr>A/</vt:lpstr>
    </vt:vector>
  </TitlesOfParts>
  <Company>DCM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ECE/TRANS/WP.29/GRBP/2019/25</dc:title>
  <dc:subject/>
  <dc:creator>Anna KISSELEVA</dc:creator>
  <cp:keywords/>
  <cp:lastModifiedBy>Anna KISSELEVA</cp:lastModifiedBy>
  <cp:revision>3</cp:revision>
  <cp:lastPrinted>2019-07-02T07:51:00Z</cp:lastPrinted>
  <dcterms:created xsi:type="dcterms:W3CDTF">2019-07-02T07:51:00Z</dcterms:created>
  <dcterms:modified xsi:type="dcterms:W3CDTF">2019-07-02T07:52:00Z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