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08E8E0" w14:textId="77777777" w:rsidTr="00C97039">
        <w:trPr>
          <w:trHeight w:hRule="exact" w:val="851"/>
        </w:trPr>
        <w:tc>
          <w:tcPr>
            <w:tcW w:w="1276" w:type="dxa"/>
            <w:tcBorders>
              <w:bottom w:val="single" w:sz="4" w:space="0" w:color="auto"/>
            </w:tcBorders>
          </w:tcPr>
          <w:p w14:paraId="3B77D999" w14:textId="77777777" w:rsidR="00F35BAF" w:rsidRPr="00DB58B5" w:rsidRDefault="00F35BAF" w:rsidP="007B67BD"/>
        </w:tc>
        <w:tc>
          <w:tcPr>
            <w:tcW w:w="2268" w:type="dxa"/>
            <w:tcBorders>
              <w:bottom w:val="single" w:sz="4" w:space="0" w:color="auto"/>
            </w:tcBorders>
            <w:vAlign w:val="bottom"/>
          </w:tcPr>
          <w:p w14:paraId="7FE3844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57168C" w14:textId="77777777" w:rsidR="00F35BAF" w:rsidRPr="00DB58B5" w:rsidRDefault="007B67BD" w:rsidP="007B67BD">
            <w:pPr>
              <w:jc w:val="right"/>
            </w:pPr>
            <w:r w:rsidRPr="007B67BD">
              <w:rPr>
                <w:sz w:val="40"/>
              </w:rPr>
              <w:t>ECE</w:t>
            </w:r>
            <w:r>
              <w:t>/TRANS/WP.29/GRE/2019/19</w:t>
            </w:r>
          </w:p>
        </w:tc>
      </w:tr>
      <w:tr w:rsidR="00F35BAF" w:rsidRPr="00DB58B5" w14:paraId="46EF7BB2" w14:textId="77777777" w:rsidTr="00C97039">
        <w:trPr>
          <w:trHeight w:hRule="exact" w:val="2835"/>
        </w:trPr>
        <w:tc>
          <w:tcPr>
            <w:tcW w:w="1276" w:type="dxa"/>
            <w:tcBorders>
              <w:top w:val="single" w:sz="4" w:space="0" w:color="auto"/>
              <w:bottom w:val="single" w:sz="12" w:space="0" w:color="auto"/>
            </w:tcBorders>
          </w:tcPr>
          <w:p w14:paraId="7EDAC86A" w14:textId="77777777" w:rsidR="00F35BAF" w:rsidRPr="00DB58B5" w:rsidRDefault="00F35BAF" w:rsidP="00C97039">
            <w:pPr>
              <w:spacing w:before="120"/>
              <w:jc w:val="center"/>
            </w:pPr>
            <w:r>
              <w:rPr>
                <w:noProof/>
                <w:lang w:eastAsia="fr-CH"/>
              </w:rPr>
              <w:drawing>
                <wp:inline distT="0" distB="0" distL="0" distR="0" wp14:anchorId="36DE1271" wp14:editId="00765A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47920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6BAED31" w14:textId="77777777" w:rsidR="00F35BAF" w:rsidRDefault="007B67BD" w:rsidP="00C97039">
            <w:pPr>
              <w:spacing w:before="240"/>
            </w:pPr>
            <w:r>
              <w:t>Distr. générale</w:t>
            </w:r>
          </w:p>
          <w:p w14:paraId="1C2A3CEE" w14:textId="77777777" w:rsidR="007B67BD" w:rsidRDefault="007B67BD" w:rsidP="007B67BD">
            <w:pPr>
              <w:spacing w:line="240" w:lineRule="exact"/>
            </w:pPr>
            <w:r>
              <w:t>7 août 2019</w:t>
            </w:r>
          </w:p>
          <w:p w14:paraId="1B703EEB" w14:textId="77777777" w:rsidR="007B67BD" w:rsidRDefault="007B67BD" w:rsidP="007B67BD">
            <w:pPr>
              <w:spacing w:line="240" w:lineRule="exact"/>
            </w:pPr>
            <w:r>
              <w:t>Français</w:t>
            </w:r>
          </w:p>
          <w:p w14:paraId="3C2A89A6" w14:textId="77777777" w:rsidR="007B67BD" w:rsidRPr="00DB58B5" w:rsidRDefault="007B67BD" w:rsidP="007B67BD">
            <w:pPr>
              <w:spacing w:line="240" w:lineRule="exact"/>
            </w:pPr>
            <w:r>
              <w:t>Original : anglais</w:t>
            </w:r>
          </w:p>
        </w:tc>
      </w:tr>
    </w:tbl>
    <w:p w14:paraId="6C69460F" w14:textId="77777777" w:rsidR="007F20FA" w:rsidRPr="000312C0" w:rsidRDefault="007F20FA" w:rsidP="007F20FA">
      <w:pPr>
        <w:spacing w:before="120"/>
        <w:rPr>
          <w:b/>
          <w:sz w:val="28"/>
          <w:szCs w:val="28"/>
        </w:rPr>
      </w:pPr>
      <w:r w:rsidRPr="000312C0">
        <w:rPr>
          <w:b/>
          <w:sz w:val="28"/>
          <w:szCs w:val="28"/>
        </w:rPr>
        <w:t>Commission économique pour l</w:t>
      </w:r>
      <w:r w:rsidR="00E76977">
        <w:rPr>
          <w:b/>
          <w:sz w:val="28"/>
          <w:szCs w:val="28"/>
        </w:rPr>
        <w:t>’</w:t>
      </w:r>
      <w:r w:rsidRPr="000312C0">
        <w:rPr>
          <w:b/>
          <w:sz w:val="28"/>
          <w:szCs w:val="28"/>
        </w:rPr>
        <w:t>Europe</w:t>
      </w:r>
    </w:p>
    <w:p w14:paraId="1DB1AAF5" w14:textId="77777777" w:rsidR="007F20FA" w:rsidRDefault="007F20FA" w:rsidP="007F20FA">
      <w:pPr>
        <w:spacing w:before="120"/>
        <w:rPr>
          <w:sz w:val="28"/>
          <w:szCs w:val="28"/>
        </w:rPr>
      </w:pPr>
      <w:r w:rsidRPr="00685843">
        <w:rPr>
          <w:sz w:val="28"/>
          <w:szCs w:val="28"/>
        </w:rPr>
        <w:t>Comité des transports intérieurs</w:t>
      </w:r>
    </w:p>
    <w:p w14:paraId="43F83612" w14:textId="77777777" w:rsidR="007B67BD" w:rsidRDefault="007B67BD" w:rsidP="00AF0CB5">
      <w:pPr>
        <w:spacing w:before="120"/>
        <w:rPr>
          <w:b/>
          <w:sz w:val="24"/>
          <w:szCs w:val="24"/>
        </w:rPr>
      </w:pPr>
      <w:r w:rsidRPr="00685843">
        <w:rPr>
          <w:b/>
          <w:sz w:val="24"/>
          <w:szCs w:val="24"/>
        </w:rPr>
        <w:t>Forum mondial de l</w:t>
      </w:r>
      <w:r w:rsidR="00E7697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43F2BCE" w14:textId="77777777" w:rsidR="007B67BD" w:rsidRDefault="007B67BD" w:rsidP="00257168">
      <w:pPr>
        <w:spacing w:before="120" w:after="120" w:line="240" w:lineRule="exact"/>
        <w:rPr>
          <w:b/>
        </w:rPr>
      </w:pPr>
      <w:r>
        <w:rPr>
          <w:b/>
        </w:rPr>
        <w:t>Groupe de travail de l</w:t>
      </w:r>
      <w:r w:rsidR="00E76977">
        <w:rPr>
          <w:b/>
        </w:rPr>
        <w:t>’</w:t>
      </w:r>
      <w:r>
        <w:rPr>
          <w:b/>
        </w:rPr>
        <w:t>éclairage et de la signalisation lumineuse</w:t>
      </w:r>
    </w:p>
    <w:p w14:paraId="26803A74" w14:textId="77777777" w:rsidR="007B67BD" w:rsidRDefault="007B67BD" w:rsidP="00257168">
      <w:pPr>
        <w:spacing w:before="120" w:line="240" w:lineRule="exact"/>
        <w:rPr>
          <w:b/>
        </w:rPr>
      </w:pPr>
      <w:r w:rsidRPr="00AE79C1">
        <w:rPr>
          <w:b/>
          <w:lang w:val="fr-FR"/>
        </w:rPr>
        <w:t>Quatre-vingt-deuxième</w:t>
      </w:r>
      <w:r>
        <w:rPr>
          <w:b/>
        </w:rPr>
        <w:t xml:space="preserve"> session</w:t>
      </w:r>
    </w:p>
    <w:p w14:paraId="204F4BF5" w14:textId="77777777" w:rsidR="007B67BD" w:rsidRDefault="007B67BD" w:rsidP="00257168">
      <w:pPr>
        <w:spacing w:line="240" w:lineRule="exact"/>
      </w:pPr>
      <w:r>
        <w:t xml:space="preserve">Genève, </w:t>
      </w:r>
      <w:r w:rsidRPr="00AE79C1">
        <w:rPr>
          <w:lang w:val="fr-FR"/>
        </w:rPr>
        <w:t>22-25 octobre</w:t>
      </w:r>
      <w:r>
        <w:rPr>
          <w:lang w:val="fr-FR"/>
        </w:rPr>
        <w:t xml:space="preserve"> </w:t>
      </w:r>
      <w:r w:rsidRPr="00AE79C1">
        <w:rPr>
          <w:lang w:val="fr-FR"/>
        </w:rPr>
        <w:t>2019</w:t>
      </w:r>
    </w:p>
    <w:p w14:paraId="1D21CB5A" w14:textId="77777777" w:rsidR="007B67BD" w:rsidRDefault="007B67BD" w:rsidP="00257168">
      <w:pPr>
        <w:spacing w:line="240" w:lineRule="exact"/>
      </w:pPr>
      <w:r>
        <w:t>Point 5 de l</w:t>
      </w:r>
      <w:r w:rsidR="00E76977">
        <w:t>’</w:t>
      </w:r>
      <w:r>
        <w:t>ordre du jour provisoire</w:t>
      </w:r>
    </w:p>
    <w:p w14:paraId="3482EAE7" w14:textId="77777777" w:rsidR="007B67BD" w:rsidRPr="00AE79C1" w:rsidRDefault="007B67BD" w:rsidP="007B67BD">
      <w:pPr>
        <w:rPr>
          <w:b/>
          <w:bCs/>
        </w:rPr>
      </w:pPr>
      <w:r w:rsidRPr="00AE79C1">
        <w:rPr>
          <w:b/>
          <w:bCs/>
        </w:rPr>
        <w:t xml:space="preserve">Règlements ONU </w:t>
      </w:r>
      <w:r w:rsidRPr="00E94488">
        <w:rPr>
          <w:b/>
          <w:bCs/>
        </w:rPr>
        <w:t>n</w:t>
      </w:r>
      <w:r w:rsidRPr="00E94488">
        <w:rPr>
          <w:b/>
          <w:bCs/>
          <w:vertAlign w:val="superscript"/>
        </w:rPr>
        <w:t>o</w:t>
      </w:r>
      <w:r>
        <w:rPr>
          <w:b/>
          <w:bCs/>
          <w:vertAlign w:val="superscript"/>
        </w:rPr>
        <w:t>s</w:t>
      </w:r>
      <w:r>
        <w:rPr>
          <w:b/>
          <w:bCs/>
        </w:rPr>
        <w:t> </w:t>
      </w:r>
      <w:r w:rsidRPr="00AE79C1">
        <w:rPr>
          <w:b/>
          <w:bCs/>
        </w:rPr>
        <w:t xml:space="preserve">37 (Lampes à incandescence), </w:t>
      </w:r>
      <w:r w:rsidR="00BF7CD4">
        <w:rPr>
          <w:b/>
          <w:bCs/>
        </w:rPr>
        <w:br/>
      </w:r>
      <w:r w:rsidRPr="00AE79C1">
        <w:rPr>
          <w:b/>
          <w:bCs/>
        </w:rPr>
        <w:t xml:space="preserve">99 (Sources lumineuses à décharge) et 128 (Sources lumineuses à diodes </w:t>
      </w:r>
      <w:r w:rsidR="00BF7CD4">
        <w:rPr>
          <w:b/>
          <w:bCs/>
        </w:rPr>
        <w:br/>
      </w:r>
      <w:r w:rsidRPr="00AE79C1">
        <w:rPr>
          <w:b/>
          <w:bCs/>
        </w:rPr>
        <w:t>électroluminescentes) et Résolution d</w:t>
      </w:r>
      <w:r w:rsidR="00E76977">
        <w:rPr>
          <w:b/>
          <w:bCs/>
        </w:rPr>
        <w:t>’</w:t>
      </w:r>
      <w:r w:rsidRPr="00AE79C1">
        <w:rPr>
          <w:b/>
          <w:bCs/>
        </w:rPr>
        <w:t xml:space="preserve">ensemble sur une spécification </w:t>
      </w:r>
      <w:r w:rsidR="00BF7CD4">
        <w:rPr>
          <w:b/>
          <w:bCs/>
        </w:rPr>
        <w:br/>
      </w:r>
      <w:r w:rsidRPr="00AE79C1">
        <w:rPr>
          <w:b/>
          <w:bCs/>
        </w:rPr>
        <w:t>commune des catégories de sources lumineuses</w:t>
      </w:r>
    </w:p>
    <w:p w14:paraId="1D7A6408" w14:textId="77777777" w:rsidR="007B67BD" w:rsidRPr="00AE79C1" w:rsidRDefault="00BF7CD4" w:rsidP="00BF7CD4">
      <w:pPr>
        <w:pStyle w:val="HChG"/>
      </w:pPr>
      <w:r>
        <w:tab/>
      </w:r>
      <w:r>
        <w:tab/>
      </w:r>
      <w:r w:rsidR="007B67BD" w:rsidRPr="00AE79C1">
        <w:t xml:space="preserve">Proposition de complément 1 au Règlement ONU </w:t>
      </w:r>
      <w:r w:rsidR="007B67BD" w:rsidRPr="00E94488">
        <w:t>n</w:t>
      </w:r>
      <w:r w:rsidR="007B67BD" w:rsidRPr="00E94488">
        <w:rPr>
          <w:vertAlign w:val="superscript"/>
        </w:rPr>
        <w:t>o</w:t>
      </w:r>
      <w:r w:rsidR="007B67BD">
        <w:t> </w:t>
      </w:r>
      <w:r w:rsidR="007B67BD" w:rsidRPr="00AE79C1">
        <w:t>149 sur</w:t>
      </w:r>
      <w:r>
        <w:t> </w:t>
      </w:r>
      <w:r w:rsidR="007B67BD" w:rsidRPr="00AE79C1">
        <w:t xml:space="preserve">les </w:t>
      </w:r>
      <w:r w:rsidR="007B67BD">
        <w:t>dispositifs d</w:t>
      </w:r>
      <w:r w:rsidR="00E76977">
        <w:t>’</w:t>
      </w:r>
      <w:r w:rsidR="007B67BD">
        <w:t>éclairage de la route</w:t>
      </w:r>
    </w:p>
    <w:p w14:paraId="7B5C3EA6" w14:textId="77777777" w:rsidR="007B67BD" w:rsidRPr="00AE79C1" w:rsidRDefault="00BF7CD4" w:rsidP="00BF7CD4">
      <w:pPr>
        <w:pStyle w:val="H1G"/>
      </w:pPr>
      <w:r>
        <w:tab/>
      </w:r>
      <w:r>
        <w:tab/>
      </w:r>
      <w:r w:rsidR="007B67BD" w:rsidRPr="00AE79C1">
        <w:t>Communication de l</w:t>
      </w:r>
      <w:r w:rsidR="00E76977">
        <w:t>’</w:t>
      </w:r>
      <w:r w:rsidR="007B67BD" w:rsidRPr="00AE79C1">
        <w:t>équipe spéciale des sources lumineuses de</w:t>
      </w:r>
      <w:r>
        <w:t> </w:t>
      </w:r>
      <w:r w:rsidR="007B67BD" w:rsidRPr="00AE79C1">
        <w:t>substitution et de remplacement</w:t>
      </w:r>
      <w:r w:rsidR="00477B26" w:rsidRPr="00477B26">
        <w:rPr>
          <w:rStyle w:val="Appelnotedebasdep"/>
          <w:b w:val="0"/>
          <w:sz w:val="20"/>
          <w:vertAlign w:val="baseline"/>
        </w:rPr>
        <w:footnoteReference w:customMarkFollows="1" w:id="2"/>
        <w:t>*</w:t>
      </w:r>
    </w:p>
    <w:p w14:paraId="1CDC6BE8" w14:textId="77777777" w:rsidR="007B67BD" w:rsidRDefault="007B67BD" w:rsidP="00477B26">
      <w:pPr>
        <w:pStyle w:val="SingleTxtG"/>
        <w:ind w:firstLine="567"/>
      </w:pPr>
      <w:r w:rsidRPr="00AE79C1">
        <w:t>Le texte ci-après, établi par l</w:t>
      </w:r>
      <w:r w:rsidR="00E76977">
        <w:t>’</w:t>
      </w:r>
      <w:r w:rsidRPr="00AE79C1">
        <w:t>équipe spéciale des sources lumineuses de substitution et de remplacement, vise à introduire des prescriptions applicables à l</w:t>
      </w:r>
      <w:r w:rsidR="00E76977">
        <w:t>’</w:t>
      </w:r>
      <w:r w:rsidRPr="00AE79C1">
        <w:t xml:space="preserve">utilisation de sources lumineuses à diodes électroluminescentes (DEL) de substitution dans le nouveau Règlement ONU </w:t>
      </w:r>
      <w:r w:rsidRPr="00E94488">
        <w:t>n</w:t>
      </w:r>
      <w:r w:rsidRPr="00E94488">
        <w:rPr>
          <w:vertAlign w:val="superscript"/>
        </w:rPr>
        <w:t>o</w:t>
      </w:r>
      <w:r>
        <w:t xml:space="preserve"> [149] </w:t>
      </w:r>
      <w:r w:rsidRPr="00AE79C1">
        <w:t xml:space="preserve">sur les dispositifs </w:t>
      </w:r>
      <w:r>
        <w:t>d</w:t>
      </w:r>
      <w:r w:rsidR="00E76977">
        <w:t>’</w:t>
      </w:r>
      <w:r>
        <w:t>éclairage de la route</w:t>
      </w:r>
      <w:r w:rsidRPr="00AE79C1">
        <w:t>. Il est fondé sur le document ECE/TRANS/WP.29/2018/158/Rev.1. Les modifications qu</w:t>
      </w:r>
      <w:r w:rsidR="00E76977">
        <w:t>’</w:t>
      </w:r>
      <w:r w:rsidRPr="00AE79C1">
        <w:t>il est proposé d</w:t>
      </w:r>
      <w:r w:rsidR="00E76977">
        <w:t>’</w:t>
      </w:r>
      <w:r w:rsidRPr="00AE79C1">
        <w:t xml:space="preserve">apporter au projet de nouveau Règlement ONU </w:t>
      </w:r>
      <w:r>
        <w:t>figurent en</w:t>
      </w:r>
      <w:r w:rsidRPr="00AE79C1">
        <w:t xml:space="preserve"> caractères gras pour les ajouts et biffés pour les suppressions.</w:t>
      </w:r>
    </w:p>
    <w:p w14:paraId="4F2451A9" w14:textId="77777777" w:rsidR="007B67BD" w:rsidRPr="00AE79C1" w:rsidRDefault="007B67BD" w:rsidP="00477B26">
      <w:pPr>
        <w:pStyle w:val="HChG"/>
      </w:pPr>
      <w:r>
        <w:br w:type="page"/>
      </w:r>
      <w:r w:rsidR="00477B26">
        <w:lastRenderedPageBreak/>
        <w:tab/>
      </w:r>
      <w:r w:rsidRPr="00AE79C1">
        <w:t>I.</w:t>
      </w:r>
      <w:r w:rsidRPr="00AE79C1">
        <w:tab/>
        <w:t>Proposition</w:t>
      </w:r>
    </w:p>
    <w:p w14:paraId="3F5DAAF1" w14:textId="77777777" w:rsidR="007B67BD" w:rsidRPr="00AE79C1" w:rsidRDefault="007B67BD" w:rsidP="00477B26">
      <w:pPr>
        <w:pStyle w:val="SingleTxtG"/>
      </w:pPr>
      <w:r w:rsidRPr="00477B26">
        <w:rPr>
          <w:i/>
        </w:rPr>
        <w:t>Paragraphe 2.2.8</w:t>
      </w:r>
      <w:r w:rsidRPr="00AE79C1">
        <w:t xml:space="preserve">, </w:t>
      </w:r>
      <w:r w:rsidRPr="007C671D">
        <w:t>lire</w:t>
      </w:r>
      <w:r w:rsidR="00E76977">
        <w:t> </w:t>
      </w:r>
      <w:r w:rsidRPr="00AE79C1">
        <w:t>:</w:t>
      </w:r>
    </w:p>
    <w:p w14:paraId="0773C4A2" w14:textId="77777777" w:rsidR="007B67BD" w:rsidRPr="00AE79C1" w:rsidRDefault="007B67BD" w:rsidP="00477B26">
      <w:pPr>
        <w:pStyle w:val="SingleTxtG"/>
        <w:ind w:left="2268" w:hanging="1134"/>
      </w:pPr>
      <w:r w:rsidRPr="00AE79C1">
        <w:t>« 2.2.8.</w:t>
      </w:r>
      <w:r w:rsidRPr="00AE79C1">
        <w:tab/>
      </w:r>
      <w:r w:rsidRPr="00AE79C1">
        <w:rPr>
          <w:lang w:val="fr-FR"/>
        </w:rPr>
        <w:t>La catégorie de la ou des sources lumineuses utilisées et/ou le ou les codes d</w:t>
      </w:r>
      <w:r w:rsidR="00E76977">
        <w:rPr>
          <w:lang w:val="fr-FR"/>
        </w:rPr>
        <w:t>’</w:t>
      </w:r>
      <w:r w:rsidRPr="00AE79C1">
        <w:rPr>
          <w:lang w:val="fr-FR"/>
        </w:rPr>
        <w:t>identification propres au(x) module(s) DEL</w:t>
      </w:r>
      <w:r w:rsidRPr="00093069">
        <w:rPr>
          <w:lang w:val="fr-FR"/>
        </w:rPr>
        <w:t>.</w:t>
      </w:r>
      <w:r>
        <w:rPr>
          <w:b/>
          <w:lang w:val="fr-FR"/>
        </w:rPr>
        <w:t xml:space="preserve"> L</w:t>
      </w:r>
      <w:r w:rsidR="00E76977">
        <w:rPr>
          <w:b/>
        </w:rPr>
        <w:t>’</w:t>
      </w:r>
      <w:r w:rsidRPr="00AE79C1">
        <w:rPr>
          <w:b/>
        </w:rPr>
        <w:t>utilisation de sources lumineuses à DEL de substitution ne constitue pas une modification du type</w:t>
      </w:r>
      <w:r>
        <w:rPr>
          <w:b/>
        </w:rPr>
        <w:t> ;</w:t>
      </w:r>
      <w:r w:rsidRPr="00AE79C1">
        <w:rPr>
          <w:b/>
        </w:rPr>
        <w:t xml:space="preserve"> </w:t>
      </w:r>
      <w:r>
        <w:rPr>
          <w:b/>
        </w:rPr>
        <w:t>t</w:t>
      </w:r>
      <w:r w:rsidRPr="00AE79C1">
        <w:rPr>
          <w:b/>
        </w:rPr>
        <w:t>outefois, les dispositions du paragraphe 4.6.9 s</w:t>
      </w:r>
      <w:r w:rsidR="00E76977">
        <w:rPr>
          <w:b/>
        </w:rPr>
        <w:t>’</w:t>
      </w:r>
      <w:r w:rsidRPr="00AE79C1">
        <w:rPr>
          <w:b/>
        </w:rPr>
        <w:t>appliquent</w:t>
      </w:r>
      <w:r w:rsidRPr="007C671D">
        <w:t> ; »</w:t>
      </w:r>
      <w:r w:rsidR="00E76977">
        <w:t>.</w:t>
      </w:r>
    </w:p>
    <w:p w14:paraId="7F4B2F99" w14:textId="77777777" w:rsidR="007B67BD" w:rsidRPr="00AE79C1" w:rsidRDefault="007B67BD" w:rsidP="00477B26">
      <w:pPr>
        <w:pStyle w:val="SingleTxtG"/>
        <w:rPr>
          <w:lang w:val="fr-FR"/>
        </w:rPr>
      </w:pPr>
      <w:r w:rsidRPr="00AE79C1">
        <w:rPr>
          <w:i/>
          <w:iCs/>
        </w:rPr>
        <w:t xml:space="preserve">Paragraphe 3.1.3, </w:t>
      </w:r>
      <w:r w:rsidRPr="007C671D">
        <w:rPr>
          <w:iCs/>
        </w:rPr>
        <w:t>lire</w:t>
      </w:r>
      <w:r w:rsidR="00E76977">
        <w:rPr>
          <w:iCs/>
        </w:rPr>
        <w:t> </w:t>
      </w:r>
      <w:r w:rsidRPr="00AE79C1">
        <w:rPr>
          <w:i/>
          <w:iCs/>
        </w:rPr>
        <w:t>:</w:t>
      </w:r>
    </w:p>
    <w:p w14:paraId="026DFBFE" w14:textId="77777777" w:rsidR="007B67BD" w:rsidRPr="00AE79C1" w:rsidRDefault="007B67BD" w:rsidP="00477B26">
      <w:pPr>
        <w:pStyle w:val="SingleTxtG"/>
        <w:ind w:left="2268" w:hanging="1134"/>
        <w:rPr>
          <w:lang w:val="fr-FR"/>
        </w:rPr>
      </w:pPr>
      <w:r w:rsidRPr="00AE79C1">
        <w:rPr>
          <w:b/>
          <w:bCs/>
          <w:lang w:val="fr-FR"/>
        </w:rPr>
        <w:t>« </w:t>
      </w:r>
      <w:r w:rsidRPr="00AE79C1">
        <w:rPr>
          <w:lang w:val="fr-FR"/>
        </w:rPr>
        <w:t>3.1.3</w:t>
      </w:r>
      <w:r w:rsidRPr="00AE79C1">
        <w:rPr>
          <w:lang w:val="fr-FR"/>
        </w:rPr>
        <w:tab/>
        <w:t>Une description technique succincte indiquant notamment :</w:t>
      </w:r>
    </w:p>
    <w:p w14:paraId="5068F90B" w14:textId="77777777" w:rsidR="007B67BD" w:rsidRPr="00AE79C1" w:rsidRDefault="007B67BD" w:rsidP="001C470B">
      <w:pPr>
        <w:pStyle w:val="SingleTxtG"/>
        <w:ind w:left="2835" w:hanging="567"/>
        <w:rPr>
          <w:lang w:val="fr-FR"/>
        </w:rPr>
      </w:pPr>
      <w:r w:rsidRPr="00AE79C1">
        <w:rPr>
          <w:lang w:val="fr-FR"/>
        </w:rPr>
        <w:t>a)</w:t>
      </w:r>
      <w:r w:rsidRPr="00AE79C1">
        <w:rPr>
          <w:lang w:val="fr-FR"/>
        </w:rPr>
        <w:tab/>
        <w:t>Dans le cas de feux équipés de sources lumineuses remplaçables, la ou les catégories de la ou des sources lumineuses prescrites</w:t>
      </w:r>
      <w:r w:rsidR="00093069">
        <w:rPr>
          <w:lang w:val="fr-FR"/>
        </w:rPr>
        <w:t> </w:t>
      </w:r>
      <w:r w:rsidRPr="00AE79C1">
        <w:rPr>
          <w:lang w:val="fr-FR"/>
        </w:rPr>
        <w:t>; cette ou ces catégories de sources lumineuses doivent compter parmi celles figurant dans les Règlements ONU n</w:t>
      </w:r>
      <w:r w:rsidRPr="00AE79C1">
        <w:rPr>
          <w:vertAlign w:val="superscript"/>
          <w:lang w:val="fr-FR"/>
        </w:rPr>
        <w:t>os</w:t>
      </w:r>
      <w:r w:rsidRPr="00AE79C1">
        <w:rPr>
          <w:lang w:val="fr-FR"/>
        </w:rPr>
        <w:t> 37, 99 ou 128 </w:t>
      </w:r>
      <w:r w:rsidR="001C470B">
        <w:rPr>
          <w:lang w:val="fr-FR"/>
        </w:rPr>
        <w:t> </w:t>
      </w:r>
      <w:r w:rsidRPr="00AE79C1">
        <w:rPr>
          <w:lang w:val="fr-FR"/>
        </w:rPr>
        <w:t>;</w:t>
      </w:r>
    </w:p>
    <w:p w14:paraId="6626F68F" w14:textId="77777777" w:rsidR="007B67BD" w:rsidRPr="00AE79C1" w:rsidRDefault="007B67BD" w:rsidP="001C470B">
      <w:pPr>
        <w:pStyle w:val="SingleTxtG"/>
        <w:ind w:left="2835" w:hanging="567"/>
        <w:rPr>
          <w:lang w:val="fr-FR"/>
        </w:rPr>
      </w:pPr>
      <w:r w:rsidRPr="00AE79C1">
        <w:rPr>
          <w:lang w:val="fr-FR"/>
        </w:rPr>
        <w:t>b)</w:t>
      </w:r>
      <w:r w:rsidRPr="00AE79C1">
        <w:rPr>
          <w:lang w:val="fr-FR"/>
        </w:rPr>
        <w:tab/>
        <w:t>Dans le cas de feux équipés de modules d</w:t>
      </w:r>
      <w:r w:rsidR="00E76977">
        <w:rPr>
          <w:lang w:val="fr-FR"/>
        </w:rPr>
        <w:t>’</w:t>
      </w:r>
      <w:r w:rsidRPr="00AE79C1">
        <w:rPr>
          <w:lang w:val="fr-FR"/>
        </w:rPr>
        <w:t>éclairage remplaçables, le code d</w:t>
      </w:r>
      <w:r w:rsidR="00E76977">
        <w:rPr>
          <w:lang w:val="fr-FR"/>
        </w:rPr>
        <w:t>’</w:t>
      </w:r>
      <w:r w:rsidRPr="00AE79C1">
        <w:rPr>
          <w:lang w:val="fr-FR"/>
        </w:rPr>
        <w:t>identification propre au module d</w:t>
      </w:r>
      <w:r w:rsidR="00E76977">
        <w:rPr>
          <w:lang w:val="fr-FR"/>
        </w:rPr>
        <w:t>’</w:t>
      </w:r>
      <w:r w:rsidRPr="00AE79C1">
        <w:rPr>
          <w:lang w:val="fr-FR"/>
        </w:rPr>
        <w:t>éclairage</w:t>
      </w:r>
      <w:r w:rsidR="00E76977">
        <w:rPr>
          <w:lang w:val="fr-FR"/>
        </w:rPr>
        <w:t> </w:t>
      </w:r>
      <w:r w:rsidRPr="00AE79C1">
        <w:rPr>
          <w:lang w:val="fr-FR"/>
        </w:rPr>
        <w:t>;</w:t>
      </w:r>
    </w:p>
    <w:p w14:paraId="7FCDBB70" w14:textId="77777777" w:rsidR="007B67BD" w:rsidRPr="00AE79C1" w:rsidRDefault="007B67BD" w:rsidP="001C470B">
      <w:pPr>
        <w:pStyle w:val="SingleTxtG"/>
        <w:ind w:left="2835" w:hanging="567"/>
        <w:rPr>
          <w:lang w:val="fr-FR"/>
        </w:rPr>
      </w:pPr>
      <w:r w:rsidRPr="00AE79C1">
        <w:rPr>
          <w:lang w:val="fr-FR"/>
        </w:rPr>
        <w:t>c)</w:t>
      </w:r>
      <w:r w:rsidRPr="00AE79C1">
        <w:rPr>
          <w:lang w:val="fr-FR"/>
        </w:rPr>
        <w:tab/>
        <w:t>La marque et le type du ou des dispositifs d</w:t>
      </w:r>
      <w:r w:rsidR="00E76977">
        <w:rPr>
          <w:lang w:val="fr-FR"/>
        </w:rPr>
        <w:t>’</w:t>
      </w:r>
      <w:r w:rsidRPr="00AE79C1">
        <w:rPr>
          <w:lang w:val="fr-FR"/>
        </w:rPr>
        <w:t>alimentation et de commande, s</w:t>
      </w:r>
      <w:r w:rsidR="00E76977">
        <w:rPr>
          <w:lang w:val="fr-FR"/>
        </w:rPr>
        <w:t>’</w:t>
      </w:r>
      <w:r w:rsidRPr="00AE79C1">
        <w:rPr>
          <w:lang w:val="fr-FR"/>
        </w:rPr>
        <w:t>il y a lieu et s</w:t>
      </w:r>
      <w:r w:rsidR="00E76977">
        <w:rPr>
          <w:lang w:val="fr-FR"/>
        </w:rPr>
        <w:t>’</w:t>
      </w:r>
      <w:r w:rsidRPr="00AE79C1">
        <w:rPr>
          <w:lang w:val="fr-FR"/>
        </w:rPr>
        <w:t>ils ne font pas partie d</w:t>
      </w:r>
      <w:r w:rsidR="00E76977">
        <w:rPr>
          <w:lang w:val="fr-FR"/>
        </w:rPr>
        <w:t>’</w:t>
      </w:r>
      <w:r w:rsidRPr="00AE79C1">
        <w:rPr>
          <w:lang w:val="fr-FR"/>
        </w:rPr>
        <w:t>une unité d</w:t>
      </w:r>
      <w:r w:rsidR="00E76977">
        <w:rPr>
          <w:lang w:val="fr-FR"/>
        </w:rPr>
        <w:t>’</w:t>
      </w:r>
      <w:r w:rsidRPr="00AE79C1">
        <w:rPr>
          <w:lang w:val="fr-FR"/>
        </w:rPr>
        <w:t>installation</w:t>
      </w:r>
      <w:r w:rsidR="00E76977">
        <w:rPr>
          <w:lang w:val="fr-FR"/>
        </w:rPr>
        <w:t> </w:t>
      </w:r>
      <w:r w:rsidRPr="00AE79C1">
        <w:rPr>
          <w:lang w:val="fr-FR"/>
        </w:rPr>
        <w:t>;</w:t>
      </w:r>
    </w:p>
    <w:p w14:paraId="129CC2AF" w14:textId="77777777" w:rsidR="007B67BD" w:rsidRPr="00AE79C1" w:rsidRDefault="007B67BD" w:rsidP="001C470B">
      <w:pPr>
        <w:pStyle w:val="SingleTxtG"/>
        <w:ind w:left="2835" w:hanging="567"/>
        <w:rPr>
          <w:lang w:val="fr-FR"/>
        </w:rPr>
      </w:pPr>
      <w:r w:rsidRPr="00AE79C1">
        <w:rPr>
          <w:b/>
          <w:lang w:val="fr-FR"/>
        </w:rPr>
        <w:t>d)</w:t>
      </w:r>
      <w:r w:rsidRPr="00AE79C1">
        <w:rPr>
          <w:b/>
          <w:lang w:val="fr-FR"/>
        </w:rPr>
        <w:tab/>
      </w:r>
      <w:r w:rsidRPr="00AE79C1">
        <w:rPr>
          <w:b/>
        </w:rPr>
        <w:t>Dans le cas où, à la discrétion du demandeur, le feu doit également être homologué avec la ou les sources lumineuses à DEL de substitution, conformément au Règlement n</w:t>
      </w:r>
      <w:r w:rsidRPr="00093069">
        <w:rPr>
          <w:b/>
          <w:vertAlign w:val="superscript"/>
        </w:rPr>
        <w:t>o</w:t>
      </w:r>
      <w:r w:rsidR="00093069">
        <w:rPr>
          <w:b/>
        </w:rPr>
        <w:t> </w:t>
      </w:r>
      <w:r w:rsidRPr="00AE79C1">
        <w:rPr>
          <w:b/>
        </w:rPr>
        <w:t>128, il faut le préciser dans la description</w:t>
      </w:r>
      <w:r w:rsidR="00E76977">
        <w:t> </w:t>
      </w:r>
      <w:r w:rsidRPr="00AE79C1">
        <w:t>;</w:t>
      </w:r>
    </w:p>
    <w:p w14:paraId="22E564F4" w14:textId="77777777" w:rsidR="007B67BD" w:rsidRPr="00AE79C1" w:rsidRDefault="007B67BD" w:rsidP="001C470B">
      <w:pPr>
        <w:pStyle w:val="SingleTxtG"/>
        <w:ind w:left="2835" w:hanging="567"/>
        <w:rPr>
          <w:lang w:val="fr-FR"/>
        </w:rPr>
      </w:pPr>
      <w:r w:rsidRPr="00AE79C1">
        <w:rPr>
          <w:lang w:val="fr-FR"/>
        </w:rPr>
        <w:t>e)</w:t>
      </w:r>
      <w:r w:rsidRPr="00AE79C1">
        <w:rPr>
          <w:lang w:val="fr-FR"/>
        </w:rPr>
        <w:tab/>
        <w:t>Lorsque le dispositif (le feu) est équipé d</w:t>
      </w:r>
      <w:r w:rsidR="00E76977">
        <w:rPr>
          <w:lang w:val="fr-FR"/>
        </w:rPr>
        <w:t>’</w:t>
      </w:r>
      <w:r w:rsidRPr="00AE79C1">
        <w:rPr>
          <w:lang w:val="fr-FR"/>
        </w:rPr>
        <w:t>un réflecteur réglable, la ou les positions de montage du feu par rapport au sol et au plan longitudinal médian du véhicule ; »</w:t>
      </w:r>
      <w:r w:rsidR="00E76977">
        <w:rPr>
          <w:lang w:val="fr-FR"/>
        </w:rPr>
        <w:t>.</w:t>
      </w:r>
    </w:p>
    <w:p w14:paraId="555EB304" w14:textId="77777777" w:rsidR="007B67BD" w:rsidRPr="00AE79C1" w:rsidRDefault="007B67BD" w:rsidP="001C470B">
      <w:pPr>
        <w:pStyle w:val="SingleTxtG"/>
        <w:ind w:left="2268" w:hanging="1134"/>
      </w:pPr>
      <w:r w:rsidRPr="00AE79C1">
        <w:rPr>
          <w:i/>
        </w:rPr>
        <w:t xml:space="preserve">Paragraphe 3.3.1.4, </w:t>
      </w:r>
      <w:r w:rsidRPr="001C470B">
        <w:rPr>
          <w:lang w:val="fr-FR"/>
        </w:rPr>
        <w:t>lire</w:t>
      </w:r>
      <w:r w:rsidR="001C470B">
        <w:rPr>
          <w:lang w:val="fr-FR"/>
        </w:rPr>
        <w:t> </w:t>
      </w:r>
      <w:r w:rsidRPr="00AE79C1">
        <w:t>:</w:t>
      </w:r>
    </w:p>
    <w:p w14:paraId="2D067A25" w14:textId="77777777" w:rsidR="007B67BD" w:rsidRPr="00AE79C1" w:rsidRDefault="007B67BD" w:rsidP="001C470B">
      <w:pPr>
        <w:pStyle w:val="SingleTxtG"/>
        <w:ind w:left="2268" w:hanging="1134"/>
        <w:rPr>
          <w:lang w:val="fr-FR"/>
        </w:rPr>
      </w:pPr>
      <w:r w:rsidRPr="00AE79C1">
        <w:t>« </w:t>
      </w:r>
      <w:r w:rsidRPr="00AE79C1">
        <w:rPr>
          <w:lang w:val="fr-FR"/>
        </w:rPr>
        <w:t>3.3.1.4</w:t>
      </w:r>
      <w:r w:rsidRPr="00AE79C1">
        <w:rPr>
          <w:lang w:val="fr-FR"/>
        </w:rPr>
        <w:tab/>
      </w:r>
      <w:r w:rsidRPr="00AE79C1">
        <w:rPr>
          <w:lang w:val="fr-FR"/>
        </w:rPr>
        <w:tab/>
        <w:t>L</w:t>
      </w:r>
      <w:r w:rsidR="00E76977">
        <w:rPr>
          <w:lang w:val="fr-FR"/>
        </w:rPr>
        <w:t>’</w:t>
      </w:r>
      <w:r w:rsidRPr="00AE79C1">
        <w:rPr>
          <w:lang w:val="fr-FR"/>
        </w:rPr>
        <w:t>identifiant unique ou la marque d</w:t>
      </w:r>
      <w:r w:rsidR="00E76977">
        <w:rPr>
          <w:lang w:val="fr-FR"/>
        </w:rPr>
        <w:t>’</w:t>
      </w:r>
      <w:r w:rsidRPr="00AE79C1">
        <w:rPr>
          <w:lang w:val="fr-FR"/>
        </w:rPr>
        <w:t xml:space="preserve">homologation, ainsi que les symboles additionnels, doivent être bien lisibles et indélébiles. Ils peuvent être placés sur une partie intérieure ou extérieure du feu (transparente ou non) qui ne puisse pas être séparée de sa partie transparente émettant la lumière. Dans tous les cas, la marque </w:t>
      </w:r>
      <w:r w:rsidRPr="00AE79C1">
        <w:rPr>
          <w:b/>
        </w:rPr>
        <w:t>ainsi que la ou les catégories de sources lumineuses à DEL de substitution prescrites, le cas échéant,</w:t>
      </w:r>
      <w:r w:rsidRPr="00AE79C1">
        <w:t xml:space="preserve"> </w:t>
      </w:r>
      <w:r w:rsidRPr="00AE79C1">
        <w:rPr>
          <w:b/>
          <w:lang w:val="fr-FR"/>
        </w:rPr>
        <w:t>doivent être visibles</w:t>
      </w:r>
      <w:r w:rsidRPr="00AE79C1">
        <w:rPr>
          <w:lang w:val="fr-FR"/>
        </w:rPr>
        <w:t xml:space="preserve"> une fois le feu monté sur le véhicule ou lorsqu</w:t>
      </w:r>
      <w:r w:rsidR="00E76977">
        <w:rPr>
          <w:lang w:val="fr-FR"/>
        </w:rPr>
        <w:t>’</w:t>
      </w:r>
      <w:r w:rsidRPr="00AE79C1">
        <w:rPr>
          <w:lang w:val="fr-FR"/>
        </w:rPr>
        <w:t>une partie mobile, telle que capot, portière ou hayon de coffre, est ouverte. »</w:t>
      </w:r>
      <w:r w:rsidR="00E76977">
        <w:rPr>
          <w:lang w:val="fr-FR"/>
        </w:rPr>
        <w:t>.</w:t>
      </w:r>
    </w:p>
    <w:p w14:paraId="6C88A12D" w14:textId="77777777" w:rsidR="007B67BD" w:rsidRPr="00AE79C1" w:rsidRDefault="007B67BD" w:rsidP="001C470B">
      <w:pPr>
        <w:pStyle w:val="SingleTxtG"/>
        <w:ind w:left="2268" w:hanging="1134"/>
      </w:pPr>
      <w:r w:rsidRPr="00AE79C1">
        <w:rPr>
          <w:i/>
        </w:rPr>
        <w:t>Paragraphe 3.3.2.6.2,</w:t>
      </w:r>
      <w:r w:rsidRPr="00AE79C1">
        <w:t xml:space="preserve"> </w:t>
      </w:r>
      <w:r w:rsidRPr="007C671D">
        <w:t>lire</w:t>
      </w:r>
      <w:r w:rsidR="001C470B">
        <w:t> </w:t>
      </w:r>
      <w:r w:rsidRPr="00AE79C1">
        <w:t>:</w:t>
      </w:r>
    </w:p>
    <w:p w14:paraId="509C1CFB" w14:textId="77777777" w:rsidR="007B67BD" w:rsidRPr="00AE79C1" w:rsidRDefault="007B67BD" w:rsidP="001C470B">
      <w:pPr>
        <w:pStyle w:val="SingleTxtG"/>
        <w:ind w:left="2268" w:hanging="1134"/>
        <w:rPr>
          <w:lang w:val="fr-FR"/>
        </w:rPr>
      </w:pPr>
      <w:r w:rsidRPr="00AE79C1">
        <w:rPr>
          <w:lang w:val="fr-FR"/>
        </w:rPr>
        <w:t>« 3.3.2.6.2</w:t>
      </w:r>
      <w:r w:rsidRPr="00AE79C1">
        <w:rPr>
          <w:lang w:val="fr-FR"/>
        </w:rPr>
        <w:tab/>
        <w:t>Dans le cas de feux comportant une ou plusieurs sources lumineuses remplaçables ou un ou plusieurs modules d</w:t>
      </w:r>
      <w:r w:rsidR="00E76977">
        <w:rPr>
          <w:lang w:val="fr-FR"/>
        </w:rPr>
        <w:t>’</w:t>
      </w:r>
      <w:r w:rsidRPr="00AE79C1">
        <w:rPr>
          <w:lang w:val="fr-FR"/>
        </w:rPr>
        <w:t>éclairage remplaçables, une</w:t>
      </w:r>
      <w:r w:rsidR="001C470B">
        <w:rPr>
          <w:lang w:val="fr-FR"/>
        </w:rPr>
        <w:t xml:space="preserve"> </w:t>
      </w:r>
      <w:r w:rsidRPr="00AE79C1">
        <w:rPr>
          <w:lang w:val="fr-FR"/>
        </w:rPr>
        <w:t>marque indiquant :</w:t>
      </w:r>
    </w:p>
    <w:p w14:paraId="101096BD" w14:textId="77777777" w:rsidR="007B67BD" w:rsidRPr="00AE79C1" w:rsidRDefault="007B67BD" w:rsidP="001C470B">
      <w:pPr>
        <w:pStyle w:val="SingleTxtG"/>
        <w:ind w:left="2835" w:hanging="567"/>
        <w:rPr>
          <w:lang w:val="fr-FR"/>
        </w:rPr>
      </w:pPr>
      <w:r w:rsidRPr="00AE79C1">
        <w:rPr>
          <w:lang w:val="fr-FR"/>
        </w:rPr>
        <w:t>a)</w:t>
      </w:r>
      <w:r w:rsidRPr="00AE79C1">
        <w:rPr>
          <w:lang w:val="fr-FR"/>
        </w:rPr>
        <w:tab/>
        <w:t>La ou les catégories de sources lumineuses prescrites pour les projecteurs des classes AS, BS, CS, DS et ES et pour les feux d</w:t>
      </w:r>
      <w:r w:rsidR="00E76977">
        <w:rPr>
          <w:lang w:val="fr-FR"/>
        </w:rPr>
        <w:t>’</w:t>
      </w:r>
      <w:r w:rsidRPr="00AE79C1">
        <w:rPr>
          <w:lang w:val="fr-FR"/>
        </w:rPr>
        <w:t>angle</w:t>
      </w:r>
      <w:r w:rsidR="00093069">
        <w:rPr>
          <w:lang w:val="fr-FR"/>
        </w:rPr>
        <w:t> </w:t>
      </w:r>
      <w:r w:rsidRPr="00AE79C1">
        <w:rPr>
          <w:lang w:val="fr-FR"/>
        </w:rPr>
        <w:t xml:space="preserve">; </w:t>
      </w:r>
      <w:r w:rsidRPr="007C671D">
        <w:rPr>
          <w:b/>
        </w:rPr>
        <w:t xml:space="preserve">pour les feux homologués avec une ou des source(s) lumineuse(s) à DEL de substitution, également la ou </w:t>
      </w:r>
      <w:r>
        <w:rPr>
          <w:b/>
        </w:rPr>
        <w:t>l</w:t>
      </w:r>
      <w:r w:rsidRPr="007C671D">
        <w:rPr>
          <w:b/>
        </w:rPr>
        <w:t>es catégorie(s) de sources lumineuses à DEL ;</w:t>
      </w:r>
      <w:r w:rsidRPr="00AE79C1">
        <w:t xml:space="preserve"> </w:t>
      </w:r>
      <w:r w:rsidRPr="00AE79C1">
        <w:rPr>
          <w:lang w:val="fr-FR"/>
        </w:rPr>
        <w:t>et/ou</w:t>
      </w:r>
    </w:p>
    <w:p w14:paraId="6773840F" w14:textId="77777777" w:rsidR="007B67BD" w:rsidRPr="00AE79C1" w:rsidRDefault="007B67BD" w:rsidP="001C470B">
      <w:pPr>
        <w:pStyle w:val="SingleTxtG"/>
        <w:ind w:left="2835" w:hanging="567"/>
        <w:rPr>
          <w:snapToGrid w:val="0"/>
          <w:lang w:val="fr-FR"/>
        </w:rPr>
      </w:pPr>
      <w:r w:rsidRPr="00AE79C1">
        <w:rPr>
          <w:lang w:val="fr-FR"/>
        </w:rPr>
        <w:t>b)</w:t>
      </w:r>
      <w:r w:rsidRPr="00AE79C1">
        <w:rPr>
          <w:lang w:val="fr-FR"/>
        </w:rPr>
        <w:tab/>
        <w:t>Le code d</w:t>
      </w:r>
      <w:r w:rsidR="00E76977">
        <w:rPr>
          <w:lang w:val="fr-FR"/>
        </w:rPr>
        <w:t>’</w:t>
      </w:r>
      <w:r w:rsidRPr="00AE79C1">
        <w:rPr>
          <w:lang w:val="fr-FR"/>
        </w:rPr>
        <w:t>identification propre au module d</w:t>
      </w:r>
      <w:r w:rsidR="00E76977">
        <w:rPr>
          <w:lang w:val="fr-FR"/>
        </w:rPr>
        <w:t>’</w:t>
      </w:r>
      <w:r w:rsidRPr="00AE79C1">
        <w:rPr>
          <w:lang w:val="fr-FR"/>
        </w:rPr>
        <w:t>éclairage</w:t>
      </w:r>
      <w:r w:rsidR="00E76977">
        <w:rPr>
          <w:lang w:val="fr-FR"/>
        </w:rPr>
        <w:t> </w:t>
      </w:r>
      <w:r w:rsidRPr="00AE79C1">
        <w:rPr>
          <w:lang w:val="fr-FR"/>
        </w:rPr>
        <w:t>; et/ou</w:t>
      </w:r>
    </w:p>
    <w:p w14:paraId="559E2484" w14:textId="77777777" w:rsidR="007B67BD" w:rsidRPr="00AE79C1" w:rsidRDefault="007B67BD" w:rsidP="001C470B">
      <w:pPr>
        <w:pStyle w:val="SingleTxtG"/>
        <w:ind w:left="2835" w:hanging="567"/>
        <w:rPr>
          <w:lang w:val="fr-FR"/>
        </w:rPr>
      </w:pPr>
      <w:r w:rsidRPr="00AE79C1">
        <w:rPr>
          <w:lang w:val="fr-FR"/>
        </w:rPr>
        <w:t>c)</w:t>
      </w:r>
      <w:r w:rsidRPr="00AE79C1">
        <w:rPr>
          <w:lang w:val="fr-FR"/>
        </w:rPr>
        <w:tab/>
        <w:t>La tension nominale, la puissance nominale et le code d</w:t>
      </w:r>
      <w:r w:rsidR="00E76977">
        <w:rPr>
          <w:lang w:val="fr-FR"/>
        </w:rPr>
        <w:t>’</w:t>
      </w:r>
      <w:r w:rsidRPr="00AE79C1">
        <w:rPr>
          <w:lang w:val="fr-FR"/>
        </w:rPr>
        <w:t>identification propre de chacun des modules DEL pour les projecteurs, les feux de brouillard avant et les systèmes d</w:t>
      </w:r>
      <w:r w:rsidR="00E76977">
        <w:rPr>
          <w:lang w:val="fr-FR"/>
        </w:rPr>
        <w:t>’</w:t>
      </w:r>
      <w:r w:rsidRPr="00AE79C1">
        <w:rPr>
          <w:lang w:val="fr-FR"/>
        </w:rPr>
        <w:t>éclairage avant actifs</w:t>
      </w:r>
      <w:r w:rsidR="00E76977">
        <w:rPr>
          <w:lang w:val="fr-FR"/>
        </w:rPr>
        <w:t> </w:t>
      </w:r>
      <w:r w:rsidRPr="00AE79C1">
        <w:rPr>
          <w:lang w:val="fr-FR"/>
        </w:rPr>
        <w:t>; »</w:t>
      </w:r>
      <w:r w:rsidR="00E76977">
        <w:rPr>
          <w:lang w:val="fr-FR"/>
        </w:rPr>
        <w:t>.</w:t>
      </w:r>
    </w:p>
    <w:p w14:paraId="2EEBB977" w14:textId="77777777" w:rsidR="007B67BD" w:rsidRPr="00AE79C1" w:rsidRDefault="007B67BD" w:rsidP="002E5160">
      <w:pPr>
        <w:pStyle w:val="SingleTxtG"/>
        <w:keepNext/>
        <w:ind w:left="2268" w:hanging="1134"/>
      </w:pPr>
      <w:r w:rsidRPr="00AE79C1">
        <w:rPr>
          <w:i/>
        </w:rPr>
        <w:lastRenderedPageBreak/>
        <w:t>Paragraphe 3.3.2.6.7.2.1</w:t>
      </w:r>
      <w:r w:rsidRPr="00AE79C1">
        <w:t xml:space="preserve">, </w:t>
      </w:r>
      <w:r w:rsidRPr="007C671D">
        <w:t>lire</w:t>
      </w:r>
      <w:r w:rsidR="00E76977">
        <w:t> </w:t>
      </w:r>
      <w:r w:rsidRPr="00AE79C1">
        <w:t>:</w:t>
      </w:r>
    </w:p>
    <w:p w14:paraId="2436D815" w14:textId="77777777" w:rsidR="007B67BD" w:rsidRPr="00AE79C1" w:rsidRDefault="007B67BD" w:rsidP="002E5160">
      <w:pPr>
        <w:pStyle w:val="SingleTxtG"/>
        <w:keepNext/>
        <w:tabs>
          <w:tab w:val="left" w:pos="2835"/>
        </w:tabs>
        <w:ind w:left="2835" w:hanging="1701"/>
        <w:rPr>
          <w:lang w:val="fr-FR"/>
        </w:rPr>
      </w:pPr>
      <w:r w:rsidRPr="00AE79C1">
        <w:t>« </w:t>
      </w:r>
      <w:r w:rsidRPr="00AE79C1">
        <w:rPr>
          <w:lang w:val="fr-FR"/>
        </w:rPr>
        <w:t>3.3.2.6.7.2.1</w:t>
      </w:r>
      <w:r w:rsidR="002E5160">
        <w:rPr>
          <w:lang w:val="fr-FR"/>
        </w:rPr>
        <w:tab/>
      </w:r>
      <w:r w:rsidRPr="00AE79C1">
        <w:rPr>
          <w:lang w:val="fr-FR"/>
        </w:rPr>
        <w:t>Dans le cas d</w:t>
      </w:r>
      <w:r w:rsidR="00E76977">
        <w:rPr>
          <w:lang w:val="fr-FR"/>
        </w:rPr>
        <w:t>’</w:t>
      </w:r>
      <w:r w:rsidRPr="00AE79C1">
        <w:rPr>
          <w:lang w:val="fr-FR"/>
        </w:rPr>
        <w:t xml:space="preserve">une ou plusieurs sources lumineuses, leurs catégories ; </w:t>
      </w:r>
      <w:r w:rsidRPr="00AE79C1">
        <w:rPr>
          <w:b/>
          <w:lang w:val="fr-FR"/>
        </w:rPr>
        <w:t>p</w:t>
      </w:r>
      <w:r w:rsidRPr="00AE79C1">
        <w:rPr>
          <w:b/>
        </w:rPr>
        <w:t xml:space="preserve">our les feux homologués avec une ou des source(s) lumineuse(s) à DEL de substitution, également la ou </w:t>
      </w:r>
      <w:r>
        <w:rPr>
          <w:b/>
        </w:rPr>
        <w:t>l</w:t>
      </w:r>
      <w:r w:rsidRPr="00AE79C1">
        <w:rPr>
          <w:b/>
        </w:rPr>
        <w:t>es catégorie(s) de sources lumineuses à DEL</w:t>
      </w:r>
      <w:r w:rsidR="00E76977">
        <w:rPr>
          <w:b/>
        </w:rPr>
        <w:t> </w:t>
      </w:r>
      <w:r w:rsidRPr="00AE79C1">
        <w:rPr>
          <w:b/>
        </w:rPr>
        <w:t>;</w:t>
      </w:r>
      <w:r w:rsidRPr="00AE79C1">
        <w:rPr>
          <w:lang w:val="fr-FR"/>
        </w:rPr>
        <w:t xml:space="preserve"> et/ou</w:t>
      </w:r>
    </w:p>
    <w:p w14:paraId="670C6CE7" w14:textId="77777777" w:rsidR="007B67BD" w:rsidRPr="00AE79C1" w:rsidRDefault="007B67BD" w:rsidP="002E5160">
      <w:pPr>
        <w:pStyle w:val="SingleTxtG"/>
        <w:ind w:left="2835"/>
        <w:rPr>
          <w:lang w:val="fr-FR"/>
        </w:rPr>
      </w:pPr>
      <w:r w:rsidRPr="00AE79C1">
        <w:rPr>
          <w:lang w:val="fr-FR"/>
        </w:rPr>
        <w:t>Dans le cas d</w:t>
      </w:r>
      <w:r w:rsidR="00E76977">
        <w:rPr>
          <w:lang w:val="fr-FR"/>
        </w:rPr>
        <w:t>’</w:t>
      </w:r>
      <w:r w:rsidRPr="00AE79C1">
        <w:rPr>
          <w:lang w:val="fr-FR"/>
        </w:rPr>
        <w:t>un ou plusieurs modules DEL, la tension nominale, la puissance nominale et le code d</w:t>
      </w:r>
      <w:r w:rsidR="00E76977">
        <w:rPr>
          <w:lang w:val="fr-FR"/>
        </w:rPr>
        <w:t>’</w:t>
      </w:r>
      <w:r w:rsidRPr="00AE79C1">
        <w:rPr>
          <w:lang w:val="fr-FR"/>
        </w:rPr>
        <w:t>identification du ou des module</w:t>
      </w:r>
      <w:r w:rsidR="00103145">
        <w:rPr>
          <w:lang w:val="fr-FR"/>
        </w:rPr>
        <w:t>(</w:t>
      </w:r>
      <w:r w:rsidRPr="00AE79C1">
        <w:rPr>
          <w:lang w:val="fr-FR"/>
        </w:rPr>
        <w:t>s</w:t>
      </w:r>
      <w:r w:rsidR="00103145">
        <w:rPr>
          <w:lang w:val="fr-FR"/>
        </w:rPr>
        <w:t>)</w:t>
      </w:r>
      <w:r w:rsidRPr="00AE79C1">
        <w:rPr>
          <w:lang w:val="fr-FR"/>
        </w:rPr>
        <w:t> ; »</w:t>
      </w:r>
      <w:r w:rsidR="00E76977">
        <w:rPr>
          <w:lang w:val="fr-FR"/>
        </w:rPr>
        <w:t>.</w:t>
      </w:r>
    </w:p>
    <w:p w14:paraId="62BABA80" w14:textId="77777777" w:rsidR="007B67BD" w:rsidRPr="00AE79C1" w:rsidRDefault="007B67BD" w:rsidP="002E5160">
      <w:pPr>
        <w:pStyle w:val="SingleTxtG"/>
        <w:ind w:left="2268" w:hanging="1134"/>
        <w:rPr>
          <w:lang w:val="fr-FR"/>
        </w:rPr>
      </w:pPr>
      <w:r w:rsidRPr="00AE79C1">
        <w:rPr>
          <w:i/>
        </w:rPr>
        <w:t xml:space="preserve">Ajouter le nouveau paragraphe 3.5.8, </w:t>
      </w:r>
      <w:r w:rsidRPr="007C671D">
        <w:t>libellé comme suit</w:t>
      </w:r>
      <w:r w:rsidR="00E76977">
        <w:t> </w:t>
      </w:r>
      <w:r w:rsidRPr="00AE79C1">
        <w:t>:</w:t>
      </w:r>
    </w:p>
    <w:p w14:paraId="30919F83" w14:textId="77777777" w:rsidR="007B67BD" w:rsidRPr="00AE79C1" w:rsidRDefault="007B67BD" w:rsidP="002E5160">
      <w:pPr>
        <w:pStyle w:val="SingleTxtG"/>
        <w:ind w:left="2268" w:hanging="1134"/>
      </w:pPr>
      <w:r w:rsidRPr="00AE79C1">
        <w:rPr>
          <w:lang w:val="fr-FR"/>
        </w:rPr>
        <w:t>« </w:t>
      </w:r>
      <w:r w:rsidRPr="00103145">
        <w:rPr>
          <w:b/>
          <w:lang w:val="fr-FR"/>
        </w:rPr>
        <w:t>3.5.8</w:t>
      </w:r>
      <w:r w:rsidRPr="00AE79C1">
        <w:rPr>
          <w:lang w:val="fr-FR"/>
        </w:rPr>
        <w:tab/>
      </w:r>
      <w:r w:rsidRPr="00AE79C1">
        <w:rPr>
          <w:lang w:val="fr-FR"/>
        </w:rPr>
        <w:tab/>
      </w:r>
      <w:r w:rsidRPr="00AE79C1">
        <w:rPr>
          <w:b/>
        </w:rPr>
        <w:t>Les essais menés avec des sources lumineuses à DEL de substitution ne font pas partie de la procédure de contrôle de conformité de la production. </w:t>
      </w:r>
      <w:r w:rsidRPr="00AE79C1">
        <w:t>»</w:t>
      </w:r>
    </w:p>
    <w:p w14:paraId="5DA1245A" w14:textId="77777777" w:rsidR="007B67BD" w:rsidRPr="00AE79C1" w:rsidRDefault="007B67BD" w:rsidP="002E5160">
      <w:pPr>
        <w:pStyle w:val="SingleTxtG"/>
        <w:ind w:left="2268" w:hanging="1134"/>
      </w:pPr>
      <w:r w:rsidRPr="002E5160">
        <w:rPr>
          <w:i/>
        </w:rPr>
        <w:t>Paragraphe 4.5.2.2</w:t>
      </w:r>
      <w:r w:rsidRPr="00AE79C1">
        <w:t xml:space="preserve">, </w:t>
      </w:r>
      <w:r w:rsidRPr="007C671D">
        <w:t>lire</w:t>
      </w:r>
      <w:r w:rsidR="00E76977">
        <w:t> </w:t>
      </w:r>
      <w:r w:rsidRPr="00AE79C1">
        <w:t>:</w:t>
      </w:r>
    </w:p>
    <w:p w14:paraId="09FC80A4" w14:textId="77777777" w:rsidR="007B67BD" w:rsidRPr="00AE79C1" w:rsidRDefault="007B67BD" w:rsidP="002E5160">
      <w:pPr>
        <w:pStyle w:val="SingleTxtG"/>
        <w:ind w:left="2268" w:hanging="1134"/>
        <w:rPr>
          <w:lang w:val="fr-FR"/>
        </w:rPr>
      </w:pPr>
      <w:r w:rsidRPr="00AE79C1">
        <w:t>« </w:t>
      </w:r>
      <w:r w:rsidRPr="00AE79C1">
        <w:rPr>
          <w:lang w:val="fr-FR"/>
        </w:rPr>
        <w:t>4.5.2.2</w:t>
      </w:r>
      <w:r w:rsidRPr="00AE79C1">
        <w:rPr>
          <w:lang w:val="fr-FR"/>
        </w:rPr>
        <w:tab/>
      </w:r>
      <w:r w:rsidRPr="00AE79C1">
        <w:rPr>
          <w:lang w:val="fr-FR"/>
        </w:rPr>
        <w:tab/>
        <w:t xml:space="preserve">Dans le cas des sources </w:t>
      </w:r>
      <w:r w:rsidRPr="002E5160">
        <w:t>lumineuses</w:t>
      </w:r>
      <w:r w:rsidRPr="00AE79C1">
        <w:rPr>
          <w:lang w:val="fr-FR"/>
        </w:rPr>
        <w:t xml:space="preserve"> remplaçables :</w:t>
      </w:r>
    </w:p>
    <w:p w14:paraId="36DFD54B" w14:textId="77777777" w:rsidR="007B67BD" w:rsidRPr="00AE79C1" w:rsidRDefault="007B67BD" w:rsidP="002E5160">
      <w:pPr>
        <w:pStyle w:val="SingleTxtG"/>
        <w:ind w:left="2835" w:hanging="567"/>
        <w:rPr>
          <w:lang w:val="fr-FR"/>
        </w:rPr>
      </w:pPr>
      <w:r w:rsidRPr="00AE79C1">
        <w:rPr>
          <w:lang w:val="fr-FR"/>
        </w:rPr>
        <w:t>a)</w:t>
      </w:r>
      <w:r w:rsidRPr="00AE79C1">
        <w:rPr>
          <w:lang w:val="fr-FR"/>
        </w:rPr>
        <w:tab/>
        <w:t>Le feu doit être conçu de sorte que la ou les sources lumineuses ne puissent pas être montées autrement que dans la position correcte ;</w:t>
      </w:r>
    </w:p>
    <w:p w14:paraId="44065D30" w14:textId="77777777" w:rsidR="007B67BD" w:rsidRPr="00AE79C1" w:rsidRDefault="007B67BD" w:rsidP="002E5160">
      <w:pPr>
        <w:pStyle w:val="SingleTxtG"/>
        <w:ind w:left="2835" w:hanging="567"/>
        <w:rPr>
          <w:lang w:val="fr-FR"/>
        </w:rPr>
      </w:pPr>
      <w:r w:rsidRPr="00AE79C1">
        <w:rPr>
          <w:lang w:val="fr-FR"/>
        </w:rPr>
        <w:t>b)</w:t>
      </w:r>
      <w:r w:rsidRPr="00AE79C1">
        <w:rPr>
          <w:lang w:val="fr-FR"/>
        </w:rPr>
        <w:tab/>
        <w:t xml:space="preserve">La ou les douilles doivent être conformes aux caractéristiques énoncées dans la norme CEI 60061. </w:t>
      </w:r>
      <w:r w:rsidRPr="00C864DE">
        <w:t>Il convient d</w:t>
      </w:r>
      <w:r w:rsidR="00E76977">
        <w:t>’</w:t>
      </w:r>
      <w:r w:rsidRPr="00C864DE">
        <w:t>employe</w:t>
      </w:r>
      <w:r>
        <w:t>r</w:t>
      </w:r>
      <w:r w:rsidRPr="00C864DE">
        <w:rPr>
          <w:lang w:val="fr-FR"/>
        </w:rPr>
        <w:t xml:space="preserve"> </w:t>
      </w:r>
      <w:r>
        <w:rPr>
          <w:lang w:val="fr-FR"/>
        </w:rPr>
        <w:t>l</w:t>
      </w:r>
      <w:r w:rsidRPr="00AE79C1">
        <w:rPr>
          <w:lang w:val="fr-FR"/>
        </w:rPr>
        <w:t xml:space="preserve">a feuille de caractéristiques des douilles correspondant à la catégorie de </w:t>
      </w:r>
      <w:r w:rsidRPr="007C671D">
        <w:rPr>
          <w:strike/>
          <w:lang w:val="fr-FR"/>
        </w:rPr>
        <w:t>la ou des</w:t>
      </w:r>
      <w:r w:rsidRPr="00AE79C1">
        <w:rPr>
          <w:lang w:val="fr-FR"/>
        </w:rPr>
        <w:t xml:space="preserve"> sources lumineuses </w:t>
      </w:r>
      <w:r w:rsidRPr="007C671D">
        <w:rPr>
          <w:strike/>
          <w:lang w:val="fr-FR"/>
        </w:rPr>
        <w:t>utilisées</w:t>
      </w:r>
      <w:r>
        <w:rPr>
          <w:lang w:val="fr-FR"/>
        </w:rPr>
        <w:t xml:space="preserve"> </w:t>
      </w:r>
      <w:r w:rsidRPr="00AE79C1">
        <w:rPr>
          <w:b/>
          <w:lang w:val="fr-FR"/>
        </w:rPr>
        <w:t>prescrite</w:t>
      </w:r>
      <w:r w:rsidRPr="00AE79C1">
        <w:rPr>
          <w:lang w:val="fr-FR"/>
        </w:rPr>
        <w:t>.</w:t>
      </w:r>
    </w:p>
    <w:p w14:paraId="4331C418" w14:textId="77777777" w:rsidR="007B67BD" w:rsidRPr="00AE79C1" w:rsidRDefault="007B67BD" w:rsidP="002E5160">
      <w:pPr>
        <w:pStyle w:val="SingleTxtG"/>
        <w:ind w:left="2835"/>
      </w:pPr>
      <w:r w:rsidRPr="00AE79C1">
        <w:rPr>
          <w:b/>
        </w:rPr>
        <w:t>À défaut, lorsqu</w:t>
      </w:r>
      <w:r w:rsidR="00E76977">
        <w:rPr>
          <w:b/>
        </w:rPr>
        <w:t>’</w:t>
      </w:r>
      <w:r w:rsidRPr="00AE79C1">
        <w:rPr>
          <w:b/>
        </w:rPr>
        <w:t>une catégorie de sources lumineuses à DEL de substitution est aussi prescrite, la feuille de caractéristiques de la douille correspondant à cette catégorie est applicable. </w:t>
      </w:r>
      <w:r w:rsidRPr="00AE79C1">
        <w:t>»</w:t>
      </w:r>
      <w:r w:rsidR="00E76977">
        <w:t>.</w:t>
      </w:r>
    </w:p>
    <w:p w14:paraId="673C9566" w14:textId="77777777" w:rsidR="007B67BD" w:rsidRPr="00AE79C1" w:rsidRDefault="007B67BD" w:rsidP="002E5160">
      <w:pPr>
        <w:pStyle w:val="SingleTxtG"/>
        <w:ind w:left="2268" w:hanging="1134"/>
      </w:pPr>
      <w:r w:rsidRPr="00AE79C1">
        <w:rPr>
          <w:i/>
        </w:rPr>
        <w:t xml:space="preserve">Ajouter un nouveau paragraphe 4.6.9, </w:t>
      </w:r>
      <w:r w:rsidRPr="007C671D">
        <w:t>libellé comme suit</w:t>
      </w:r>
      <w:r w:rsidR="00093069">
        <w:rPr>
          <w:i/>
        </w:rPr>
        <w:t> </w:t>
      </w:r>
      <w:r w:rsidRPr="00AE79C1">
        <w:t>:</w:t>
      </w:r>
    </w:p>
    <w:p w14:paraId="1A3C4B3D" w14:textId="77777777" w:rsidR="007B67BD" w:rsidRPr="00AE79C1" w:rsidRDefault="007B67BD" w:rsidP="002E5160">
      <w:pPr>
        <w:pStyle w:val="SingleTxtG"/>
        <w:ind w:left="2268" w:hanging="1134"/>
      </w:pPr>
      <w:r w:rsidRPr="00103145">
        <w:t>«</w:t>
      </w:r>
      <w:r w:rsidRPr="00AE79C1">
        <w:rPr>
          <w:b/>
        </w:rPr>
        <w:t> 4.6.9</w:t>
      </w:r>
      <w:r w:rsidRPr="00AE79C1">
        <w:rPr>
          <w:b/>
        </w:rPr>
        <w:tab/>
      </w:r>
      <w:r w:rsidRPr="00AE79C1">
        <w:rPr>
          <w:b/>
        </w:rPr>
        <w:tab/>
        <w:t xml:space="preserve">Dans le cas où, à la discrétion du demandeur, le feu doit également être homologué avec une ou plusieurs sources lumineuses à DEL de </w:t>
      </w:r>
      <w:r w:rsidRPr="00AE79C1">
        <w:rPr>
          <w:b/>
        </w:rPr>
        <w:tab/>
        <w:t>substitution, toutes les mesures photométriques et colorimétriques doivent être répétées sur les sources prescrites. </w:t>
      </w:r>
      <w:r w:rsidRPr="00AE79C1">
        <w:t>»</w:t>
      </w:r>
      <w:r w:rsidR="00E76977">
        <w:t>.</w:t>
      </w:r>
    </w:p>
    <w:p w14:paraId="161F2D31" w14:textId="77777777" w:rsidR="007B67BD" w:rsidRPr="00AE79C1" w:rsidRDefault="007B67BD" w:rsidP="002E5160">
      <w:pPr>
        <w:pStyle w:val="SingleTxtG"/>
        <w:ind w:left="2268" w:hanging="1134"/>
      </w:pPr>
      <w:r w:rsidRPr="00AE79C1">
        <w:rPr>
          <w:i/>
        </w:rPr>
        <w:t xml:space="preserve">Annexe 1, point 9.1.2, </w:t>
      </w:r>
      <w:r w:rsidRPr="007C671D">
        <w:t>lire</w:t>
      </w:r>
      <w:r w:rsidR="00E76977">
        <w:t> </w:t>
      </w:r>
      <w:r w:rsidRPr="00AE79C1">
        <w:t>:</w:t>
      </w:r>
    </w:p>
    <w:p w14:paraId="451575F6" w14:textId="77777777" w:rsidR="007B67BD" w:rsidRPr="00AE79C1" w:rsidRDefault="007B67BD" w:rsidP="002E5160">
      <w:pPr>
        <w:pStyle w:val="SingleTxtG"/>
        <w:ind w:left="2268" w:hanging="1134"/>
        <w:rPr>
          <w:b/>
          <w:lang w:val="fr-FR"/>
        </w:rPr>
      </w:pPr>
      <w:r w:rsidRPr="00AE79C1">
        <w:rPr>
          <w:b/>
          <w:lang w:val="fr-FR"/>
        </w:rPr>
        <w:t>« </w:t>
      </w:r>
      <w:r w:rsidRPr="00AE79C1">
        <w:rPr>
          <w:lang w:val="fr-FR"/>
        </w:rPr>
        <w:t>9.1.2</w:t>
      </w:r>
      <w:r w:rsidRPr="00AE79C1">
        <w:rPr>
          <w:lang w:val="fr-FR"/>
        </w:rPr>
        <w:tab/>
        <w:t>Sources lumineuses (nombre, catégories et types) :</w:t>
      </w:r>
    </w:p>
    <w:p w14:paraId="635B2AF1" w14:textId="77777777" w:rsidR="007B67BD" w:rsidRPr="002E5160" w:rsidRDefault="007B67BD" w:rsidP="002E5160">
      <w:pPr>
        <w:pStyle w:val="SingleTxtG"/>
        <w:ind w:left="2268"/>
        <w:rPr>
          <w:b/>
        </w:rPr>
      </w:pPr>
      <w:r w:rsidRPr="002E5160">
        <w:rPr>
          <w:b/>
        </w:rPr>
        <w:t>Feu homologué avec une ou des sources lumineuses à DEL de substitution : oui/non</w:t>
      </w:r>
      <w:r w:rsidRPr="002E5160">
        <w:rPr>
          <w:b/>
          <w:vertAlign w:val="superscript"/>
        </w:rPr>
        <w:t>2</w:t>
      </w:r>
    </w:p>
    <w:p w14:paraId="3B8B51D1" w14:textId="77777777" w:rsidR="007B67BD" w:rsidRPr="00AE79C1" w:rsidRDefault="007B67BD" w:rsidP="002E5160">
      <w:pPr>
        <w:pStyle w:val="SingleTxtG"/>
        <w:ind w:left="2268"/>
      </w:pPr>
      <w:r w:rsidRPr="00AE79C1">
        <w:rPr>
          <w:b/>
        </w:rPr>
        <w:t>Dans l</w:t>
      </w:r>
      <w:r w:rsidR="00E76977">
        <w:rPr>
          <w:b/>
        </w:rPr>
        <w:t>’</w:t>
      </w:r>
      <w:r w:rsidRPr="00AE79C1">
        <w:rPr>
          <w:b/>
        </w:rPr>
        <w:t>affirmative, catégorie de sources lumineuses à DEL de substitution </w:t>
      </w:r>
      <w:r w:rsidRPr="00AE79C1">
        <w:t>»</w:t>
      </w:r>
      <w:r w:rsidR="00E76977">
        <w:t>.</w:t>
      </w:r>
    </w:p>
    <w:p w14:paraId="6ACE98D6" w14:textId="77777777" w:rsidR="007B67BD" w:rsidRPr="00AE79C1" w:rsidRDefault="007B67BD" w:rsidP="002E5160">
      <w:pPr>
        <w:pStyle w:val="SingleTxtG"/>
        <w:ind w:left="2268" w:hanging="1134"/>
      </w:pPr>
      <w:r w:rsidRPr="00AE79C1">
        <w:rPr>
          <w:i/>
        </w:rPr>
        <w:t>Annexe 1, point 9.2.4,</w:t>
      </w:r>
      <w:r w:rsidRPr="00AE79C1">
        <w:t xml:space="preserve"> </w:t>
      </w:r>
      <w:r w:rsidRPr="007C671D">
        <w:t>lire</w:t>
      </w:r>
      <w:r w:rsidR="00E76977">
        <w:t> </w:t>
      </w:r>
      <w:r w:rsidRPr="00AE79C1">
        <w:t>:</w:t>
      </w:r>
    </w:p>
    <w:p w14:paraId="12CA48C0" w14:textId="77777777" w:rsidR="007B67BD" w:rsidRPr="00AE79C1" w:rsidRDefault="007B67BD" w:rsidP="002E5160">
      <w:pPr>
        <w:pStyle w:val="SingleTxtG"/>
        <w:ind w:left="2268" w:hanging="1134"/>
      </w:pPr>
      <w:r w:rsidRPr="00AE79C1">
        <w:t>« 9.2.4</w:t>
      </w:r>
      <w:r w:rsidRPr="00AE79C1">
        <w:tab/>
      </w:r>
      <w:r w:rsidRPr="00AE79C1">
        <w:rPr>
          <w:lang w:val="fr-FR"/>
        </w:rPr>
        <w:t>Sources lumineuses (nombre, catégories et types) :</w:t>
      </w:r>
    </w:p>
    <w:p w14:paraId="75559CBA" w14:textId="77777777" w:rsidR="007B67BD" w:rsidRPr="00AE79C1" w:rsidRDefault="007B67BD" w:rsidP="00E76977">
      <w:pPr>
        <w:pStyle w:val="SingleTxtG"/>
        <w:ind w:left="2268"/>
        <w:rPr>
          <w:b/>
        </w:rPr>
      </w:pPr>
      <w:r w:rsidRPr="00AE79C1">
        <w:rPr>
          <w:b/>
        </w:rPr>
        <w:t>Feu homologué avec une ou des sources lumineuses à DEL de substitution : oui/non</w:t>
      </w:r>
      <w:r w:rsidRPr="00E76977">
        <w:rPr>
          <w:b/>
          <w:vertAlign w:val="superscript"/>
        </w:rPr>
        <w:t>2</w:t>
      </w:r>
    </w:p>
    <w:p w14:paraId="706A8780" w14:textId="77777777" w:rsidR="007B67BD" w:rsidRPr="00AE79C1" w:rsidRDefault="007B67BD" w:rsidP="00E76977">
      <w:pPr>
        <w:pStyle w:val="SingleTxtG"/>
        <w:ind w:left="2268"/>
      </w:pPr>
      <w:r w:rsidRPr="00AE79C1">
        <w:rPr>
          <w:b/>
        </w:rPr>
        <w:t>Dans l</w:t>
      </w:r>
      <w:r w:rsidR="00E76977">
        <w:rPr>
          <w:b/>
        </w:rPr>
        <w:t>’</w:t>
      </w:r>
      <w:r w:rsidRPr="00AE79C1">
        <w:rPr>
          <w:b/>
        </w:rPr>
        <w:t>affirmative, catégorie de sources lumineuses à DEL de substitution </w:t>
      </w:r>
      <w:r w:rsidRPr="00AE79C1">
        <w:t>»</w:t>
      </w:r>
      <w:r w:rsidR="00E76977">
        <w:t>.</w:t>
      </w:r>
    </w:p>
    <w:p w14:paraId="41DD2420" w14:textId="77777777" w:rsidR="007B67BD" w:rsidRPr="00AE79C1" w:rsidRDefault="007B67BD" w:rsidP="00E76977">
      <w:pPr>
        <w:pStyle w:val="SingleTxtG"/>
        <w:ind w:left="2268" w:hanging="1134"/>
      </w:pPr>
      <w:r w:rsidRPr="00AE79C1">
        <w:rPr>
          <w:i/>
        </w:rPr>
        <w:t>Annexe 1, point 9.3.2,</w:t>
      </w:r>
      <w:r w:rsidRPr="00AE79C1">
        <w:t xml:space="preserve"> </w:t>
      </w:r>
      <w:r w:rsidRPr="007C671D">
        <w:t>lire</w:t>
      </w:r>
      <w:r w:rsidR="00E76977">
        <w:t> </w:t>
      </w:r>
      <w:r w:rsidRPr="00AE79C1">
        <w:t>:</w:t>
      </w:r>
    </w:p>
    <w:p w14:paraId="5BBFA562" w14:textId="77777777" w:rsidR="007B67BD" w:rsidRPr="00AE79C1" w:rsidRDefault="007B67BD" w:rsidP="00E76977">
      <w:pPr>
        <w:pStyle w:val="SingleTxtG"/>
        <w:ind w:left="2268" w:hanging="1134"/>
      </w:pPr>
      <w:r w:rsidRPr="00AE79C1">
        <w:t>« </w:t>
      </w:r>
      <w:r w:rsidRPr="00AE79C1">
        <w:rPr>
          <w:lang w:val="fr-FR"/>
        </w:rPr>
        <w:t>9.3.2</w:t>
      </w:r>
      <w:r w:rsidRPr="00AE79C1">
        <w:rPr>
          <w:lang w:val="fr-FR"/>
        </w:rPr>
        <w:tab/>
      </w:r>
      <w:r w:rsidRPr="00AE79C1">
        <w:rPr>
          <w:lang w:val="fr-FR"/>
        </w:rPr>
        <w:tab/>
        <w:t>Sources lumineuses (nombre, catégories et types), le cas échéant :</w:t>
      </w:r>
    </w:p>
    <w:p w14:paraId="62387E8F" w14:textId="77777777" w:rsidR="007B67BD" w:rsidRPr="00AE79C1" w:rsidRDefault="007B67BD" w:rsidP="00E76977">
      <w:pPr>
        <w:pStyle w:val="SingleTxtG"/>
        <w:ind w:left="2268"/>
        <w:rPr>
          <w:b/>
        </w:rPr>
      </w:pPr>
      <w:r w:rsidRPr="00AE79C1">
        <w:rPr>
          <w:b/>
        </w:rPr>
        <w:t>Feu homologué avec une ou des sources lumineuses à DEL de substitution : oui/non</w:t>
      </w:r>
      <w:r w:rsidRPr="00E76977">
        <w:rPr>
          <w:b/>
          <w:vertAlign w:val="superscript"/>
        </w:rPr>
        <w:t>2</w:t>
      </w:r>
    </w:p>
    <w:p w14:paraId="2C5C2B9C" w14:textId="77777777" w:rsidR="007B67BD" w:rsidRPr="00AE79C1" w:rsidRDefault="007B67BD" w:rsidP="00E76977">
      <w:pPr>
        <w:pStyle w:val="SingleTxtG"/>
        <w:ind w:left="2268"/>
      </w:pPr>
      <w:r w:rsidRPr="00AE79C1">
        <w:rPr>
          <w:b/>
        </w:rPr>
        <w:tab/>
      </w:r>
      <w:r w:rsidR="00E76977">
        <w:rPr>
          <w:b/>
        </w:rPr>
        <w:t>D</w:t>
      </w:r>
      <w:r w:rsidRPr="00AE79C1">
        <w:rPr>
          <w:b/>
        </w:rPr>
        <w:t>ans l</w:t>
      </w:r>
      <w:r w:rsidR="00E76977">
        <w:rPr>
          <w:b/>
        </w:rPr>
        <w:t>’</w:t>
      </w:r>
      <w:r w:rsidRPr="00AE79C1">
        <w:rPr>
          <w:b/>
        </w:rPr>
        <w:t>affirmative, catégorie de sources lumineuses à DEL de substitution </w:t>
      </w:r>
      <w:r w:rsidRPr="00AE79C1">
        <w:t>»</w:t>
      </w:r>
      <w:r w:rsidR="00E76977">
        <w:t>.</w:t>
      </w:r>
    </w:p>
    <w:p w14:paraId="6701DC95" w14:textId="77777777" w:rsidR="007B67BD" w:rsidRPr="00AE79C1" w:rsidRDefault="007B67BD" w:rsidP="00E76977">
      <w:pPr>
        <w:pStyle w:val="SingleTxtG"/>
        <w:keepNext/>
        <w:ind w:left="2268" w:hanging="1134"/>
      </w:pPr>
      <w:r w:rsidRPr="00AE79C1">
        <w:rPr>
          <w:i/>
        </w:rPr>
        <w:lastRenderedPageBreak/>
        <w:t xml:space="preserve">Annexe 1, point 9.5.2, </w:t>
      </w:r>
      <w:r w:rsidRPr="007C671D">
        <w:t>lire</w:t>
      </w:r>
      <w:r w:rsidR="00E76977">
        <w:t> </w:t>
      </w:r>
      <w:r w:rsidRPr="00AE79C1">
        <w:t>:</w:t>
      </w:r>
    </w:p>
    <w:p w14:paraId="4D7822F5" w14:textId="77777777" w:rsidR="007B67BD" w:rsidRPr="00AE79C1" w:rsidRDefault="007B67BD" w:rsidP="00E76977">
      <w:pPr>
        <w:pStyle w:val="SingleTxtG"/>
        <w:keepNext/>
        <w:ind w:left="2268" w:hanging="1134"/>
        <w:rPr>
          <w:lang w:val="fr-FR"/>
        </w:rPr>
      </w:pPr>
      <w:r w:rsidRPr="00AE79C1">
        <w:t>« </w:t>
      </w:r>
      <w:r w:rsidRPr="00AE79C1">
        <w:rPr>
          <w:lang w:val="fr-FR"/>
        </w:rPr>
        <w:t>9.5.2</w:t>
      </w:r>
      <w:r w:rsidRPr="00AE79C1">
        <w:rPr>
          <w:lang w:val="fr-FR"/>
        </w:rPr>
        <w:tab/>
        <w:t>Sources lumineuses (nombre, catégories et types) :</w:t>
      </w:r>
    </w:p>
    <w:p w14:paraId="14E20140" w14:textId="77777777" w:rsidR="007B67BD" w:rsidRPr="00AE79C1" w:rsidRDefault="007B67BD" w:rsidP="00E76977">
      <w:pPr>
        <w:pStyle w:val="SingleTxtG"/>
        <w:keepNext/>
        <w:ind w:left="2268"/>
        <w:rPr>
          <w:b/>
        </w:rPr>
      </w:pPr>
      <w:r w:rsidRPr="00AE79C1">
        <w:rPr>
          <w:b/>
        </w:rPr>
        <w:t>Feu homologué avec une ou des sources lumineuses à DEL de substitution : oui/non</w:t>
      </w:r>
      <w:r w:rsidRPr="00103145">
        <w:rPr>
          <w:b/>
          <w:vertAlign w:val="superscript"/>
        </w:rPr>
        <w:t>2</w:t>
      </w:r>
    </w:p>
    <w:p w14:paraId="3D56AB79" w14:textId="77777777" w:rsidR="007B67BD" w:rsidRPr="00AE79C1" w:rsidRDefault="007B67BD" w:rsidP="00E76977">
      <w:pPr>
        <w:pStyle w:val="SingleTxtG"/>
        <w:ind w:left="2268"/>
      </w:pPr>
      <w:r w:rsidRPr="00AE79C1">
        <w:rPr>
          <w:b/>
        </w:rPr>
        <w:tab/>
      </w:r>
      <w:r w:rsidR="00E76977">
        <w:rPr>
          <w:b/>
        </w:rPr>
        <w:t>D</w:t>
      </w:r>
      <w:r w:rsidRPr="00AE79C1">
        <w:rPr>
          <w:b/>
        </w:rPr>
        <w:t>ans l</w:t>
      </w:r>
      <w:r w:rsidR="00E76977">
        <w:rPr>
          <w:b/>
        </w:rPr>
        <w:t>’</w:t>
      </w:r>
      <w:r w:rsidRPr="00AE79C1">
        <w:rPr>
          <w:b/>
        </w:rPr>
        <w:t>affirmative, catégorie de sources lumineuses à DEL de substitution </w:t>
      </w:r>
      <w:r w:rsidRPr="00AE79C1">
        <w:t>»</w:t>
      </w:r>
      <w:r w:rsidR="00E76977">
        <w:t>.</w:t>
      </w:r>
    </w:p>
    <w:p w14:paraId="40FD15C7" w14:textId="77777777" w:rsidR="007B67BD" w:rsidRPr="00AE79C1" w:rsidRDefault="007B67BD" w:rsidP="00E76977">
      <w:pPr>
        <w:pStyle w:val="SingleTxtG"/>
        <w:ind w:left="2268" w:hanging="1134"/>
      </w:pPr>
      <w:r w:rsidRPr="00AE79C1">
        <w:rPr>
          <w:i/>
        </w:rPr>
        <w:t xml:space="preserve">Annexe 1, point 9.6.1, </w:t>
      </w:r>
      <w:r w:rsidRPr="007C671D">
        <w:t>lire</w:t>
      </w:r>
      <w:r w:rsidR="00E76977">
        <w:t> </w:t>
      </w:r>
      <w:r w:rsidRPr="00AE79C1">
        <w:t>:</w:t>
      </w:r>
    </w:p>
    <w:p w14:paraId="48393E72" w14:textId="77777777" w:rsidR="007B67BD" w:rsidRPr="00AE79C1" w:rsidRDefault="007B67BD" w:rsidP="00E76977">
      <w:pPr>
        <w:pStyle w:val="SingleTxtG"/>
        <w:keepNext/>
        <w:ind w:left="2268" w:hanging="1134"/>
        <w:rPr>
          <w:lang w:val="fr-FR"/>
        </w:rPr>
      </w:pPr>
      <w:r w:rsidRPr="00AE79C1">
        <w:t>« </w:t>
      </w:r>
      <w:r w:rsidRPr="00AE79C1">
        <w:rPr>
          <w:lang w:val="fr-FR"/>
        </w:rPr>
        <w:t>9.6.1</w:t>
      </w:r>
      <w:r w:rsidRPr="00AE79C1">
        <w:rPr>
          <w:lang w:val="fr-FR"/>
        </w:rPr>
        <w:tab/>
        <w:t>Sources lumineuses (nombre, catégories et types)</w:t>
      </w:r>
      <w:r>
        <w:rPr>
          <w:vertAlign w:val="superscript"/>
        </w:rPr>
        <w:t>1</w:t>
      </w:r>
      <w:r w:rsidRPr="007C671D">
        <w:rPr>
          <w:vertAlign w:val="superscript"/>
          <w:lang w:val="fr-FR"/>
        </w:rPr>
        <w:t>2</w:t>
      </w:r>
      <w:r w:rsidRPr="00AE79C1">
        <w:rPr>
          <w:lang w:val="fr-FR"/>
        </w:rPr>
        <w:t> :</w:t>
      </w:r>
    </w:p>
    <w:p w14:paraId="571D7C5F" w14:textId="77777777" w:rsidR="007B67BD" w:rsidRPr="00AE79C1" w:rsidRDefault="007B67BD" w:rsidP="00E76977">
      <w:pPr>
        <w:pStyle w:val="SingleTxtG"/>
        <w:keepNext/>
        <w:ind w:left="2268"/>
        <w:rPr>
          <w:b/>
        </w:rPr>
      </w:pPr>
      <w:r w:rsidRPr="00AE79C1">
        <w:rPr>
          <w:b/>
        </w:rPr>
        <w:t>Feu homologué avec une ou des sources lumineuses à DEL de substitution : oui/non</w:t>
      </w:r>
      <w:r w:rsidRPr="00103145">
        <w:rPr>
          <w:b/>
          <w:vertAlign w:val="superscript"/>
        </w:rPr>
        <w:t>2</w:t>
      </w:r>
    </w:p>
    <w:p w14:paraId="21392400" w14:textId="77777777" w:rsidR="007B67BD" w:rsidRPr="00AE79C1" w:rsidRDefault="007B67BD" w:rsidP="00E76977">
      <w:pPr>
        <w:pStyle w:val="SingleTxtG"/>
        <w:keepNext/>
        <w:ind w:left="2268"/>
      </w:pPr>
      <w:r w:rsidRPr="00AE79C1">
        <w:rPr>
          <w:b/>
        </w:rPr>
        <w:t>Dans l</w:t>
      </w:r>
      <w:r w:rsidR="00E76977">
        <w:rPr>
          <w:b/>
        </w:rPr>
        <w:t>’</w:t>
      </w:r>
      <w:r w:rsidRPr="00AE79C1">
        <w:rPr>
          <w:b/>
        </w:rPr>
        <w:t>affirmative, catégorie de sources lumineuses à DEL de substitution</w:t>
      </w:r>
      <w:r w:rsidR="00E76977">
        <w:rPr>
          <w:b/>
        </w:rPr>
        <w:t>.</w:t>
      </w:r>
      <w:r w:rsidRPr="00AE79C1">
        <w:rPr>
          <w:b/>
        </w:rPr>
        <w:t> </w:t>
      </w:r>
      <w:r w:rsidRPr="00AE79C1">
        <w:t>»</w:t>
      </w:r>
      <w:r w:rsidR="00E76977">
        <w:t>.</w:t>
      </w:r>
    </w:p>
    <w:p w14:paraId="2826E586" w14:textId="77777777" w:rsidR="007B67BD" w:rsidRPr="00AE79C1" w:rsidRDefault="00E76977" w:rsidP="00E76977">
      <w:pPr>
        <w:pStyle w:val="HChG"/>
        <w:rPr>
          <w:bCs/>
        </w:rPr>
      </w:pPr>
      <w:r>
        <w:tab/>
      </w:r>
      <w:r w:rsidR="007B67BD" w:rsidRPr="00AE79C1">
        <w:t>II.</w:t>
      </w:r>
      <w:r w:rsidR="007B67BD" w:rsidRPr="00AE79C1">
        <w:tab/>
      </w:r>
      <w:r w:rsidR="007B67BD" w:rsidRPr="00E76977">
        <w:t>Justification</w:t>
      </w:r>
    </w:p>
    <w:p w14:paraId="77401121" w14:textId="77777777" w:rsidR="00F9573C" w:rsidRDefault="007B67BD" w:rsidP="00E76977">
      <w:pPr>
        <w:pStyle w:val="SingleTxtG"/>
        <w:ind w:firstLine="567"/>
      </w:pPr>
      <w:r w:rsidRPr="00AE79C1">
        <w:rPr>
          <w:bCs/>
        </w:rPr>
        <w:t xml:space="preserve">La présente proposition vise à </w:t>
      </w:r>
      <w:r w:rsidRPr="00AE79C1">
        <w:t>introduire des prescriptions applicables à l</w:t>
      </w:r>
      <w:r w:rsidR="00E76977">
        <w:t>’</w:t>
      </w:r>
      <w:r w:rsidRPr="00AE79C1">
        <w:t xml:space="preserve">utilisation de sources lumineuses à diodes électroluminescentes (DEL) de substitution dans le nouveau règlement ONU </w:t>
      </w:r>
      <w:r w:rsidRPr="00E94488">
        <w:t>n</w:t>
      </w:r>
      <w:r w:rsidRPr="00E94488">
        <w:rPr>
          <w:vertAlign w:val="superscript"/>
        </w:rPr>
        <w:t>o</w:t>
      </w:r>
      <w:r>
        <w:t> [</w:t>
      </w:r>
      <w:r w:rsidRPr="00AE79C1">
        <w:t>149</w:t>
      </w:r>
      <w:r>
        <w:t>]</w:t>
      </w:r>
      <w:r w:rsidRPr="00AE79C1">
        <w:t xml:space="preserve"> sur les dispositifs </w:t>
      </w:r>
      <w:r>
        <w:t>d</w:t>
      </w:r>
      <w:r w:rsidR="00E76977">
        <w:t>’</w:t>
      </w:r>
      <w:r>
        <w:t>éclairage de la route</w:t>
      </w:r>
      <w:r w:rsidRPr="00AE79C1">
        <w:t>, à la suite de l</w:t>
      </w:r>
      <w:r w:rsidR="00E76977">
        <w:t>’</w:t>
      </w:r>
      <w:r w:rsidRPr="00AE79C1">
        <w:t xml:space="preserve">adoption de ces prescriptions </w:t>
      </w:r>
      <w:r>
        <w:t>dans le cadre du</w:t>
      </w:r>
      <w:r w:rsidRPr="00AE79C1">
        <w:t xml:space="preserve"> nouveau Rè</w:t>
      </w:r>
      <w:bookmarkStart w:id="0" w:name="_GoBack"/>
      <w:bookmarkEnd w:id="0"/>
      <w:r w:rsidRPr="00AE79C1">
        <w:t xml:space="preserve">glement ONU </w:t>
      </w:r>
      <w:r w:rsidRPr="00E94488">
        <w:t>n</w:t>
      </w:r>
      <w:r w:rsidRPr="00E94488">
        <w:rPr>
          <w:vertAlign w:val="superscript"/>
        </w:rPr>
        <w:t>o</w:t>
      </w:r>
      <w:r>
        <w:t> [</w:t>
      </w:r>
      <w:r w:rsidRPr="00AE79C1">
        <w:t>148</w:t>
      </w:r>
      <w:r>
        <w:t>]</w:t>
      </w:r>
      <w:r w:rsidRPr="00AE79C1">
        <w:t xml:space="preserve"> concernant les dispositifs de signalisation lumineuse (ECE/TRANS/WP.29/GRE/2018/42, </w:t>
      </w:r>
      <w:r>
        <w:t xml:space="preserve">tel que </w:t>
      </w:r>
      <w:r w:rsidRPr="00AE79C1">
        <w:t>modifié par l</w:t>
      </w:r>
      <w:r w:rsidR="00E76977">
        <w:t>’</w:t>
      </w:r>
      <w:r>
        <w:t>a</w:t>
      </w:r>
      <w:r w:rsidRPr="00AE79C1">
        <w:t>nnexe III du document ECE/TRANS/WP.29/GRE/80).</w:t>
      </w:r>
    </w:p>
    <w:p w14:paraId="6FDE1BD1" w14:textId="77777777" w:rsidR="00E76977" w:rsidRPr="00E76977" w:rsidRDefault="00E76977" w:rsidP="00E76977">
      <w:pPr>
        <w:pStyle w:val="SingleTxtG"/>
        <w:spacing w:before="240" w:after="0"/>
        <w:jc w:val="center"/>
        <w:rPr>
          <w:u w:val="single"/>
        </w:rPr>
      </w:pPr>
      <w:r>
        <w:rPr>
          <w:u w:val="single"/>
        </w:rPr>
        <w:tab/>
      </w:r>
      <w:r>
        <w:rPr>
          <w:u w:val="single"/>
        </w:rPr>
        <w:tab/>
      </w:r>
      <w:r>
        <w:rPr>
          <w:u w:val="single"/>
        </w:rPr>
        <w:tab/>
      </w:r>
    </w:p>
    <w:sectPr w:rsidR="00E76977" w:rsidRPr="00E76977" w:rsidSect="007B67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6BE1" w14:textId="77777777" w:rsidR="00C62844" w:rsidRDefault="00C62844" w:rsidP="00F95C08">
      <w:pPr>
        <w:spacing w:line="240" w:lineRule="auto"/>
      </w:pPr>
    </w:p>
  </w:endnote>
  <w:endnote w:type="continuationSeparator" w:id="0">
    <w:p w14:paraId="7818F4C1" w14:textId="77777777" w:rsidR="00C62844" w:rsidRPr="00AC3823" w:rsidRDefault="00C62844" w:rsidP="00AC3823">
      <w:pPr>
        <w:pStyle w:val="Pieddepage"/>
      </w:pPr>
    </w:p>
  </w:endnote>
  <w:endnote w:type="continuationNotice" w:id="1">
    <w:p w14:paraId="739921E1" w14:textId="77777777" w:rsidR="00C62844" w:rsidRDefault="00C628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FFA1" w14:textId="77777777" w:rsidR="007B67BD" w:rsidRPr="007B67BD" w:rsidRDefault="007B67BD" w:rsidP="007B67BD">
    <w:pPr>
      <w:pStyle w:val="Pieddepage"/>
      <w:tabs>
        <w:tab w:val="right" w:pos="9638"/>
      </w:tabs>
    </w:pPr>
    <w:r w:rsidRPr="007B67BD">
      <w:rPr>
        <w:b/>
        <w:sz w:val="18"/>
      </w:rPr>
      <w:fldChar w:fldCharType="begin"/>
    </w:r>
    <w:r w:rsidRPr="007B67BD">
      <w:rPr>
        <w:b/>
        <w:sz w:val="18"/>
      </w:rPr>
      <w:instrText xml:space="preserve"> PAGE  \* MERGEFORMAT </w:instrText>
    </w:r>
    <w:r w:rsidRPr="007B67BD">
      <w:rPr>
        <w:b/>
        <w:sz w:val="18"/>
      </w:rPr>
      <w:fldChar w:fldCharType="separate"/>
    </w:r>
    <w:r w:rsidRPr="007B67BD">
      <w:rPr>
        <w:b/>
        <w:noProof/>
        <w:sz w:val="18"/>
      </w:rPr>
      <w:t>2</w:t>
    </w:r>
    <w:r w:rsidRPr="007B67BD">
      <w:rPr>
        <w:b/>
        <w:sz w:val="18"/>
      </w:rPr>
      <w:fldChar w:fldCharType="end"/>
    </w:r>
    <w:r>
      <w:rPr>
        <w:b/>
        <w:sz w:val="18"/>
      </w:rPr>
      <w:tab/>
    </w:r>
    <w:r>
      <w:t>GE.19-13522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4BE4" w14:textId="77777777" w:rsidR="007B67BD" w:rsidRPr="007B67BD" w:rsidRDefault="007B67BD" w:rsidP="007B67BD">
    <w:pPr>
      <w:pStyle w:val="Pieddepage"/>
      <w:tabs>
        <w:tab w:val="right" w:pos="9638"/>
      </w:tabs>
      <w:rPr>
        <w:b/>
        <w:sz w:val="18"/>
      </w:rPr>
    </w:pPr>
    <w:r>
      <w:t>GE.19-13522</w:t>
    </w:r>
    <w:r>
      <w:tab/>
    </w:r>
    <w:r w:rsidRPr="007B67BD">
      <w:rPr>
        <w:b/>
        <w:sz w:val="18"/>
      </w:rPr>
      <w:fldChar w:fldCharType="begin"/>
    </w:r>
    <w:r w:rsidRPr="007B67BD">
      <w:rPr>
        <w:b/>
        <w:sz w:val="18"/>
      </w:rPr>
      <w:instrText xml:space="preserve"> PAGE  \* MERGEFORMAT </w:instrText>
    </w:r>
    <w:r w:rsidRPr="007B67BD">
      <w:rPr>
        <w:b/>
        <w:sz w:val="18"/>
      </w:rPr>
      <w:fldChar w:fldCharType="separate"/>
    </w:r>
    <w:r w:rsidRPr="007B67BD">
      <w:rPr>
        <w:b/>
        <w:noProof/>
        <w:sz w:val="18"/>
      </w:rPr>
      <w:t>3</w:t>
    </w:r>
    <w:r w:rsidRPr="007B67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C68F" w14:textId="77777777" w:rsidR="007F20FA" w:rsidRPr="007B67BD" w:rsidRDefault="007B67BD" w:rsidP="007B67BD">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CE4064A" wp14:editId="72D1F8B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19-13522  (F)</w:t>
    </w:r>
    <w:r w:rsidR="00E76977">
      <w:rPr>
        <w:sz w:val="20"/>
      </w:rPr>
      <w:t xml:space="preserve">    220819    060919</w:t>
    </w:r>
    <w:r>
      <w:rPr>
        <w:sz w:val="20"/>
      </w:rPr>
      <w:br/>
    </w:r>
    <w:r w:rsidRPr="007B67BD">
      <w:rPr>
        <w:rFonts w:ascii="C39T30Lfz" w:hAnsi="C39T30Lfz"/>
        <w:sz w:val="56"/>
      </w:rPr>
      <w:t></w:t>
    </w:r>
    <w:r w:rsidRPr="007B67BD">
      <w:rPr>
        <w:rFonts w:ascii="C39T30Lfz" w:hAnsi="C39T30Lfz"/>
        <w:sz w:val="56"/>
      </w:rPr>
      <w:t></w:t>
    </w:r>
    <w:r w:rsidRPr="007B67BD">
      <w:rPr>
        <w:rFonts w:ascii="C39T30Lfz" w:hAnsi="C39T30Lfz"/>
        <w:sz w:val="56"/>
      </w:rPr>
      <w:t></w:t>
    </w:r>
    <w:r w:rsidRPr="007B67BD">
      <w:rPr>
        <w:rFonts w:ascii="C39T30Lfz" w:hAnsi="C39T30Lfz"/>
        <w:sz w:val="56"/>
      </w:rPr>
      <w:t></w:t>
    </w:r>
    <w:r w:rsidRPr="007B67BD">
      <w:rPr>
        <w:rFonts w:ascii="C39T30Lfz" w:hAnsi="C39T30Lfz"/>
        <w:sz w:val="56"/>
      </w:rPr>
      <w:t></w:t>
    </w:r>
    <w:r w:rsidRPr="007B67BD">
      <w:rPr>
        <w:rFonts w:ascii="C39T30Lfz" w:hAnsi="C39T30Lfz"/>
        <w:sz w:val="56"/>
      </w:rPr>
      <w:t></w:t>
    </w:r>
    <w:r w:rsidRPr="007B67BD">
      <w:rPr>
        <w:rFonts w:ascii="C39T30Lfz" w:hAnsi="C39T30Lfz"/>
        <w:sz w:val="56"/>
      </w:rPr>
      <w:t></w:t>
    </w:r>
    <w:r w:rsidRPr="007B67BD">
      <w:rPr>
        <w:rFonts w:ascii="C39T30Lfz" w:hAnsi="C39T30Lfz"/>
        <w:sz w:val="56"/>
      </w:rPr>
      <w:t></w:t>
    </w:r>
    <w:r w:rsidRPr="007B67BD">
      <w:rPr>
        <w:rFonts w:ascii="C39T30Lfz" w:hAnsi="C39T30Lfz"/>
        <w:sz w:val="56"/>
      </w:rPr>
      <w:t></w:t>
    </w:r>
    <w:r>
      <w:rPr>
        <w:noProof/>
        <w:sz w:val="20"/>
      </w:rPr>
      <w:drawing>
        <wp:anchor distT="0" distB="0" distL="114300" distR="114300" simplePos="0" relativeHeight="251658240" behindDoc="0" locked="0" layoutInCell="1" allowOverlap="1" wp14:anchorId="75D663F6" wp14:editId="3CC5C62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A0BA" w14:textId="77777777" w:rsidR="00C62844" w:rsidRPr="00AC3823" w:rsidRDefault="00C62844" w:rsidP="00AC3823">
      <w:pPr>
        <w:pStyle w:val="Pieddepage"/>
        <w:tabs>
          <w:tab w:val="right" w:pos="2155"/>
        </w:tabs>
        <w:spacing w:after="80" w:line="240" w:lineRule="atLeast"/>
        <w:ind w:left="680"/>
        <w:rPr>
          <w:u w:val="single"/>
        </w:rPr>
      </w:pPr>
      <w:r>
        <w:rPr>
          <w:u w:val="single"/>
        </w:rPr>
        <w:tab/>
      </w:r>
    </w:p>
  </w:footnote>
  <w:footnote w:type="continuationSeparator" w:id="0">
    <w:p w14:paraId="60545DA4" w14:textId="77777777" w:rsidR="00C62844" w:rsidRPr="00AC3823" w:rsidRDefault="00C62844" w:rsidP="00AC3823">
      <w:pPr>
        <w:pStyle w:val="Pieddepage"/>
        <w:tabs>
          <w:tab w:val="right" w:pos="2155"/>
        </w:tabs>
        <w:spacing w:after="80" w:line="240" w:lineRule="atLeast"/>
        <w:ind w:left="680"/>
        <w:rPr>
          <w:u w:val="single"/>
        </w:rPr>
      </w:pPr>
      <w:r>
        <w:rPr>
          <w:u w:val="single"/>
        </w:rPr>
        <w:tab/>
      </w:r>
    </w:p>
  </w:footnote>
  <w:footnote w:type="continuationNotice" w:id="1">
    <w:p w14:paraId="57C8CA80" w14:textId="77777777" w:rsidR="00C62844" w:rsidRPr="00AC3823" w:rsidRDefault="00C62844">
      <w:pPr>
        <w:spacing w:line="240" w:lineRule="auto"/>
        <w:rPr>
          <w:sz w:val="2"/>
          <w:szCs w:val="2"/>
        </w:rPr>
      </w:pPr>
    </w:p>
  </w:footnote>
  <w:footnote w:id="2">
    <w:p w14:paraId="0A50CF9F" w14:textId="77777777" w:rsidR="00477B26" w:rsidRPr="00477B26" w:rsidRDefault="00477B26">
      <w:pPr>
        <w:pStyle w:val="Notedebasdepage"/>
      </w:pPr>
      <w:r>
        <w:rPr>
          <w:rStyle w:val="Appelnotedebasdep"/>
        </w:rPr>
        <w:tab/>
      </w:r>
      <w:r w:rsidRPr="00477B26">
        <w:rPr>
          <w:rStyle w:val="Appelnotedebasdep"/>
          <w:sz w:val="20"/>
          <w:vertAlign w:val="baseline"/>
        </w:rPr>
        <w:t>*</w:t>
      </w:r>
      <w:r>
        <w:rPr>
          <w:rStyle w:val="Appelnotedebasdep"/>
          <w:sz w:val="20"/>
          <w:vertAlign w:val="baseline"/>
        </w:rPr>
        <w:tab/>
      </w:r>
      <w:r>
        <w:t>Conformément au programme de travail du Comité des transports intérieurs pour la période 2018</w:t>
      </w:r>
      <w:r w:rsidR="006E2A50">
        <w:noBreakHyphen/>
      </w:r>
      <w:r>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1201" w14:textId="70D583AA" w:rsidR="007B67BD" w:rsidRPr="007B67BD" w:rsidRDefault="007B67BD">
    <w:pPr>
      <w:pStyle w:val="En-tte"/>
    </w:pPr>
    <w:fldSimple w:instr=" TITLE  \* MERGEFORMAT ">
      <w:r w:rsidR="00791D78">
        <w:t>ECE/TRANS/WP.29/GRE/2019/19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9839" w14:textId="2376EACF" w:rsidR="007B67BD" w:rsidRPr="007B67BD" w:rsidRDefault="007B67BD" w:rsidP="007B67BD">
    <w:pPr>
      <w:pStyle w:val="En-tte"/>
      <w:jc w:val="right"/>
    </w:pPr>
    <w:fldSimple w:instr=" TITLE  \* MERGEFORMAT ">
      <w:r w:rsidR="00791D78">
        <w:t>ECE/TRANS/WP.29/GRE/2019/19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2844"/>
    <w:rsid w:val="00017F94"/>
    <w:rsid w:val="00023842"/>
    <w:rsid w:val="000334F9"/>
    <w:rsid w:val="00045FEB"/>
    <w:rsid w:val="0007796D"/>
    <w:rsid w:val="00093069"/>
    <w:rsid w:val="000B7790"/>
    <w:rsid w:val="00103145"/>
    <w:rsid w:val="00111F2F"/>
    <w:rsid w:val="0014365E"/>
    <w:rsid w:val="00143C66"/>
    <w:rsid w:val="00176178"/>
    <w:rsid w:val="001C470B"/>
    <w:rsid w:val="001F525A"/>
    <w:rsid w:val="00223272"/>
    <w:rsid w:val="0024779E"/>
    <w:rsid w:val="00257168"/>
    <w:rsid w:val="002744B8"/>
    <w:rsid w:val="002832AC"/>
    <w:rsid w:val="002D7C93"/>
    <w:rsid w:val="002E5160"/>
    <w:rsid w:val="00305801"/>
    <w:rsid w:val="003916DE"/>
    <w:rsid w:val="00394EC7"/>
    <w:rsid w:val="00421996"/>
    <w:rsid w:val="00441C3B"/>
    <w:rsid w:val="00446FE5"/>
    <w:rsid w:val="00452396"/>
    <w:rsid w:val="00477B26"/>
    <w:rsid w:val="004837D8"/>
    <w:rsid w:val="004E2EED"/>
    <w:rsid w:val="004E468C"/>
    <w:rsid w:val="005505B7"/>
    <w:rsid w:val="00573BE5"/>
    <w:rsid w:val="00586ED3"/>
    <w:rsid w:val="00596AA9"/>
    <w:rsid w:val="006E2A50"/>
    <w:rsid w:val="0071601D"/>
    <w:rsid w:val="00737FAF"/>
    <w:rsid w:val="00791D78"/>
    <w:rsid w:val="007A62E6"/>
    <w:rsid w:val="007B67BD"/>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F7CD4"/>
    <w:rsid w:val="00C02897"/>
    <w:rsid w:val="00C62844"/>
    <w:rsid w:val="00C97039"/>
    <w:rsid w:val="00D3439C"/>
    <w:rsid w:val="00DB1831"/>
    <w:rsid w:val="00DD3BFD"/>
    <w:rsid w:val="00DF6678"/>
    <w:rsid w:val="00E0299A"/>
    <w:rsid w:val="00E76977"/>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415581"/>
  <w15:docId w15:val="{ED4BDC05-4D2A-4FED-8B03-6C64E773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 BVI fnr,4_GR"/>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PP,Footnote Text Char,5_G_6,_G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PP Car,Footnote Text Char Car,5_G_6 Car,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944</Words>
  <Characters>6611</Characters>
  <Application>Microsoft Office Word</Application>
  <DocSecurity>0</DocSecurity>
  <Lines>550</Lines>
  <Paragraphs>302</Paragraphs>
  <ScaleCrop>false</ScaleCrop>
  <HeadingPairs>
    <vt:vector size="2" baseType="variant">
      <vt:variant>
        <vt:lpstr>Titre</vt:lpstr>
      </vt:variant>
      <vt:variant>
        <vt:i4>1</vt:i4>
      </vt:variant>
    </vt:vector>
  </HeadingPairs>
  <TitlesOfParts>
    <vt:vector size="1" baseType="lpstr">
      <vt:lpstr>ECE/TRANS/WP.29/GRE/2019/19</vt:lpstr>
    </vt:vector>
  </TitlesOfParts>
  <Company>DCM</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ECE/TRANS/WP.29/GRE/2019/19</dc:title>
  <dc:subject/>
  <dc:creator>Julien OKRZESIK</dc:creator>
  <cp:keywords/>
  <cp:lastModifiedBy>Julien Okrzesik</cp:lastModifiedBy>
  <cp:revision>3</cp:revision>
  <cp:lastPrinted>2019-09-06T11:07:00Z</cp:lastPrinted>
  <dcterms:created xsi:type="dcterms:W3CDTF">2019-09-06T11:07:00Z</dcterms:created>
  <dcterms:modified xsi:type="dcterms:W3CDTF">2019-09-06T11:07:00Z</dcterms:modified>
</cp:coreProperties>
</file>