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B57" w:rsidRPr="009A2F0E" w:rsidRDefault="00D37B57" w:rsidP="00D37B57">
      <w:pPr>
        <w:contextualSpacing/>
        <w:jc w:val="center"/>
        <w:rPr>
          <w:rFonts w:ascii="Times New Roman" w:hAnsi="Times New Roman" w:cs="Times New Roman"/>
          <w:sz w:val="24"/>
          <w:szCs w:val="24"/>
        </w:rPr>
      </w:pPr>
    </w:p>
    <w:p w:rsidR="00D37B57" w:rsidRPr="009A2F0E" w:rsidRDefault="00F25817" w:rsidP="00B854DC">
      <w:pPr>
        <w:ind w:left="567" w:right="521"/>
        <w:contextualSpacing/>
        <w:jc w:val="center"/>
        <w:rPr>
          <w:rFonts w:ascii="Times New Roman" w:hAnsi="Times New Roman" w:cs="Times New Roman"/>
          <w:sz w:val="24"/>
          <w:szCs w:val="24"/>
        </w:rPr>
      </w:pPr>
      <w:r>
        <w:rPr>
          <w:rFonts w:ascii="Times New Roman" w:hAnsi="Times New Roman" w:cs="Times New Roman"/>
          <w:sz w:val="24"/>
          <w:szCs w:val="24"/>
        </w:rPr>
        <w:t>Proposal for corrections to UN Regulation 65 (Special Warning Lamps) based upon Supplement 10 to the original Regulation</w:t>
      </w:r>
    </w:p>
    <w:p w:rsidR="00D37B57" w:rsidRPr="003112F6" w:rsidRDefault="00D37B57" w:rsidP="00573438">
      <w:pPr>
        <w:contextualSpacing/>
        <w:jc w:val="both"/>
        <w:rPr>
          <w:rFonts w:ascii="Times New Roman" w:hAnsi="Times New Roman" w:cs="Times New Roman"/>
          <w:sz w:val="20"/>
          <w:szCs w:val="20"/>
        </w:rPr>
      </w:pPr>
    </w:p>
    <w:p w:rsidR="00D37B57" w:rsidRDefault="00F25817" w:rsidP="00B854DC">
      <w:pPr>
        <w:pStyle w:val="ListParagraph"/>
        <w:ind w:left="567" w:right="521"/>
        <w:jc w:val="both"/>
        <w:rPr>
          <w:rFonts w:ascii="Times New Roman" w:hAnsi="Times New Roman" w:cs="Times New Roman"/>
          <w:sz w:val="20"/>
          <w:szCs w:val="20"/>
        </w:rPr>
      </w:pPr>
      <w:r>
        <w:rPr>
          <w:rFonts w:ascii="Times New Roman" w:hAnsi="Times New Roman" w:cs="Times New Roman"/>
          <w:sz w:val="20"/>
          <w:szCs w:val="20"/>
        </w:rPr>
        <w:t xml:space="preserve">A recent review of the content of UN Regulation 65 has revealed some long-standing editorial errors that do not affect the technical requirements but do create confusion. </w:t>
      </w:r>
    </w:p>
    <w:p w:rsidR="00E26B7C" w:rsidRDefault="00E26B7C" w:rsidP="00B854DC">
      <w:pPr>
        <w:pStyle w:val="ListParagraph"/>
        <w:ind w:left="567" w:right="521"/>
        <w:jc w:val="both"/>
        <w:rPr>
          <w:rFonts w:ascii="Times New Roman" w:hAnsi="Times New Roman" w:cs="Times New Roman"/>
          <w:sz w:val="20"/>
          <w:szCs w:val="20"/>
        </w:rPr>
      </w:pPr>
    </w:p>
    <w:p w:rsidR="00E26B7C" w:rsidRPr="003112F6" w:rsidRDefault="00E26B7C" w:rsidP="00B854DC">
      <w:pPr>
        <w:pStyle w:val="ListParagraph"/>
        <w:ind w:left="567" w:right="521"/>
        <w:jc w:val="both"/>
        <w:rPr>
          <w:rFonts w:ascii="Times New Roman" w:hAnsi="Times New Roman" w:cs="Times New Roman"/>
          <w:sz w:val="20"/>
          <w:szCs w:val="20"/>
        </w:rPr>
      </w:pPr>
      <w:r>
        <w:rPr>
          <w:rFonts w:ascii="Times New Roman" w:hAnsi="Times New Roman" w:cs="Times New Roman"/>
          <w:sz w:val="20"/>
          <w:szCs w:val="20"/>
        </w:rPr>
        <w:t xml:space="preserve">The proposals for the corrections to the </w:t>
      </w:r>
      <w:r w:rsidRPr="00E26B7C">
        <w:rPr>
          <w:rFonts w:ascii="Times New Roman" w:hAnsi="Times New Roman" w:cs="Times New Roman"/>
          <w:sz w:val="20"/>
          <w:szCs w:val="20"/>
        </w:rPr>
        <w:t>existing text of the Regulation are marked in bold for new or strikethrough for deleted characters.</w:t>
      </w:r>
      <w:bookmarkStart w:id="0" w:name="_GoBack"/>
      <w:bookmarkEnd w:id="0"/>
    </w:p>
    <w:p w:rsidR="00D37B57" w:rsidRPr="003112F6" w:rsidRDefault="00D37B57" w:rsidP="003112F6">
      <w:pPr>
        <w:pStyle w:val="ListParagraph"/>
        <w:ind w:left="0"/>
        <w:contextualSpacing w:val="0"/>
        <w:rPr>
          <w:rFonts w:ascii="Times New Roman" w:hAnsi="Times New Roman" w:cs="Times New Roman"/>
          <w:sz w:val="20"/>
          <w:szCs w:val="20"/>
        </w:rPr>
      </w:pPr>
    </w:p>
    <w:p w:rsidR="006E69B3" w:rsidRPr="00A43CB5" w:rsidRDefault="006E69B3" w:rsidP="00B854DC">
      <w:pPr>
        <w:pStyle w:val="SingleTxtG"/>
        <w:ind w:right="521"/>
      </w:pPr>
      <w:r w:rsidRPr="00A43CB5">
        <w:rPr>
          <w:i/>
          <w:iCs/>
        </w:rPr>
        <w:t>Paragraph</w:t>
      </w:r>
      <w:r w:rsidRPr="00A43CB5">
        <w:rPr>
          <w:i/>
          <w:iCs/>
          <w:lang w:eastAsia="ja-JP"/>
        </w:rPr>
        <w:t xml:space="preserve"> </w:t>
      </w:r>
      <w:r w:rsidR="00E26B7C" w:rsidRPr="00A43CB5">
        <w:rPr>
          <w:i/>
          <w:iCs/>
          <w:lang w:eastAsia="ja-JP"/>
        </w:rPr>
        <w:t>1.3</w:t>
      </w:r>
      <w:r w:rsidRPr="00A43CB5">
        <w:rPr>
          <w:i/>
          <w:iCs/>
          <w:lang w:eastAsia="ja-JP"/>
        </w:rPr>
        <w:t xml:space="preserve">., </w:t>
      </w:r>
      <w:r w:rsidR="00E26B7C" w:rsidRPr="00A43CB5">
        <w:t>correct</w:t>
      </w:r>
      <w:r w:rsidRPr="00A43CB5">
        <w:t xml:space="preserve"> to read:</w:t>
      </w:r>
    </w:p>
    <w:p w:rsidR="00E26B7C" w:rsidRDefault="00E26B7C" w:rsidP="00B854DC">
      <w:pPr>
        <w:pStyle w:val="SingleTxtG"/>
        <w:ind w:left="2268" w:right="521" w:hanging="1134"/>
        <w:rPr>
          <w:iCs/>
        </w:rPr>
      </w:pPr>
      <w:r>
        <w:rPr>
          <w:iCs/>
        </w:rPr>
        <w:t>“</w:t>
      </w:r>
      <w:r w:rsidRPr="00E26B7C">
        <w:rPr>
          <w:iCs/>
        </w:rPr>
        <w:t>1.3.</w:t>
      </w:r>
      <w:r w:rsidRPr="00E26B7C">
        <w:rPr>
          <w:iCs/>
        </w:rPr>
        <w:tab/>
        <w:t xml:space="preserve">The frequency f is the number of flashes or groups of flashes (see Annex 5, para. </w:t>
      </w:r>
      <w:r w:rsidRPr="00E26B7C">
        <w:rPr>
          <w:iCs/>
          <w:strike/>
        </w:rPr>
        <w:t>5</w:t>
      </w:r>
      <w:r w:rsidRPr="00E26B7C">
        <w:rPr>
          <w:b/>
          <w:iCs/>
        </w:rPr>
        <w:t>6</w:t>
      </w:r>
      <w:r w:rsidRPr="00E26B7C">
        <w:rPr>
          <w:iCs/>
        </w:rPr>
        <w:t>) within one second,</w:t>
      </w:r>
      <w:r>
        <w:rPr>
          <w:iCs/>
        </w:rPr>
        <w:t>”</w:t>
      </w:r>
    </w:p>
    <w:p w:rsidR="00E26B7C" w:rsidRDefault="00A43CB5" w:rsidP="00B854DC">
      <w:pPr>
        <w:pStyle w:val="SingleTxtG"/>
        <w:ind w:right="521"/>
        <w:rPr>
          <w:iCs/>
        </w:rPr>
      </w:pPr>
      <w:r w:rsidRPr="00A43CB5">
        <w:rPr>
          <w:i/>
          <w:iCs/>
        </w:rPr>
        <w:t>Paragraph</w:t>
      </w:r>
      <w:r w:rsidRPr="00A43CB5">
        <w:rPr>
          <w:i/>
          <w:iCs/>
          <w:lang w:eastAsia="ja-JP"/>
        </w:rPr>
        <w:t xml:space="preserve"> </w:t>
      </w:r>
      <w:r>
        <w:rPr>
          <w:i/>
          <w:iCs/>
          <w:lang w:eastAsia="ja-JP"/>
        </w:rPr>
        <w:t>2.2.5</w:t>
      </w:r>
      <w:r w:rsidRPr="00A43CB5">
        <w:rPr>
          <w:i/>
          <w:iCs/>
          <w:lang w:eastAsia="ja-JP"/>
        </w:rPr>
        <w:t xml:space="preserve">., </w:t>
      </w:r>
      <w:r w:rsidRPr="00A43CB5">
        <w:t>correct to read:</w:t>
      </w:r>
    </w:p>
    <w:p w:rsidR="00E26B7C" w:rsidRDefault="00A43CB5" w:rsidP="00B854DC">
      <w:pPr>
        <w:pStyle w:val="SingleTxtG"/>
        <w:ind w:left="2268" w:right="521" w:hanging="1134"/>
        <w:rPr>
          <w:iCs/>
        </w:rPr>
      </w:pPr>
      <w:r>
        <w:rPr>
          <w:iCs/>
        </w:rPr>
        <w:t>“</w:t>
      </w:r>
      <w:r w:rsidR="00E26B7C" w:rsidRPr="00E26B7C">
        <w:rPr>
          <w:iCs/>
        </w:rPr>
        <w:t>2.2.5.</w:t>
      </w:r>
      <w:r w:rsidR="00E26B7C" w:rsidRPr="00E26B7C">
        <w:rPr>
          <w:iCs/>
        </w:rPr>
        <w:tab/>
        <w:t xml:space="preserve">Two samples, in principle for a rated voltage of 12 volts and for only one colour, and eventually two other samples for any other rated voltage in the case where an application is submitted simultaneously or subsequently for approval of special warning lamps of other rated voltages. In this case, it is sufficient to carry out tests according to paragraph </w:t>
      </w:r>
      <w:r w:rsidR="00E26B7C" w:rsidRPr="00A43CB5">
        <w:rPr>
          <w:iCs/>
          <w:strike/>
        </w:rPr>
        <w:t>5.5</w:t>
      </w:r>
      <w:r w:rsidRPr="00A43CB5">
        <w:rPr>
          <w:b/>
          <w:iCs/>
        </w:rPr>
        <w:t>5.6</w:t>
      </w:r>
      <w:r w:rsidR="00E26B7C" w:rsidRPr="00A43CB5">
        <w:rPr>
          <w:b/>
          <w:iCs/>
        </w:rPr>
        <w:t>.</w:t>
      </w:r>
      <w:r w:rsidR="00B854DC">
        <w:rPr>
          <w:iCs/>
        </w:rPr>
        <w:t xml:space="preserve"> below</w:t>
      </w:r>
      <w:r>
        <w:rPr>
          <w:iCs/>
        </w:rPr>
        <w:t>”</w:t>
      </w:r>
    </w:p>
    <w:p w:rsidR="00E26B7C" w:rsidRDefault="00A43CB5" w:rsidP="00B854DC">
      <w:pPr>
        <w:pStyle w:val="SingleTxtG"/>
        <w:ind w:right="521"/>
        <w:rPr>
          <w:iCs/>
        </w:rPr>
      </w:pPr>
      <w:r w:rsidRPr="00A43CB5">
        <w:rPr>
          <w:i/>
          <w:iCs/>
        </w:rPr>
        <w:t xml:space="preserve">Annex </w:t>
      </w:r>
      <w:r w:rsidR="00B854DC">
        <w:rPr>
          <w:i/>
          <w:iCs/>
        </w:rPr>
        <w:t>5,</w:t>
      </w:r>
      <w:r>
        <w:rPr>
          <w:i/>
          <w:iCs/>
        </w:rPr>
        <w:t xml:space="preserve"> p</w:t>
      </w:r>
      <w:r w:rsidRPr="00A43CB5">
        <w:rPr>
          <w:i/>
          <w:iCs/>
        </w:rPr>
        <w:t>aragraph 7.1</w:t>
      </w:r>
      <w:r w:rsidRPr="00A43CB5">
        <w:rPr>
          <w:iCs/>
        </w:rPr>
        <w:t>., correct to read:</w:t>
      </w:r>
    </w:p>
    <w:p w:rsidR="00A43CB5" w:rsidRPr="00EA050F" w:rsidRDefault="00A43CB5" w:rsidP="00B854DC">
      <w:pPr>
        <w:pStyle w:val="SingleTxtG"/>
        <w:ind w:left="2268" w:hanging="1134"/>
      </w:pPr>
      <w:r>
        <w:rPr>
          <w:iCs/>
        </w:rPr>
        <w:t>“</w:t>
      </w:r>
      <w:r w:rsidRPr="00EA050F">
        <w:t>7.1</w:t>
      </w:r>
      <w:r w:rsidRPr="00EA050F">
        <w:tab/>
        <w:t xml:space="preserve">The frequency, the "ON" time and the "OFF" time shall be as specified in the table </w:t>
      </w:r>
      <w:r w:rsidR="00B854DC">
        <w:t>b</w:t>
      </w:r>
      <w:r w:rsidRPr="00EA050F">
        <w:t>elow</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3968"/>
      </w:tblGrid>
      <w:tr w:rsidR="00A43CB5" w:rsidRPr="00A43CB5" w:rsidTr="00B854DC">
        <w:trPr>
          <w:tblHeader/>
        </w:trPr>
        <w:tc>
          <w:tcPr>
            <w:tcW w:w="1843" w:type="dxa"/>
            <w:tcBorders>
              <w:top w:val="nil"/>
              <w:left w:val="nil"/>
              <w:bottom w:val="nil"/>
              <w:right w:val="nil"/>
            </w:tcBorders>
            <w:shd w:val="clear" w:color="auto" w:fill="auto"/>
            <w:vAlign w:val="bottom"/>
          </w:tcPr>
          <w:p w:rsidR="00A43CB5" w:rsidRPr="00A43CB5" w:rsidRDefault="00A43CB5" w:rsidP="00A43CB5">
            <w:pPr>
              <w:spacing w:before="80" w:after="80" w:line="200" w:lineRule="exact"/>
              <w:ind w:right="113"/>
              <w:rPr>
                <w:rFonts w:ascii="Times New Roman" w:hAnsi="Times New Roman" w:cs="Times New Roman"/>
                <w:i/>
                <w:sz w:val="20"/>
                <w:szCs w:val="20"/>
              </w:rPr>
            </w:pPr>
          </w:p>
        </w:tc>
        <w:tc>
          <w:tcPr>
            <w:tcW w:w="1559" w:type="dxa"/>
            <w:tcBorders>
              <w:top w:val="nil"/>
              <w:left w:val="nil"/>
              <w:bottom w:val="nil"/>
            </w:tcBorders>
            <w:shd w:val="clear" w:color="auto" w:fill="auto"/>
            <w:vAlign w:val="bottom"/>
          </w:tcPr>
          <w:p w:rsidR="00A43CB5" w:rsidRPr="00A43CB5" w:rsidRDefault="00A43CB5" w:rsidP="00A43CB5">
            <w:pPr>
              <w:spacing w:before="80" w:after="80" w:line="200" w:lineRule="exact"/>
              <w:ind w:right="113"/>
              <w:rPr>
                <w:rFonts w:ascii="Times New Roman" w:hAnsi="Times New Roman" w:cs="Times New Roman"/>
                <w:i/>
                <w:sz w:val="20"/>
                <w:szCs w:val="20"/>
              </w:rPr>
            </w:pPr>
          </w:p>
        </w:tc>
        <w:tc>
          <w:tcPr>
            <w:tcW w:w="3968" w:type="dxa"/>
            <w:shd w:val="clear" w:color="auto" w:fill="auto"/>
            <w:vAlign w:val="bottom"/>
          </w:tcPr>
          <w:p w:rsidR="00A43CB5" w:rsidRPr="00A43CB5" w:rsidRDefault="00A43CB5" w:rsidP="00A43CB5">
            <w:pPr>
              <w:spacing w:before="80" w:after="80" w:line="200" w:lineRule="exact"/>
              <w:ind w:left="288" w:right="115"/>
              <w:rPr>
                <w:rFonts w:ascii="Times New Roman" w:hAnsi="Times New Roman" w:cs="Times New Roman"/>
                <w:i/>
                <w:sz w:val="20"/>
                <w:szCs w:val="20"/>
              </w:rPr>
            </w:pPr>
            <w:r w:rsidRPr="00A43CB5">
              <w:rPr>
                <w:rFonts w:ascii="Times New Roman" w:hAnsi="Times New Roman" w:cs="Times New Roman"/>
                <w:i/>
                <w:sz w:val="20"/>
                <w:szCs w:val="20"/>
              </w:rPr>
              <w:t xml:space="preserve">Colour blue </w:t>
            </w:r>
            <w:r w:rsidRPr="00A43CB5">
              <w:rPr>
                <w:rFonts w:ascii="Times New Roman" w:hAnsi="Times New Roman" w:cs="Times New Roman"/>
                <w:i/>
                <w:strike/>
                <w:sz w:val="20"/>
                <w:szCs w:val="20"/>
              </w:rPr>
              <w:t>or</w:t>
            </w:r>
            <w:r w:rsidRPr="00A43CB5">
              <w:rPr>
                <w:rFonts w:ascii="Times New Roman" w:hAnsi="Times New Roman" w:cs="Times New Roman"/>
                <w:b/>
                <w:i/>
                <w:sz w:val="20"/>
                <w:szCs w:val="20"/>
              </w:rPr>
              <w:t>,</w:t>
            </w:r>
            <w:r w:rsidRPr="00A43CB5">
              <w:rPr>
                <w:rFonts w:ascii="Times New Roman" w:hAnsi="Times New Roman" w:cs="Times New Roman"/>
                <w:i/>
                <w:sz w:val="20"/>
                <w:szCs w:val="20"/>
              </w:rPr>
              <w:t xml:space="preserve"> amber</w:t>
            </w:r>
            <w:r>
              <w:rPr>
                <w:rFonts w:ascii="Times New Roman" w:hAnsi="Times New Roman" w:cs="Times New Roman"/>
                <w:i/>
                <w:sz w:val="20"/>
                <w:szCs w:val="20"/>
              </w:rPr>
              <w:t xml:space="preserve"> </w:t>
            </w:r>
            <w:r w:rsidRPr="00A43CB5">
              <w:rPr>
                <w:rFonts w:ascii="Times New Roman" w:hAnsi="Times New Roman" w:cs="Times New Roman"/>
                <w:b/>
                <w:i/>
                <w:sz w:val="20"/>
                <w:szCs w:val="20"/>
              </w:rPr>
              <w:t>or red</w:t>
            </w:r>
          </w:p>
        </w:tc>
      </w:tr>
      <w:tr w:rsidR="00A43CB5" w:rsidRPr="00A43CB5" w:rsidTr="00B854DC">
        <w:trPr>
          <w:cantSplit/>
        </w:trPr>
        <w:tc>
          <w:tcPr>
            <w:tcW w:w="1843" w:type="dxa"/>
            <w:tcBorders>
              <w:top w:val="nil"/>
              <w:left w:val="nil"/>
              <w:bottom w:val="single" w:sz="12" w:space="0" w:color="auto"/>
              <w:right w:val="nil"/>
            </w:tcBorders>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r w:rsidRPr="00A43CB5">
              <w:rPr>
                <w:rFonts w:ascii="Times New Roman" w:hAnsi="Times New Roman" w:cs="Times New Roman"/>
                <w:sz w:val="20"/>
                <w:szCs w:val="20"/>
              </w:rPr>
              <w:tab/>
            </w:r>
          </w:p>
        </w:tc>
        <w:tc>
          <w:tcPr>
            <w:tcW w:w="1559" w:type="dxa"/>
            <w:tcBorders>
              <w:top w:val="nil"/>
              <w:left w:val="nil"/>
              <w:bottom w:val="single" w:sz="12" w:space="0" w:color="auto"/>
            </w:tcBorders>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p>
        </w:tc>
        <w:tc>
          <w:tcPr>
            <w:tcW w:w="3968" w:type="dxa"/>
            <w:tcBorders>
              <w:bottom w:val="single" w:sz="12" w:space="0" w:color="auto"/>
            </w:tcBorders>
            <w:shd w:val="clear" w:color="auto" w:fill="auto"/>
          </w:tcPr>
          <w:p w:rsidR="00A43CB5" w:rsidRPr="00A43CB5" w:rsidRDefault="00A43CB5" w:rsidP="00A43CB5">
            <w:pPr>
              <w:spacing w:before="80" w:after="80" w:line="200" w:lineRule="exact"/>
              <w:ind w:left="288" w:right="115"/>
              <w:rPr>
                <w:rFonts w:ascii="Times New Roman" w:hAnsi="Times New Roman" w:cs="Times New Roman"/>
                <w:i/>
                <w:sz w:val="20"/>
                <w:szCs w:val="20"/>
              </w:rPr>
            </w:pPr>
            <w:r w:rsidRPr="00A43CB5">
              <w:rPr>
                <w:rFonts w:ascii="Times New Roman" w:hAnsi="Times New Roman" w:cs="Times New Roman"/>
                <w:i/>
                <w:sz w:val="20"/>
                <w:szCs w:val="20"/>
              </w:rPr>
              <w:t>rotating system or flash light sources</w:t>
            </w:r>
          </w:p>
          <w:p w:rsidR="00A43CB5" w:rsidRPr="00A43CB5" w:rsidRDefault="00A43CB5" w:rsidP="00A43CB5">
            <w:pPr>
              <w:spacing w:before="80" w:after="80" w:line="200" w:lineRule="exact"/>
              <w:ind w:left="288" w:right="115"/>
              <w:rPr>
                <w:rFonts w:ascii="Times New Roman" w:hAnsi="Times New Roman" w:cs="Times New Roman"/>
                <w:i/>
                <w:sz w:val="20"/>
                <w:szCs w:val="20"/>
              </w:rPr>
            </w:pPr>
            <w:r w:rsidRPr="00A43CB5">
              <w:rPr>
                <w:rFonts w:ascii="Times New Roman" w:hAnsi="Times New Roman" w:cs="Times New Roman"/>
                <w:i/>
                <w:sz w:val="20"/>
                <w:szCs w:val="20"/>
              </w:rPr>
              <w:t>(Categories T and X)</w:t>
            </w:r>
          </w:p>
        </w:tc>
      </w:tr>
      <w:tr w:rsidR="00A43CB5" w:rsidRPr="00A43CB5" w:rsidTr="00B854DC">
        <w:trPr>
          <w:cantSplit/>
        </w:trPr>
        <w:tc>
          <w:tcPr>
            <w:tcW w:w="1843" w:type="dxa"/>
            <w:vMerge w:val="restart"/>
            <w:tcBorders>
              <w:top w:val="single" w:sz="12" w:space="0" w:color="auto"/>
            </w:tcBorders>
            <w:shd w:val="clear" w:color="auto" w:fill="auto"/>
          </w:tcPr>
          <w:p w:rsidR="00A43CB5" w:rsidRPr="00A43CB5" w:rsidRDefault="00A43CB5" w:rsidP="00A43CB5">
            <w:pPr>
              <w:spacing w:before="40" w:line="220" w:lineRule="exact"/>
              <w:ind w:left="115" w:right="115"/>
              <w:rPr>
                <w:rFonts w:ascii="Times New Roman" w:hAnsi="Times New Roman" w:cs="Times New Roman"/>
                <w:sz w:val="20"/>
                <w:szCs w:val="20"/>
              </w:rPr>
            </w:pPr>
            <w:r w:rsidRPr="00A43CB5">
              <w:rPr>
                <w:rFonts w:ascii="Times New Roman" w:hAnsi="Times New Roman" w:cs="Times New Roman"/>
                <w:sz w:val="20"/>
                <w:szCs w:val="20"/>
              </w:rPr>
              <w:t>Frequency f (Hz)</w:t>
            </w:r>
          </w:p>
        </w:tc>
        <w:tc>
          <w:tcPr>
            <w:tcW w:w="1559" w:type="dxa"/>
            <w:tcBorders>
              <w:top w:val="single" w:sz="12" w:space="0" w:color="auto"/>
            </w:tcBorders>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r w:rsidRPr="00A43CB5">
              <w:rPr>
                <w:rFonts w:ascii="Times New Roman" w:hAnsi="Times New Roman" w:cs="Times New Roman"/>
                <w:sz w:val="20"/>
                <w:szCs w:val="20"/>
              </w:rPr>
              <w:tab/>
              <w:t>max.</w:t>
            </w:r>
          </w:p>
        </w:tc>
        <w:tc>
          <w:tcPr>
            <w:tcW w:w="3968" w:type="dxa"/>
            <w:tcBorders>
              <w:top w:val="single" w:sz="12" w:space="0" w:color="auto"/>
            </w:tcBorders>
            <w:shd w:val="clear" w:color="auto" w:fill="auto"/>
          </w:tcPr>
          <w:p w:rsidR="00A43CB5" w:rsidRPr="00A43CB5" w:rsidRDefault="00A43CB5" w:rsidP="00A43CB5">
            <w:pPr>
              <w:spacing w:before="40" w:line="220" w:lineRule="exact"/>
              <w:ind w:left="115" w:right="115"/>
              <w:jc w:val="center"/>
              <w:rPr>
                <w:rFonts w:ascii="Times New Roman" w:hAnsi="Times New Roman" w:cs="Times New Roman"/>
                <w:sz w:val="20"/>
                <w:szCs w:val="20"/>
              </w:rPr>
            </w:pPr>
            <w:r w:rsidRPr="00A43CB5">
              <w:rPr>
                <w:rFonts w:ascii="Times New Roman" w:hAnsi="Times New Roman" w:cs="Times New Roman"/>
                <w:sz w:val="20"/>
                <w:szCs w:val="20"/>
              </w:rPr>
              <w:t>4</w:t>
            </w:r>
          </w:p>
        </w:tc>
      </w:tr>
      <w:tr w:rsidR="00A43CB5" w:rsidRPr="00A43CB5" w:rsidTr="00B854DC">
        <w:trPr>
          <w:cantSplit/>
        </w:trPr>
        <w:tc>
          <w:tcPr>
            <w:tcW w:w="1843" w:type="dxa"/>
            <w:vMerge/>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p>
        </w:tc>
        <w:tc>
          <w:tcPr>
            <w:tcW w:w="1559" w:type="dxa"/>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r w:rsidRPr="00A43CB5">
              <w:rPr>
                <w:rFonts w:ascii="Times New Roman" w:hAnsi="Times New Roman" w:cs="Times New Roman"/>
                <w:sz w:val="20"/>
                <w:szCs w:val="20"/>
              </w:rPr>
              <w:tab/>
              <w:t>min.</w:t>
            </w:r>
          </w:p>
        </w:tc>
        <w:tc>
          <w:tcPr>
            <w:tcW w:w="3968" w:type="dxa"/>
            <w:shd w:val="clear" w:color="auto" w:fill="auto"/>
          </w:tcPr>
          <w:p w:rsidR="00A43CB5" w:rsidRPr="00A43CB5" w:rsidRDefault="00A43CB5" w:rsidP="00A43CB5">
            <w:pPr>
              <w:spacing w:before="40" w:line="220" w:lineRule="exact"/>
              <w:ind w:left="115" w:right="115"/>
              <w:jc w:val="center"/>
              <w:rPr>
                <w:rFonts w:ascii="Times New Roman" w:hAnsi="Times New Roman" w:cs="Times New Roman"/>
                <w:sz w:val="20"/>
                <w:szCs w:val="20"/>
              </w:rPr>
            </w:pPr>
            <w:r w:rsidRPr="00A43CB5">
              <w:rPr>
                <w:rFonts w:ascii="Times New Roman" w:hAnsi="Times New Roman" w:cs="Times New Roman"/>
                <w:sz w:val="20"/>
                <w:szCs w:val="20"/>
              </w:rPr>
              <w:t>2</w:t>
            </w:r>
          </w:p>
        </w:tc>
      </w:tr>
      <w:tr w:rsidR="00A43CB5" w:rsidRPr="00A43CB5" w:rsidTr="00B854DC">
        <w:trPr>
          <w:cantSplit/>
        </w:trPr>
        <w:tc>
          <w:tcPr>
            <w:tcW w:w="1843" w:type="dxa"/>
            <w:shd w:val="clear" w:color="auto" w:fill="auto"/>
          </w:tcPr>
          <w:p w:rsidR="00A43CB5" w:rsidRPr="00A43CB5" w:rsidRDefault="00A43CB5" w:rsidP="00A43CB5">
            <w:pPr>
              <w:spacing w:before="40" w:line="220" w:lineRule="exact"/>
              <w:ind w:left="115" w:right="115"/>
              <w:rPr>
                <w:rFonts w:ascii="Times New Roman" w:hAnsi="Times New Roman" w:cs="Times New Roman"/>
                <w:sz w:val="20"/>
                <w:szCs w:val="20"/>
              </w:rPr>
            </w:pPr>
            <w:r w:rsidRPr="00A43CB5">
              <w:rPr>
                <w:rFonts w:ascii="Times New Roman" w:hAnsi="Times New Roman" w:cs="Times New Roman"/>
                <w:sz w:val="20"/>
                <w:szCs w:val="20"/>
              </w:rPr>
              <w:t xml:space="preserve">"ON" time </w:t>
            </w:r>
            <w:proofErr w:type="spellStart"/>
            <w:r w:rsidRPr="00A43CB5">
              <w:rPr>
                <w:rFonts w:ascii="Times New Roman" w:hAnsi="Times New Roman" w:cs="Times New Roman"/>
                <w:sz w:val="20"/>
                <w:szCs w:val="20"/>
              </w:rPr>
              <w:t>t</w:t>
            </w:r>
            <w:r w:rsidRPr="00A43CB5">
              <w:rPr>
                <w:rFonts w:ascii="Times New Roman" w:hAnsi="Times New Roman" w:cs="Times New Roman"/>
                <w:sz w:val="20"/>
                <w:szCs w:val="20"/>
                <w:vertAlign w:val="subscript"/>
              </w:rPr>
              <w:t>H</w:t>
            </w:r>
            <w:proofErr w:type="spellEnd"/>
            <w:r w:rsidRPr="00A43CB5">
              <w:rPr>
                <w:rFonts w:ascii="Times New Roman" w:hAnsi="Times New Roman" w:cs="Times New Roman"/>
                <w:sz w:val="20"/>
                <w:szCs w:val="20"/>
              </w:rPr>
              <w:t xml:space="preserve"> (s)</w:t>
            </w:r>
          </w:p>
        </w:tc>
        <w:tc>
          <w:tcPr>
            <w:tcW w:w="1559" w:type="dxa"/>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r w:rsidRPr="00A43CB5">
              <w:rPr>
                <w:rFonts w:ascii="Times New Roman" w:hAnsi="Times New Roman" w:cs="Times New Roman"/>
                <w:sz w:val="20"/>
                <w:szCs w:val="20"/>
              </w:rPr>
              <w:tab/>
              <w:t>max.</w:t>
            </w:r>
          </w:p>
        </w:tc>
        <w:tc>
          <w:tcPr>
            <w:tcW w:w="3968" w:type="dxa"/>
            <w:shd w:val="clear" w:color="auto" w:fill="auto"/>
          </w:tcPr>
          <w:p w:rsidR="00A43CB5" w:rsidRPr="00A43CB5" w:rsidRDefault="00A43CB5" w:rsidP="00A43CB5">
            <w:pPr>
              <w:spacing w:before="40" w:line="220" w:lineRule="exact"/>
              <w:ind w:left="115" w:right="115"/>
              <w:jc w:val="center"/>
              <w:rPr>
                <w:rFonts w:ascii="Times New Roman" w:hAnsi="Times New Roman" w:cs="Times New Roman"/>
                <w:sz w:val="20"/>
                <w:szCs w:val="20"/>
              </w:rPr>
            </w:pPr>
            <w:r w:rsidRPr="00A43CB5">
              <w:rPr>
                <w:rFonts w:ascii="Times New Roman" w:hAnsi="Times New Roman" w:cs="Times New Roman"/>
                <w:sz w:val="20"/>
                <w:szCs w:val="20"/>
              </w:rPr>
              <w:t>0.4/f</w:t>
            </w:r>
          </w:p>
        </w:tc>
      </w:tr>
      <w:tr w:rsidR="00A43CB5" w:rsidRPr="00A43CB5" w:rsidTr="00B854DC">
        <w:trPr>
          <w:cantSplit/>
        </w:trPr>
        <w:tc>
          <w:tcPr>
            <w:tcW w:w="1843" w:type="dxa"/>
            <w:tcBorders>
              <w:bottom w:val="single" w:sz="12" w:space="0" w:color="auto"/>
            </w:tcBorders>
            <w:shd w:val="clear" w:color="auto" w:fill="auto"/>
          </w:tcPr>
          <w:p w:rsidR="00A43CB5" w:rsidRPr="00A43CB5" w:rsidRDefault="00A43CB5" w:rsidP="00A43CB5">
            <w:pPr>
              <w:spacing w:before="40" w:line="220" w:lineRule="exact"/>
              <w:ind w:left="115" w:right="115"/>
              <w:rPr>
                <w:rFonts w:ascii="Times New Roman" w:hAnsi="Times New Roman" w:cs="Times New Roman"/>
                <w:sz w:val="20"/>
                <w:szCs w:val="20"/>
              </w:rPr>
            </w:pPr>
            <w:r w:rsidRPr="00A43CB5">
              <w:rPr>
                <w:rFonts w:ascii="Times New Roman" w:hAnsi="Times New Roman" w:cs="Times New Roman"/>
                <w:sz w:val="20"/>
                <w:szCs w:val="20"/>
              </w:rPr>
              <w:t xml:space="preserve">"OFF" time </w:t>
            </w:r>
            <w:proofErr w:type="spellStart"/>
            <w:r w:rsidRPr="00A43CB5">
              <w:rPr>
                <w:rFonts w:ascii="Times New Roman" w:hAnsi="Times New Roman" w:cs="Times New Roman"/>
                <w:sz w:val="20"/>
                <w:szCs w:val="20"/>
              </w:rPr>
              <w:t>t</w:t>
            </w:r>
            <w:r w:rsidRPr="00A43CB5">
              <w:rPr>
                <w:rFonts w:ascii="Times New Roman" w:hAnsi="Times New Roman" w:cs="Times New Roman"/>
                <w:sz w:val="20"/>
                <w:szCs w:val="20"/>
                <w:vertAlign w:val="subscript"/>
              </w:rPr>
              <w:t>D</w:t>
            </w:r>
            <w:proofErr w:type="spellEnd"/>
            <w:r w:rsidRPr="00A43CB5">
              <w:rPr>
                <w:rFonts w:ascii="Times New Roman" w:hAnsi="Times New Roman" w:cs="Times New Roman"/>
                <w:sz w:val="20"/>
                <w:szCs w:val="20"/>
              </w:rPr>
              <w:t xml:space="preserve"> (s)</w:t>
            </w:r>
          </w:p>
        </w:tc>
        <w:tc>
          <w:tcPr>
            <w:tcW w:w="1559" w:type="dxa"/>
            <w:tcBorders>
              <w:bottom w:val="single" w:sz="12" w:space="0" w:color="auto"/>
            </w:tcBorders>
            <w:shd w:val="clear" w:color="auto" w:fill="auto"/>
          </w:tcPr>
          <w:p w:rsidR="00A43CB5" w:rsidRPr="00A43CB5" w:rsidRDefault="00A43CB5" w:rsidP="00A43CB5">
            <w:pPr>
              <w:spacing w:before="40" w:line="220" w:lineRule="exact"/>
              <w:ind w:right="113"/>
              <w:rPr>
                <w:rFonts w:ascii="Times New Roman" w:hAnsi="Times New Roman" w:cs="Times New Roman"/>
                <w:sz w:val="20"/>
                <w:szCs w:val="20"/>
              </w:rPr>
            </w:pPr>
            <w:r w:rsidRPr="00A43CB5">
              <w:rPr>
                <w:rFonts w:ascii="Times New Roman" w:hAnsi="Times New Roman" w:cs="Times New Roman"/>
                <w:sz w:val="20"/>
                <w:szCs w:val="20"/>
              </w:rPr>
              <w:tab/>
              <w:t>min.</w:t>
            </w:r>
          </w:p>
        </w:tc>
        <w:tc>
          <w:tcPr>
            <w:tcW w:w="3968" w:type="dxa"/>
            <w:tcBorders>
              <w:bottom w:val="single" w:sz="12" w:space="0" w:color="auto"/>
            </w:tcBorders>
            <w:shd w:val="clear" w:color="auto" w:fill="auto"/>
          </w:tcPr>
          <w:p w:rsidR="00A43CB5" w:rsidRPr="00A43CB5" w:rsidRDefault="00A43CB5" w:rsidP="00A43CB5">
            <w:pPr>
              <w:spacing w:before="40" w:line="220" w:lineRule="exact"/>
              <w:ind w:left="115" w:right="115"/>
              <w:jc w:val="center"/>
              <w:rPr>
                <w:rFonts w:ascii="Times New Roman" w:hAnsi="Times New Roman" w:cs="Times New Roman"/>
                <w:sz w:val="20"/>
                <w:szCs w:val="20"/>
              </w:rPr>
            </w:pPr>
            <w:r w:rsidRPr="00A43CB5">
              <w:rPr>
                <w:rFonts w:ascii="Times New Roman" w:hAnsi="Times New Roman" w:cs="Times New Roman"/>
                <w:sz w:val="20"/>
                <w:szCs w:val="20"/>
              </w:rPr>
              <w:t>0.1</w:t>
            </w:r>
          </w:p>
        </w:tc>
      </w:tr>
    </w:tbl>
    <w:p w:rsidR="00A43CB5" w:rsidRPr="00A43CB5" w:rsidRDefault="00B854DC" w:rsidP="00B854DC">
      <w:pPr>
        <w:pStyle w:val="SingleTxtG"/>
        <w:ind w:left="542" w:right="521"/>
        <w:jc w:val="right"/>
        <w:rPr>
          <w:iCs/>
        </w:rPr>
      </w:pPr>
      <w:r>
        <w:rPr>
          <w:iCs/>
        </w:rPr>
        <w:t>”</w:t>
      </w:r>
    </w:p>
    <w:p w:rsidR="0017295E" w:rsidRPr="00BB4BA2" w:rsidRDefault="002D26A8" w:rsidP="00CB4344">
      <w:pPr>
        <w:ind w:right="521"/>
        <w:jc w:val="center"/>
        <w:rPr>
          <w:rFonts w:ascii="Times New Roman" w:hAnsi="Times New Roman" w:cs="Times New Roman"/>
          <w:sz w:val="20"/>
          <w:szCs w:val="20"/>
        </w:rPr>
      </w:pPr>
      <w:r w:rsidRPr="003112F6">
        <w:rPr>
          <w:rFonts w:ascii="Times New Roman" w:hAnsi="Times New Roman" w:cs="Times New Roman"/>
          <w:sz w:val="20"/>
          <w:szCs w:val="20"/>
        </w:rPr>
        <w:t>----------------</w:t>
      </w:r>
      <w:r>
        <w:rPr>
          <w:rFonts w:ascii="Times New Roman" w:hAnsi="Times New Roman" w:cs="Times New Roman"/>
          <w:sz w:val="20"/>
          <w:szCs w:val="20"/>
        </w:rPr>
        <w:t>-------------------------------</w:t>
      </w:r>
    </w:p>
    <w:sectPr w:rsidR="0017295E" w:rsidRPr="00BB4BA2" w:rsidSect="00495922">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99" w:rsidRDefault="00DA7599" w:rsidP="00495922">
      <w:pPr>
        <w:spacing w:after="0" w:line="240" w:lineRule="auto"/>
      </w:pPr>
      <w:r>
        <w:separator/>
      </w:r>
    </w:p>
  </w:endnote>
  <w:endnote w:type="continuationSeparator" w:id="0">
    <w:p w:rsidR="00DA7599" w:rsidRDefault="00DA7599" w:rsidP="0049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99" w:rsidRDefault="00DA7599" w:rsidP="00495922">
      <w:pPr>
        <w:spacing w:after="0" w:line="240" w:lineRule="auto"/>
      </w:pPr>
      <w:r>
        <w:separator/>
      </w:r>
    </w:p>
  </w:footnote>
  <w:footnote w:type="continuationSeparator" w:id="0">
    <w:p w:rsidR="00DA7599" w:rsidRDefault="00DA7599" w:rsidP="0049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000" w:firstRow="0" w:lastRow="0" w:firstColumn="0" w:lastColumn="0" w:noHBand="0" w:noVBand="0"/>
    </w:tblPr>
    <w:tblGrid>
      <w:gridCol w:w="4536"/>
      <w:gridCol w:w="5103"/>
    </w:tblGrid>
    <w:tr w:rsidR="00B854DC" w:rsidRPr="00240B3B" w:rsidTr="00D37B57">
      <w:tc>
        <w:tcPr>
          <w:tcW w:w="4536" w:type="dxa"/>
          <w:vAlign w:val="center"/>
        </w:tcPr>
        <w:p w:rsidR="00B854DC" w:rsidRPr="00240B3B" w:rsidRDefault="00B854DC" w:rsidP="00D37B57">
          <w:pPr>
            <w:spacing w:after="0"/>
            <w:ind w:right="67"/>
            <w:jc w:val="both"/>
            <w:rPr>
              <w:rFonts w:ascii="Times New Roman" w:hAnsi="Times New Roman" w:cs="Times New Roman"/>
              <w:sz w:val="20"/>
              <w:szCs w:val="20"/>
              <w:lang w:val="en-TT" w:eastAsia="ar-SA"/>
            </w:rPr>
          </w:pPr>
          <w:r w:rsidRPr="00240B3B">
            <w:rPr>
              <w:rFonts w:ascii="Times New Roman" w:hAnsi="Times New Roman" w:cs="Times New Roman"/>
              <w:sz w:val="20"/>
              <w:szCs w:val="20"/>
            </w:rPr>
            <w:t xml:space="preserve">Transmitted by the </w:t>
          </w:r>
          <w:r w:rsidRPr="00240B3B">
            <w:rPr>
              <w:rFonts w:ascii="Times New Roman" w:hAnsi="Times New Roman" w:cs="Times New Roman"/>
              <w:sz w:val="20"/>
              <w:szCs w:val="20"/>
              <w:lang w:eastAsia="ja-JP"/>
            </w:rPr>
            <w:t>expert</w:t>
          </w:r>
          <w:r>
            <w:rPr>
              <w:rFonts w:ascii="Times New Roman" w:hAnsi="Times New Roman" w:cs="Times New Roman"/>
              <w:sz w:val="20"/>
              <w:szCs w:val="20"/>
              <w:lang w:eastAsia="ja-JP"/>
            </w:rPr>
            <w:t>s</w:t>
          </w:r>
          <w:r w:rsidRPr="00240B3B">
            <w:rPr>
              <w:rFonts w:ascii="Times New Roman" w:hAnsi="Times New Roman" w:cs="Times New Roman"/>
              <w:sz w:val="20"/>
              <w:szCs w:val="20"/>
              <w:lang w:eastAsia="ja-JP"/>
            </w:rPr>
            <w:t xml:space="preserve"> from</w:t>
          </w:r>
          <w:r>
            <w:rPr>
              <w:rFonts w:ascii="Times New Roman" w:hAnsi="Times New Roman" w:cs="Times New Roman"/>
              <w:sz w:val="20"/>
              <w:szCs w:val="20"/>
            </w:rPr>
            <w:t xml:space="preserve"> T</w:t>
          </w:r>
          <w:r w:rsidRPr="00240B3B">
            <w:rPr>
              <w:rFonts w:ascii="Times New Roman" w:hAnsi="Times New Roman" w:cs="Times New Roman"/>
              <w:sz w:val="20"/>
              <w:szCs w:val="20"/>
            </w:rPr>
            <w:t>he International Automotive Lighting and Light Signalling Expert Group (GTB)</w:t>
          </w:r>
          <w:r>
            <w:rPr>
              <w:rFonts w:ascii="Times New Roman" w:hAnsi="Times New Roman" w:cs="Times New Roman"/>
              <w:sz w:val="20"/>
              <w:szCs w:val="20"/>
            </w:rPr>
            <w:t xml:space="preserve"> </w:t>
          </w:r>
        </w:p>
      </w:tc>
      <w:tc>
        <w:tcPr>
          <w:tcW w:w="5103" w:type="dxa"/>
        </w:tcPr>
        <w:p w:rsidR="00B854DC" w:rsidRPr="00936C3A" w:rsidRDefault="00B854DC" w:rsidP="00D37B57">
          <w:pPr>
            <w:spacing w:after="0"/>
            <w:ind w:left="1418"/>
            <w:rPr>
              <w:rFonts w:ascii="Times New Roman" w:hAnsi="Times New Roman" w:cs="Times New Roman"/>
              <w:b/>
              <w:bCs/>
              <w:color w:val="000000"/>
              <w:sz w:val="20"/>
              <w:szCs w:val="20"/>
              <w:lang w:val="fr-FR" w:eastAsia="ar-SA"/>
            </w:rPr>
          </w:pPr>
          <w:r w:rsidRPr="00D37B57">
            <w:rPr>
              <w:rFonts w:ascii="Times New Roman" w:hAnsi="Times New Roman" w:cs="Times New Roman"/>
              <w:sz w:val="20"/>
              <w:szCs w:val="20"/>
              <w:u w:val="single"/>
              <w:lang w:eastAsia="ar-SA"/>
            </w:rPr>
            <w:t>Informal</w:t>
          </w:r>
          <w:r w:rsidRPr="00936C3A">
            <w:rPr>
              <w:rFonts w:ascii="Times New Roman" w:hAnsi="Times New Roman" w:cs="Times New Roman"/>
              <w:sz w:val="20"/>
              <w:szCs w:val="20"/>
              <w:u w:val="single"/>
              <w:lang w:val="fr-FR" w:eastAsia="ar-SA"/>
            </w:rPr>
            <w:t xml:space="preserve"> document</w:t>
          </w:r>
          <w:r w:rsidRPr="00936C3A">
            <w:rPr>
              <w:rFonts w:ascii="Times New Roman" w:hAnsi="Times New Roman" w:cs="Times New Roman"/>
              <w:sz w:val="20"/>
              <w:szCs w:val="20"/>
              <w:lang w:val="fr-FR" w:eastAsia="ar-SA"/>
            </w:rPr>
            <w:t xml:space="preserve"> </w:t>
          </w:r>
          <w:r w:rsidRPr="00936C3A">
            <w:rPr>
              <w:rFonts w:ascii="Times New Roman" w:hAnsi="Times New Roman" w:cs="Times New Roman"/>
              <w:b/>
              <w:bCs/>
              <w:sz w:val="20"/>
              <w:szCs w:val="20"/>
              <w:lang w:val="fr-FR" w:eastAsia="ar-SA"/>
            </w:rPr>
            <w:t>GRE-</w:t>
          </w:r>
          <w:r>
            <w:rPr>
              <w:rFonts w:ascii="Times New Roman" w:hAnsi="Times New Roman" w:cs="Times New Roman"/>
              <w:b/>
              <w:bCs/>
              <w:sz w:val="20"/>
              <w:szCs w:val="20"/>
              <w:lang w:val="fr-FR" w:eastAsia="ar-SA"/>
            </w:rPr>
            <w:t>81-</w:t>
          </w:r>
          <w:r w:rsidR="00EA1A10">
            <w:rPr>
              <w:rFonts w:ascii="Times New Roman" w:hAnsi="Times New Roman" w:cs="Times New Roman"/>
              <w:b/>
              <w:bCs/>
              <w:sz w:val="20"/>
              <w:szCs w:val="20"/>
              <w:lang w:val="fr-FR" w:eastAsia="ar-SA"/>
            </w:rPr>
            <w:t>05</w:t>
          </w:r>
        </w:p>
        <w:p w:rsidR="00B854DC" w:rsidRPr="00EA1A10" w:rsidRDefault="00B854DC" w:rsidP="00F25817">
          <w:pPr>
            <w:tabs>
              <w:tab w:val="center" w:pos="4677"/>
              <w:tab w:val="right" w:pos="9355"/>
            </w:tabs>
            <w:spacing w:after="0"/>
            <w:ind w:left="1418"/>
            <w:rPr>
              <w:rFonts w:ascii="Times New Roman" w:hAnsi="Times New Roman" w:cs="Times New Roman"/>
              <w:sz w:val="20"/>
              <w:szCs w:val="20"/>
              <w:lang w:val="en-US" w:eastAsia="ar-SA"/>
            </w:rPr>
          </w:pPr>
          <w:r w:rsidRPr="00EA1A10">
            <w:rPr>
              <w:rFonts w:ascii="Times New Roman" w:hAnsi="Times New Roman" w:cs="Times New Roman"/>
              <w:sz w:val="20"/>
              <w:szCs w:val="20"/>
              <w:lang w:val="en-US" w:eastAsia="ar-SA"/>
            </w:rPr>
            <w:t>(81st GRE, 15 - 18  April 2019,</w:t>
          </w:r>
        </w:p>
        <w:p w:rsidR="00B854DC" w:rsidRPr="00240B3B" w:rsidRDefault="00B854DC" w:rsidP="00F25817">
          <w:pPr>
            <w:tabs>
              <w:tab w:val="center" w:pos="4677"/>
              <w:tab w:val="right" w:pos="9355"/>
            </w:tabs>
            <w:spacing w:after="0"/>
            <w:ind w:left="1418"/>
            <w:rPr>
              <w:rFonts w:ascii="Times New Roman" w:hAnsi="Times New Roman" w:cs="Times New Roman"/>
              <w:sz w:val="20"/>
              <w:szCs w:val="20"/>
              <w:lang w:val="en-TT" w:eastAsia="ar-SA"/>
            </w:rPr>
          </w:pPr>
          <w:r w:rsidRPr="00EA1A10">
            <w:rPr>
              <w:rFonts w:ascii="Times New Roman" w:hAnsi="Times New Roman" w:cs="Times New Roman"/>
              <w:sz w:val="20"/>
              <w:szCs w:val="20"/>
              <w:lang w:val="en-US" w:eastAsia="ar-SA"/>
            </w:rPr>
            <w:t xml:space="preserve"> agenda item</w:t>
          </w:r>
          <w:r w:rsidR="00F859F8">
            <w:rPr>
              <w:rFonts w:ascii="Times New Roman" w:hAnsi="Times New Roman" w:cs="Times New Roman"/>
              <w:sz w:val="20"/>
              <w:szCs w:val="20"/>
              <w:lang w:val="en-US" w:eastAsia="ar-SA"/>
            </w:rPr>
            <w:t xml:space="preserve"> 7 (b)</w:t>
          </w:r>
          <w:r w:rsidRPr="00EA1A10">
            <w:rPr>
              <w:rFonts w:ascii="Times New Roman" w:hAnsi="Times New Roman" w:cs="Times New Roman"/>
              <w:sz w:val="20"/>
              <w:szCs w:val="20"/>
              <w:lang w:val="en-US" w:eastAsia="ar-SA"/>
            </w:rPr>
            <w:t>)</w:t>
          </w:r>
        </w:p>
      </w:tc>
    </w:tr>
  </w:tbl>
  <w:p w:rsidR="00B854DC" w:rsidRDefault="00B85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1D6"/>
    <w:multiLevelType w:val="hybridMultilevel"/>
    <w:tmpl w:val="8C38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57A1B"/>
    <w:multiLevelType w:val="hybridMultilevel"/>
    <w:tmpl w:val="6E0ADA5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1559"/>
    <w:multiLevelType w:val="hybridMultilevel"/>
    <w:tmpl w:val="6B1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A1881"/>
    <w:multiLevelType w:val="hybridMultilevel"/>
    <w:tmpl w:val="A590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8458A"/>
    <w:multiLevelType w:val="hybridMultilevel"/>
    <w:tmpl w:val="F41425A0"/>
    <w:lvl w:ilvl="0" w:tplc="B6BE4EAE">
      <w:start w:val="1"/>
      <w:numFmt w:val="bullet"/>
      <w:lvlText w:val=""/>
      <w:lvlJc w:val="left"/>
      <w:pPr>
        <w:tabs>
          <w:tab w:val="num" w:pos="720"/>
        </w:tabs>
        <w:ind w:left="720" w:hanging="360"/>
      </w:pPr>
      <w:rPr>
        <w:rFonts w:ascii="Wingdings" w:hAnsi="Wingdings" w:hint="default"/>
      </w:rPr>
    </w:lvl>
    <w:lvl w:ilvl="1" w:tplc="DD3E22F2">
      <w:start w:val="711"/>
      <w:numFmt w:val="bullet"/>
      <w:lvlText w:val=""/>
      <w:lvlJc w:val="left"/>
      <w:pPr>
        <w:tabs>
          <w:tab w:val="num" w:pos="1440"/>
        </w:tabs>
        <w:ind w:left="1440" w:hanging="360"/>
      </w:pPr>
      <w:rPr>
        <w:rFonts w:ascii="Wingdings" w:hAnsi="Wingdings" w:hint="default"/>
      </w:rPr>
    </w:lvl>
    <w:lvl w:ilvl="2" w:tplc="18305164" w:tentative="1">
      <w:start w:val="1"/>
      <w:numFmt w:val="bullet"/>
      <w:lvlText w:val=""/>
      <w:lvlJc w:val="left"/>
      <w:pPr>
        <w:tabs>
          <w:tab w:val="num" w:pos="2160"/>
        </w:tabs>
        <w:ind w:left="2160" w:hanging="360"/>
      </w:pPr>
      <w:rPr>
        <w:rFonts w:ascii="Wingdings" w:hAnsi="Wingdings" w:hint="default"/>
      </w:rPr>
    </w:lvl>
    <w:lvl w:ilvl="3" w:tplc="C26E6F22" w:tentative="1">
      <w:start w:val="1"/>
      <w:numFmt w:val="bullet"/>
      <w:lvlText w:val=""/>
      <w:lvlJc w:val="left"/>
      <w:pPr>
        <w:tabs>
          <w:tab w:val="num" w:pos="2880"/>
        </w:tabs>
        <w:ind w:left="2880" w:hanging="360"/>
      </w:pPr>
      <w:rPr>
        <w:rFonts w:ascii="Wingdings" w:hAnsi="Wingdings" w:hint="default"/>
      </w:rPr>
    </w:lvl>
    <w:lvl w:ilvl="4" w:tplc="0C78D38E" w:tentative="1">
      <w:start w:val="1"/>
      <w:numFmt w:val="bullet"/>
      <w:lvlText w:val=""/>
      <w:lvlJc w:val="left"/>
      <w:pPr>
        <w:tabs>
          <w:tab w:val="num" w:pos="3600"/>
        </w:tabs>
        <w:ind w:left="3600" w:hanging="360"/>
      </w:pPr>
      <w:rPr>
        <w:rFonts w:ascii="Wingdings" w:hAnsi="Wingdings" w:hint="default"/>
      </w:rPr>
    </w:lvl>
    <w:lvl w:ilvl="5" w:tplc="66785EFC" w:tentative="1">
      <w:start w:val="1"/>
      <w:numFmt w:val="bullet"/>
      <w:lvlText w:val=""/>
      <w:lvlJc w:val="left"/>
      <w:pPr>
        <w:tabs>
          <w:tab w:val="num" w:pos="4320"/>
        </w:tabs>
        <w:ind w:left="4320" w:hanging="360"/>
      </w:pPr>
      <w:rPr>
        <w:rFonts w:ascii="Wingdings" w:hAnsi="Wingdings" w:hint="default"/>
      </w:rPr>
    </w:lvl>
    <w:lvl w:ilvl="6" w:tplc="81B8D960" w:tentative="1">
      <w:start w:val="1"/>
      <w:numFmt w:val="bullet"/>
      <w:lvlText w:val=""/>
      <w:lvlJc w:val="left"/>
      <w:pPr>
        <w:tabs>
          <w:tab w:val="num" w:pos="5040"/>
        </w:tabs>
        <w:ind w:left="5040" w:hanging="360"/>
      </w:pPr>
      <w:rPr>
        <w:rFonts w:ascii="Wingdings" w:hAnsi="Wingdings" w:hint="default"/>
      </w:rPr>
    </w:lvl>
    <w:lvl w:ilvl="7" w:tplc="BD806B52" w:tentative="1">
      <w:start w:val="1"/>
      <w:numFmt w:val="bullet"/>
      <w:lvlText w:val=""/>
      <w:lvlJc w:val="left"/>
      <w:pPr>
        <w:tabs>
          <w:tab w:val="num" w:pos="5760"/>
        </w:tabs>
        <w:ind w:left="5760" w:hanging="360"/>
      </w:pPr>
      <w:rPr>
        <w:rFonts w:ascii="Wingdings" w:hAnsi="Wingdings" w:hint="default"/>
      </w:rPr>
    </w:lvl>
    <w:lvl w:ilvl="8" w:tplc="C6567A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79B6719"/>
    <w:multiLevelType w:val="hybridMultilevel"/>
    <w:tmpl w:val="5118827C"/>
    <w:lvl w:ilvl="0" w:tplc="92DA5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4791A"/>
    <w:multiLevelType w:val="hybridMultilevel"/>
    <w:tmpl w:val="5CE084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AA038A"/>
    <w:multiLevelType w:val="hybridMultilevel"/>
    <w:tmpl w:val="D5FE13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5CA26C3"/>
    <w:multiLevelType w:val="hybridMultilevel"/>
    <w:tmpl w:val="906294F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C43B9"/>
    <w:multiLevelType w:val="hybridMultilevel"/>
    <w:tmpl w:val="B46619D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55524"/>
    <w:multiLevelType w:val="hybridMultilevel"/>
    <w:tmpl w:val="FC40B1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00851"/>
    <w:multiLevelType w:val="hybridMultilevel"/>
    <w:tmpl w:val="F81A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1A5467"/>
    <w:multiLevelType w:val="multilevel"/>
    <w:tmpl w:val="6DCE05E8"/>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FB0245"/>
    <w:multiLevelType w:val="hybridMultilevel"/>
    <w:tmpl w:val="76BEEB70"/>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8CC19EB"/>
    <w:multiLevelType w:val="hybridMultilevel"/>
    <w:tmpl w:val="3BDA75B8"/>
    <w:lvl w:ilvl="0" w:tplc="97AE7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D2289"/>
    <w:multiLevelType w:val="hybridMultilevel"/>
    <w:tmpl w:val="5290C7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9"/>
  </w:num>
  <w:num w:numId="5">
    <w:abstractNumId w:val="0"/>
  </w:num>
  <w:num w:numId="6">
    <w:abstractNumId w:val="11"/>
  </w:num>
  <w:num w:numId="7">
    <w:abstractNumId w:val="4"/>
  </w:num>
  <w:num w:numId="8">
    <w:abstractNumId w:val="10"/>
  </w:num>
  <w:num w:numId="9">
    <w:abstractNumId w:val="1"/>
  </w:num>
  <w:num w:numId="10">
    <w:abstractNumId w:val="17"/>
  </w:num>
  <w:num w:numId="11">
    <w:abstractNumId w:val="12"/>
  </w:num>
  <w:num w:numId="12">
    <w:abstractNumId w:val="16"/>
  </w:num>
  <w:num w:numId="13">
    <w:abstractNumId w:val="6"/>
  </w:num>
  <w:num w:numId="14">
    <w:abstractNumId w:val="8"/>
  </w:num>
  <w:num w:numId="15">
    <w:abstractNumId w:val="7"/>
  </w:num>
  <w:num w:numId="16">
    <w:abstractNumId w:val="1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4EE"/>
    <w:rsid w:val="0001423F"/>
    <w:rsid w:val="00017FE9"/>
    <w:rsid w:val="00045D27"/>
    <w:rsid w:val="00051C83"/>
    <w:rsid w:val="00081A77"/>
    <w:rsid w:val="000950B5"/>
    <w:rsid w:val="000A1128"/>
    <w:rsid w:val="000A1FC8"/>
    <w:rsid w:val="000B2009"/>
    <w:rsid w:val="000B7673"/>
    <w:rsid w:val="000C613B"/>
    <w:rsid w:val="0010645E"/>
    <w:rsid w:val="00133420"/>
    <w:rsid w:val="001438A2"/>
    <w:rsid w:val="0017295E"/>
    <w:rsid w:val="001842A6"/>
    <w:rsid w:val="00186746"/>
    <w:rsid w:val="001A2878"/>
    <w:rsid w:val="001B36E6"/>
    <w:rsid w:val="001D6862"/>
    <w:rsid w:val="001E5BB5"/>
    <w:rsid w:val="00203752"/>
    <w:rsid w:val="00215412"/>
    <w:rsid w:val="00231A60"/>
    <w:rsid w:val="00232343"/>
    <w:rsid w:val="00233999"/>
    <w:rsid w:val="00233D38"/>
    <w:rsid w:val="00240B3B"/>
    <w:rsid w:val="00257C34"/>
    <w:rsid w:val="0026275E"/>
    <w:rsid w:val="00276AB2"/>
    <w:rsid w:val="002925FE"/>
    <w:rsid w:val="002963BF"/>
    <w:rsid w:val="002D26A8"/>
    <w:rsid w:val="002F72EB"/>
    <w:rsid w:val="003112F6"/>
    <w:rsid w:val="00314D32"/>
    <w:rsid w:val="00326463"/>
    <w:rsid w:val="00335B81"/>
    <w:rsid w:val="00353F75"/>
    <w:rsid w:val="003661A1"/>
    <w:rsid w:val="003866D6"/>
    <w:rsid w:val="00386A19"/>
    <w:rsid w:val="003A6831"/>
    <w:rsid w:val="003C2176"/>
    <w:rsid w:val="003C2C20"/>
    <w:rsid w:val="003F4C24"/>
    <w:rsid w:val="00402F98"/>
    <w:rsid w:val="00407A41"/>
    <w:rsid w:val="00407CA5"/>
    <w:rsid w:val="004761B2"/>
    <w:rsid w:val="00482CDC"/>
    <w:rsid w:val="00495922"/>
    <w:rsid w:val="004A094A"/>
    <w:rsid w:val="004D184E"/>
    <w:rsid w:val="004D3860"/>
    <w:rsid w:val="004E0B5C"/>
    <w:rsid w:val="004E63E8"/>
    <w:rsid w:val="005112EA"/>
    <w:rsid w:val="005167A3"/>
    <w:rsid w:val="00521C12"/>
    <w:rsid w:val="00554A45"/>
    <w:rsid w:val="00555020"/>
    <w:rsid w:val="00573438"/>
    <w:rsid w:val="00577566"/>
    <w:rsid w:val="005C35E6"/>
    <w:rsid w:val="005F53B4"/>
    <w:rsid w:val="006038F2"/>
    <w:rsid w:val="006145C2"/>
    <w:rsid w:val="00616F5B"/>
    <w:rsid w:val="00625545"/>
    <w:rsid w:val="006A5DF4"/>
    <w:rsid w:val="006D5809"/>
    <w:rsid w:val="006E69B3"/>
    <w:rsid w:val="006F274C"/>
    <w:rsid w:val="00723A62"/>
    <w:rsid w:val="007776D4"/>
    <w:rsid w:val="007A7EE1"/>
    <w:rsid w:val="007C420A"/>
    <w:rsid w:val="007D104C"/>
    <w:rsid w:val="007D1205"/>
    <w:rsid w:val="007E3033"/>
    <w:rsid w:val="007E3146"/>
    <w:rsid w:val="00822499"/>
    <w:rsid w:val="00824BAF"/>
    <w:rsid w:val="00845058"/>
    <w:rsid w:val="00856D31"/>
    <w:rsid w:val="00880078"/>
    <w:rsid w:val="008C1A66"/>
    <w:rsid w:val="008C75C9"/>
    <w:rsid w:val="008D229B"/>
    <w:rsid w:val="008E37FA"/>
    <w:rsid w:val="00902F2E"/>
    <w:rsid w:val="00902FE0"/>
    <w:rsid w:val="00933544"/>
    <w:rsid w:val="00936C3A"/>
    <w:rsid w:val="00945736"/>
    <w:rsid w:val="00965BF6"/>
    <w:rsid w:val="009A2F0E"/>
    <w:rsid w:val="009A3794"/>
    <w:rsid w:val="009D5E3C"/>
    <w:rsid w:val="009E1BC2"/>
    <w:rsid w:val="00A22C89"/>
    <w:rsid w:val="00A43CB5"/>
    <w:rsid w:val="00A619A3"/>
    <w:rsid w:val="00A653D2"/>
    <w:rsid w:val="00A766AD"/>
    <w:rsid w:val="00AA3765"/>
    <w:rsid w:val="00AC7E47"/>
    <w:rsid w:val="00AE6DA2"/>
    <w:rsid w:val="00B10AD5"/>
    <w:rsid w:val="00B13B68"/>
    <w:rsid w:val="00B504FA"/>
    <w:rsid w:val="00B52855"/>
    <w:rsid w:val="00B67CBD"/>
    <w:rsid w:val="00B854DC"/>
    <w:rsid w:val="00B86743"/>
    <w:rsid w:val="00BA4C71"/>
    <w:rsid w:val="00BA6866"/>
    <w:rsid w:val="00BB4BA2"/>
    <w:rsid w:val="00BC4FC2"/>
    <w:rsid w:val="00BC5741"/>
    <w:rsid w:val="00BF1E67"/>
    <w:rsid w:val="00C001D0"/>
    <w:rsid w:val="00C102D6"/>
    <w:rsid w:val="00C406B6"/>
    <w:rsid w:val="00C47384"/>
    <w:rsid w:val="00C7437C"/>
    <w:rsid w:val="00C8073A"/>
    <w:rsid w:val="00CB1294"/>
    <w:rsid w:val="00CB29A2"/>
    <w:rsid w:val="00CB4344"/>
    <w:rsid w:val="00D26E95"/>
    <w:rsid w:val="00D330DC"/>
    <w:rsid w:val="00D364EE"/>
    <w:rsid w:val="00D37B57"/>
    <w:rsid w:val="00D50842"/>
    <w:rsid w:val="00D661E4"/>
    <w:rsid w:val="00D9735A"/>
    <w:rsid w:val="00DA7599"/>
    <w:rsid w:val="00DB008F"/>
    <w:rsid w:val="00DE43DA"/>
    <w:rsid w:val="00E26B7C"/>
    <w:rsid w:val="00E7356C"/>
    <w:rsid w:val="00E75740"/>
    <w:rsid w:val="00E81AF9"/>
    <w:rsid w:val="00E924E8"/>
    <w:rsid w:val="00EA1A10"/>
    <w:rsid w:val="00EE075D"/>
    <w:rsid w:val="00F05A28"/>
    <w:rsid w:val="00F05DCB"/>
    <w:rsid w:val="00F25817"/>
    <w:rsid w:val="00F80FB7"/>
    <w:rsid w:val="00F84291"/>
    <w:rsid w:val="00F859F8"/>
    <w:rsid w:val="00F8622D"/>
    <w:rsid w:val="00FA23F8"/>
    <w:rsid w:val="00FB7D2F"/>
    <w:rsid w:val="00FC661E"/>
    <w:rsid w:val="00FE723C"/>
    <w:rsid w:val="00FF67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A605"/>
  <w15:docId w15:val="{06E62E15-F6B8-4CA2-A659-6461A356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BD"/>
    <w:pPr>
      <w:ind w:left="720"/>
      <w:contextualSpacing/>
    </w:pPr>
  </w:style>
  <w:style w:type="character" w:styleId="Hyperlink">
    <w:name w:val="Hyperlink"/>
    <w:semiHidden/>
    <w:rsid w:val="00BA4C71"/>
    <w:rPr>
      <w:color w:val="auto"/>
      <w:u w:val="none"/>
    </w:rPr>
  </w:style>
  <w:style w:type="character" w:styleId="CommentReference">
    <w:name w:val="annotation reference"/>
    <w:basedOn w:val="DefaultParagraphFont"/>
    <w:uiPriority w:val="99"/>
    <w:semiHidden/>
    <w:unhideWhenUsed/>
    <w:rsid w:val="004D184E"/>
    <w:rPr>
      <w:sz w:val="16"/>
      <w:szCs w:val="16"/>
    </w:rPr>
  </w:style>
  <w:style w:type="paragraph" w:styleId="CommentText">
    <w:name w:val="annotation text"/>
    <w:basedOn w:val="Normal"/>
    <w:link w:val="CommentTextChar"/>
    <w:uiPriority w:val="99"/>
    <w:semiHidden/>
    <w:unhideWhenUsed/>
    <w:rsid w:val="004D184E"/>
    <w:pPr>
      <w:spacing w:line="240" w:lineRule="auto"/>
    </w:pPr>
    <w:rPr>
      <w:sz w:val="20"/>
      <w:szCs w:val="20"/>
    </w:rPr>
  </w:style>
  <w:style w:type="character" w:customStyle="1" w:styleId="CommentTextChar">
    <w:name w:val="Comment Text Char"/>
    <w:basedOn w:val="DefaultParagraphFont"/>
    <w:link w:val="CommentText"/>
    <w:uiPriority w:val="99"/>
    <w:semiHidden/>
    <w:rsid w:val="004D184E"/>
    <w:rPr>
      <w:sz w:val="20"/>
      <w:szCs w:val="20"/>
    </w:rPr>
  </w:style>
  <w:style w:type="paragraph" w:styleId="CommentSubject">
    <w:name w:val="annotation subject"/>
    <w:basedOn w:val="CommentText"/>
    <w:next w:val="CommentText"/>
    <w:link w:val="CommentSubjectChar"/>
    <w:uiPriority w:val="99"/>
    <w:semiHidden/>
    <w:unhideWhenUsed/>
    <w:rsid w:val="004D184E"/>
    <w:rPr>
      <w:b/>
      <w:bCs/>
    </w:rPr>
  </w:style>
  <w:style w:type="character" w:customStyle="1" w:styleId="CommentSubjectChar">
    <w:name w:val="Comment Subject Char"/>
    <w:basedOn w:val="CommentTextChar"/>
    <w:link w:val="CommentSubject"/>
    <w:uiPriority w:val="99"/>
    <w:semiHidden/>
    <w:rsid w:val="004D184E"/>
    <w:rPr>
      <w:b/>
      <w:bCs/>
      <w:sz w:val="20"/>
      <w:szCs w:val="20"/>
    </w:rPr>
  </w:style>
  <w:style w:type="paragraph" w:styleId="BalloonText">
    <w:name w:val="Balloon Text"/>
    <w:basedOn w:val="Normal"/>
    <w:link w:val="BalloonTextChar"/>
    <w:uiPriority w:val="99"/>
    <w:semiHidden/>
    <w:unhideWhenUsed/>
    <w:rsid w:val="004D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4E"/>
    <w:rPr>
      <w:rFonts w:ascii="Tahoma" w:hAnsi="Tahoma" w:cs="Tahoma"/>
      <w:sz w:val="16"/>
      <w:szCs w:val="16"/>
    </w:rPr>
  </w:style>
  <w:style w:type="paragraph" w:styleId="Header">
    <w:name w:val="header"/>
    <w:basedOn w:val="Normal"/>
    <w:link w:val="HeaderChar"/>
    <w:uiPriority w:val="99"/>
    <w:unhideWhenUsed/>
    <w:rsid w:val="0049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922"/>
  </w:style>
  <w:style w:type="paragraph" w:styleId="Footer">
    <w:name w:val="footer"/>
    <w:basedOn w:val="Normal"/>
    <w:link w:val="FooterChar"/>
    <w:uiPriority w:val="99"/>
    <w:unhideWhenUsed/>
    <w:rsid w:val="0049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922"/>
  </w:style>
  <w:style w:type="paragraph" w:customStyle="1" w:styleId="SingleTxtG">
    <w:name w:val="_ Single Txt_G"/>
    <w:basedOn w:val="Normal"/>
    <w:link w:val="SingleTxtGChar"/>
    <w:rsid w:val="006E69B3"/>
    <w:pPr>
      <w:suppressAutoHyphens/>
      <w:ind w:left="1134" w:right="1134"/>
      <w:jc w:val="both"/>
    </w:pPr>
    <w:rPr>
      <w:rFonts w:ascii="Times New Roman" w:eastAsia="MS Mincho" w:hAnsi="Times New Roman" w:cs="Times New Roman"/>
      <w:sz w:val="20"/>
      <w:szCs w:val="20"/>
    </w:rPr>
  </w:style>
  <w:style w:type="paragraph" w:customStyle="1" w:styleId="Paragrafoelenco1">
    <w:name w:val="Paragrafo elenco1"/>
    <w:basedOn w:val="Normal"/>
    <w:uiPriority w:val="99"/>
    <w:rsid w:val="006E69B3"/>
    <w:pPr>
      <w:spacing w:after="0" w:line="240" w:lineRule="auto"/>
      <w:ind w:left="720"/>
    </w:pPr>
    <w:rPr>
      <w:rFonts w:ascii="Times New Roman" w:eastAsia="MS Mincho" w:hAnsi="Times New Roman" w:cs="Times New Roman"/>
      <w:sz w:val="24"/>
      <w:szCs w:val="24"/>
    </w:rPr>
  </w:style>
  <w:style w:type="character" w:customStyle="1" w:styleId="SingleTxtGChar">
    <w:name w:val="_ Single Txt_G Char"/>
    <w:basedOn w:val="DefaultParagraphFont"/>
    <w:link w:val="SingleTxtG"/>
    <w:rsid w:val="00A43CB5"/>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12725">
      <w:bodyDiv w:val="1"/>
      <w:marLeft w:val="0"/>
      <w:marRight w:val="0"/>
      <w:marTop w:val="0"/>
      <w:marBottom w:val="0"/>
      <w:divBdr>
        <w:top w:val="none" w:sz="0" w:space="0" w:color="auto"/>
        <w:left w:val="none" w:sz="0" w:space="0" w:color="auto"/>
        <w:bottom w:val="none" w:sz="0" w:space="0" w:color="auto"/>
        <w:right w:val="none" w:sz="0" w:space="0" w:color="auto"/>
      </w:divBdr>
    </w:div>
    <w:div w:id="1595361713">
      <w:bodyDiv w:val="1"/>
      <w:marLeft w:val="0"/>
      <w:marRight w:val="0"/>
      <w:marTop w:val="0"/>
      <w:marBottom w:val="0"/>
      <w:divBdr>
        <w:top w:val="none" w:sz="0" w:space="0" w:color="auto"/>
        <w:left w:val="none" w:sz="0" w:space="0" w:color="auto"/>
        <w:bottom w:val="none" w:sz="0" w:space="0" w:color="auto"/>
        <w:right w:val="none" w:sz="0" w:space="0" w:color="auto"/>
      </w:divBdr>
      <w:divsChild>
        <w:div w:id="1563976883">
          <w:marLeft w:val="288"/>
          <w:marRight w:val="0"/>
          <w:marTop w:val="115"/>
          <w:marBottom w:val="0"/>
          <w:divBdr>
            <w:top w:val="none" w:sz="0" w:space="0" w:color="auto"/>
            <w:left w:val="none" w:sz="0" w:space="0" w:color="auto"/>
            <w:bottom w:val="none" w:sz="0" w:space="0" w:color="auto"/>
            <w:right w:val="none" w:sz="0" w:space="0" w:color="auto"/>
          </w:divBdr>
        </w:div>
        <w:div w:id="1570924232">
          <w:marLeft w:val="288"/>
          <w:marRight w:val="0"/>
          <w:marTop w:val="115"/>
          <w:marBottom w:val="0"/>
          <w:divBdr>
            <w:top w:val="none" w:sz="0" w:space="0" w:color="auto"/>
            <w:left w:val="none" w:sz="0" w:space="0" w:color="auto"/>
            <w:bottom w:val="none" w:sz="0" w:space="0" w:color="auto"/>
            <w:right w:val="none" w:sz="0" w:space="0" w:color="auto"/>
          </w:divBdr>
        </w:div>
        <w:div w:id="644553942">
          <w:marLeft w:val="288"/>
          <w:marRight w:val="0"/>
          <w:marTop w:val="115"/>
          <w:marBottom w:val="0"/>
          <w:divBdr>
            <w:top w:val="none" w:sz="0" w:space="0" w:color="auto"/>
            <w:left w:val="none" w:sz="0" w:space="0" w:color="auto"/>
            <w:bottom w:val="none" w:sz="0" w:space="0" w:color="auto"/>
            <w:right w:val="none" w:sz="0" w:space="0" w:color="auto"/>
          </w:divBdr>
        </w:div>
        <w:div w:id="1011377514">
          <w:marLeft w:val="288"/>
          <w:marRight w:val="0"/>
          <w:marTop w:val="115"/>
          <w:marBottom w:val="0"/>
          <w:divBdr>
            <w:top w:val="none" w:sz="0" w:space="0" w:color="auto"/>
            <w:left w:val="none" w:sz="0" w:space="0" w:color="auto"/>
            <w:bottom w:val="none" w:sz="0" w:space="0" w:color="auto"/>
            <w:right w:val="none" w:sz="0" w:space="0" w:color="auto"/>
          </w:divBdr>
        </w:div>
        <w:div w:id="896168800">
          <w:marLeft w:val="288"/>
          <w:marRight w:val="0"/>
          <w:marTop w:val="115"/>
          <w:marBottom w:val="0"/>
          <w:divBdr>
            <w:top w:val="none" w:sz="0" w:space="0" w:color="auto"/>
            <w:left w:val="none" w:sz="0" w:space="0" w:color="auto"/>
            <w:bottom w:val="none" w:sz="0" w:space="0" w:color="auto"/>
            <w:right w:val="none" w:sz="0" w:space="0" w:color="auto"/>
          </w:divBdr>
        </w:div>
        <w:div w:id="1632437423">
          <w:marLeft w:val="288"/>
          <w:marRight w:val="0"/>
          <w:marTop w:val="115"/>
          <w:marBottom w:val="0"/>
          <w:divBdr>
            <w:top w:val="none" w:sz="0" w:space="0" w:color="auto"/>
            <w:left w:val="none" w:sz="0" w:space="0" w:color="auto"/>
            <w:bottom w:val="none" w:sz="0" w:space="0" w:color="auto"/>
            <w:right w:val="none" w:sz="0" w:space="0" w:color="auto"/>
          </w:divBdr>
        </w:div>
        <w:div w:id="1088767809">
          <w:marLeft w:val="547"/>
          <w:marRight w:val="0"/>
          <w:marTop w:val="106"/>
          <w:marBottom w:val="0"/>
          <w:divBdr>
            <w:top w:val="none" w:sz="0" w:space="0" w:color="auto"/>
            <w:left w:val="none" w:sz="0" w:space="0" w:color="auto"/>
            <w:bottom w:val="none" w:sz="0" w:space="0" w:color="auto"/>
            <w:right w:val="none" w:sz="0" w:space="0" w:color="auto"/>
          </w:divBdr>
        </w:div>
        <w:div w:id="770322674">
          <w:marLeft w:val="547"/>
          <w:marRight w:val="0"/>
          <w:marTop w:val="106"/>
          <w:marBottom w:val="0"/>
          <w:divBdr>
            <w:top w:val="none" w:sz="0" w:space="0" w:color="auto"/>
            <w:left w:val="none" w:sz="0" w:space="0" w:color="auto"/>
            <w:bottom w:val="none" w:sz="0" w:space="0" w:color="auto"/>
            <w:right w:val="none" w:sz="0" w:space="0" w:color="auto"/>
          </w:divBdr>
        </w:div>
        <w:div w:id="100408985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draperoffice</dc:creator>
  <cp:lastModifiedBy>Konstantin Glukhenkiy</cp:lastModifiedBy>
  <cp:revision>3</cp:revision>
  <dcterms:created xsi:type="dcterms:W3CDTF">2019-01-21T09:40:00Z</dcterms:created>
  <dcterms:modified xsi:type="dcterms:W3CDTF">2019-03-12T15:51:00Z</dcterms:modified>
</cp:coreProperties>
</file>