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6567D" w:rsidTr="005B0C06">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B6567D" w:rsidRDefault="00D45CC9" w:rsidP="008E4122">
            <w:pPr>
              <w:jc w:val="right"/>
              <w:rPr>
                <w:lang w:val="en-US"/>
              </w:rPr>
            </w:pPr>
            <w:r w:rsidRPr="00B6567D">
              <w:rPr>
                <w:sz w:val="40"/>
                <w:lang w:val="en-US"/>
              </w:rPr>
              <w:t>ECE</w:t>
            </w:r>
            <w:r w:rsidR="002077C3" w:rsidRPr="00B6567D">
              <w:rPr>
                <w:lang w:val="en-US"/>
              </w:rPr>
              <w:t>/TRANS/WP.29/GRPE/</w:t>
            </w:r>
            <w:r w:rsidR="00660C48" w:rsidRPr="00B6567D">
              <w:rPr>
                <w:lang w:val="en-US"/>
              </w:rPr>
              <w:t>201</w:t>
            </w:r>
            <w:r w:rsidR="008E4122">
              <w:rPr>
                <w:lang w:val="en-US"/>
              </w:rPr>
              <w:t>9</w:t>
            </w:r>
            <w:r w:rsidR="00DB2094" w:rsidRPr="005B0C06">
              <w:rPr>
                <w:lang w:val="en-US"/>
              </w:rPr>
              <w:t>/</w:t>
            </w:r>
            <w:r w:rsidR="009807A1">
              <w:rPr>
                <w:lang w:val="en-US"/>
              </w:rPr>
              <w:t>8</w:t>
            </w:r>
          </w:p>
        </w:tc>
      </w:tr>
      <w:tr w:rsidR="00B56E9C" w:rsidRPr="00FD4196" w:rsidTr="005B0C06">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val="en-US" w:eastAsia="zh-CN"/>
              </w:rPr>
              <w:drawing>
                <wp:inline distT="0" distB="0" distL="0" distR="0" wp14:anchorId="3D833C20" wp14:editId="6EA66A9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5B0CA7" w:rsidRPr="00C47377" w:rsidRDefault="005B0CA7" w:rsidP="005B0CA7">
            <w:pPr>
              <w:spacing w:before="240" w:line="240" w:lineRule="exact"/>
            </w:pPr>
            <w:r w:rsidRPr="00C47377">
              <w:t>Distr.: General</w:t>
            </w:r>
          </w:p>
          <w:p w:rsidR="005B0CA7" w:rsidRDefault="003A4588" w:rsidP="005B0CA7">
            <w:pPr>
              <w:spacing w:line="240" w:lineRule="exact"/>
            </w:pPr>
            <w:r>
              <w:t>26</w:t>
            </w:r>
            <w:r w:rsidR="006A0515">
              <w:t xml:space="preserve"> </w:t>
            </w:r>
            <w:r w:rsidR="008E4122">
              <w:t>October</w:t>
            </w:r>
            <w:r w:rsidR="002135A6">
              <w:t xml:space="preserve"> 2018</w:t>
            </w:r>
          </w:p>
          <w:p w:rsidR="005B0CA7" w:rsidRPr="00C47377" w:rsidRDefault="005B0CA7" w:rsidP="005B0CA7">
            <w:pPr>
              <w:spacing w:line="240" w:lineRule="exact"/>
            </w:pPr>
          </w:p>
          <w:p w:rsidR="0090004D" w:rsidRPr="00DB2094" w:rsidRDefault="005B0CA7" w:rsidP="005B0CA7">
            <w:pPr>
              <w:spacing w:line="240" w:lineRule="exact"/>
            </w:pPr>
            <w:r w:rsidRPr="00C47377">
              <w:t>Original: English</w:t>
            </w:r>
          </w:p>
        </w:tc>
      </w:tr>
    </w:tbl>
    <w:p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rsidR="009C3E09" w:rsidRDefault="009C3E09" w:rsidP="009C3E09">
      <w:pPr>
        <w:tabs>
          <w:tab w:val="left" w:pos="567"/>
          <w:tab w:val="left" w:pos="1134"/>
        </w:tabs>
        <w:spacing w:before="120"/>
        <w:rPr>
          <w:sz w:val="22"/>
          <w:szCs w:val="22"/>
        </w:rPr>
      </w:pPr>
      <w:r>
        <w:rPr>
          <w:sz w:val="28"/>
          <w:szCs w:val="28"/>
        </w:rPr>
        <w:t xml:space="preserve">Inland Transport Committee </w:t>
      </w:r>
    </w:p>
    <w:p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rsidR="009C3E09" w:rsidRDefault="009C3E09" w:rsidP="009C3E09">
      <w:pPr>
        <w:tabs>
          <w:tab w:val="left" w:pos="567"/>
          <w:tab w:val="left" w:pos="1134"/>
        </w:tabs>
        <w:spacing w:before="120" w:after="120"/>
        <w:rPr>
          <w:b/>
          <w:bCs/>
        </w:rPr>
      </w:pPr>
      <w:r>
        <w:rPr>
          <w:b/>
          <w:bCs/>
        </w:rPr>
        <w:t xml:space="preserve">Working Party on Pollution and Energy </w:t>
      </w:r>
    </w:p>
    <w:p w:rsidR="009C3E09" w:rsidRPr="006A0515" w:rsidRDefault="009C3E09" w:rsidP="009C3E09">
      <w:pPr>
        <w:rPr>
          <w:b/>
        </w:rPr>
      </w:pPr>
      <w:r w:rsidRPr="006A0515">
        <w:rPr>
          <w:b/>
        </w:rPr>
        <w:t>Seventy-</w:t>
      </w:r>
      <w:r w:rsidR="009807A1">
        <w:rPr>
          <w:b/>
        </w:rPr>
        <w:t>eigh</w:t>
      </w:r>
      <w:r w:rsidR="002135A6" w:rsidRPr="006A0515">
        <w:rPr>
          <w:b/>
        </w:rPr>
        <w:t>th</w:t>
      </w:r>
      <w:r w:rsidRPr="006A0515">
        <w:rPr>
          <w:b/>
        </w:rPr>
        <w:t xml:space="preserve"> session</w:t>
      </w:r>
    </w:p>
    <w:p w:rsidR="009C3E09" w:rsidRPr="006A0515" w:rsidRDefault="009C3E09" w:rsidP="009C3E09">
      <w:r w:rsidRPr="006A0515">
        <w:t xml:space="preserve">Geneva, </w:t>
      </w:r>
      <w:r w:rsidR="009807A1">
        <w:t>8</w:t>
      </w:r>
      <w:r w:rsidR="008E4122" w:rsidRPr="008E4122">
        <w:t>-11 January 2019</w:t>
      </w:r>
    </w:p>
    <w:p w:rsidR="009C3E09" w:rsidRDefault="002135A6" w:rsidP="009C3E09">
      <w:pPr>
        <w:tabs>
          <w:tab w:val="left" w:pos="567"/>
          <w:tab w:val="left" w:pos="1134"/>
        </w:tabs>
        <w:rPr>
          <w:bCs/>
        </w:rPr>
      </w:pPr>
      <w:r w:rsidRPr="005B0C06">
        <w:rPr>
          <w:bCs/>
        </w:rPr>
        <w:t xml:space="preserve">Item </w:t>
      </w:r>
      <w:r w:rsidR="00B6567D" w:rsidRPr="005B0C06">
        <w:rPr>
          <w:bCs/>
        </w:rPr>
        <w:t>3(a)</w:t>
      </w:r>
      <w:r w:rsidR="009C3E09" w:rsidRPr="005B0C06">
        <w:rPr>
          <w:bCs/>
        </w:rPr>
        <w:t xml:space="preserve"> of </w:t>
      </w:r>
      <w:r w:rsidR="009C3E09">
        <w:rPr>
          <w:bCs/>
        </w:rPr>
        <w:t>the provisional agenda</w:t>
      </w:r>
    </w:p>
    <w:p w:rsidR="00B6567D" w:rsidRPr="00E03A64" w:rsidRDefault="00B6567D" w:rsidP="00B6567D">
      <w:pPr>
        <w:rPr>
          <w:b/>
          <w:bCs/>
        </w:rPr>
      </w:pPr>
      <w:r>
        <w:rPr>
          <w:b/>
        </w:rPr>
        <w:t>Light vehicles</w:t>
      </w:r>
      <w:r w:rsidR="00D17AE8">
        <w:rPr>
          <w:b/>
        </w:rPr>
        <w:t xml:space="preserve">: </w:t>
      </w:r>
      <w:r w:rsidR="009807A1">
        <w:rPr>
          <w:b/>
        </w:rPr>
        <w:t xml:space="preserve">UN </w:t>
      </w:r>
      <w:r>
        <w:rPr>
          <w:b/>
        </w:rPr>
        <w:t xml:space="preserve">Regulations Nos. 68 (Measurement of the </w:t>
      </w:r>
      <w:r w:rsidR="00CA2E10">
        <w:rPr>
          <w:b/>
        </w:rPr>
        <w:br/>
      </w:r>
      <w:r>
        <w:rPr>
          <w:b/>
        </w:rPr>
        <w:t xml:space="preserve">maximum speed, including electric vehicles), 83 (Emissions of </w:t>
      </w:r>
      <w:r w:rsidR="00CA2E10">
        <w:rPr>
          <w:b/>
        </w:rPr>
        <w:br/>
      </w:r>
      <w:r>
        <w:rPr>
          <w:b/>
        </w:rP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sidR="00CA2E10">
        <w:rPr>
          <w:b/>
        </w:rPr>
        <w:br/>
      </w:r>
      <w:r>
        <w:rPr>
          <w:b/>
        </w:rPr>
        <w:t>103 (Replacement pollution control devices)</w:t>
      </w:r>
    </w:p>
    <w:p w:rsidR="00450B28" w:rsidRPr="00B6567D" w:rsidRDefault="00450B28" w:rsidP="00252825">
      <w:pPr>
        <w:pStyle w:val="HChG"/>
      </w:pPr>
      <w:r w:rsidRPr="00FD4196">
        <w:tab/>
      </w:r>
      <w:r w:rsidRPr="00FD4196">
        <w:tab/>
      </w:r>
      <w:r w:rsidR="00B6567D" w:rsidRPr="00B6567D">
        <w:rPr>
          <w:lang w:val="en-US"/>
        </w:rPr>
        <w:t xml:space="preserve">Proposal for a new Supplement to </w:t>
      </w:r>
      <w:r w:rsidR="00C70CC9">
        <w:rPr>
          <w:lang w:val="en-US"/>
        </w:rPr>
        <w:t xml:space="preserve">the </w:t>
      </w:r>
      <w:r w:rsidR="00C70CC9">
        <w:t xml:space="preserve">06 and 07 series </w:t>
      </w:r>
      <w:r w:rsidR="00B6567D" w:rsidRPr="00B6567D">
        <w:rPr>
          <w:lang w:val="en-US"/>
        </w:rPr>
        <w:t xml:space="preserve">of </w:t>
      </w:r>
      <w:r w:rsidR="001D2F2F">
        <w:rPr>
          <w:lang w:val="en-US"/>
        </w:rPr>
        <w:t>a</w:t>
      </w:r>
      <w:r w:rsidR="00B6567D" w:rsidRPr="00B6567D">
        <w:rPr>
          <w:lang w:val="en-US"/>
        </w:rPr>
        <w:t xml:space="preserve">mendments to </w:t>
      </w:r>
      <w:r w:rsidR="005B0C06">
        <w:rPr>
          <w:lang w:val="en-US"/>
        </w:rPr>
        <w:t xml:space="preserve">UN </w:t>
      </w:r>
      <w:r w:rsidR="00B6567D" w:rsidRPr="00B6567D">
        <w:rPr>
          <w:lang w:val="en-US"/>
        </w:rPr>
        <w:t>Regulation No. 83 (Emissions of M1 and N1 vehicles)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rsidR="009C3E09" w:rsidRDefault="001D2F2F" w:rsidP="009C3E09">
      <w:pPr>
        <w:pStyle w:val="SingleTxtG"/>
        <w:ind w:firstLine="567"/>
      </w:pPr>
      <w:r w:rsidRPr="00DC3C75">
        <w:rPr>
          <w:lang w:val="en-US"/>
        </w:rPr>
        <w:t xml:space="preserve">The text reproduced below was prepared by the expert from the International Organization of Motor Vehicle Manufacturers (OICA) to </w:t>
      </w:r>
      <w:r w:rsidR="00E8376E">
        <w:rPr>
          <w:lang w:val="en-US"/>
        </w:rPr>
        <w:t xml:space="preserve">clarify the relationship between approval levels, reference fuels and PN limits for PI vehicles and to </w:t>
      </w:r>
      <w:r>
        <w:rPr>
          <w:lang w:val="en-US"/>
        </w:rPr>
        <w:t xml:space="preserve">modify the </w:t>
      </w:r>
      <w:r w:rsidR="008E4122">
        <w:rPr>
          <w:lang w:val="en-US"/>
        </w:rPr>
        <w:t xml:space="preserve">calculation formulae for determination of evaporative emissions in accordance with changes already agreed in </w:t>
      </w:r>
      <w:r w:rsidR="009807A1">
        <w:rPr>
          <w:lang w:val="en-US"/>
        </w:rPr>
        <w:t xml:space="preserve">UN </w:t>
      </w:r>
      <w:r w:rsidR="008E4122">
        <w:rPr>
          <w:lang w:val="en-US"/>
        </w:rPr>
        <w:t xml:space="preserve">GTR </w:t>
      </w:r>
      <w:r w:rsidR="009807A1">
        <w:rPr>
          <w:lang w:val="en-US"/>
        </w:rPr>
        <w:t xml:space="preserve">No. </w:t>
      </w:r>
      <w:r w:rsidR="008E4122">
        <w:rPr>
          <w:lang w:val="en-US"/>
        </w:rPr>
        <w:t>19</w:t>
      </w:r>
      <w:r>
        <w:rPr>
          <w:lang w:val="en-US"/>
        </w:rPr>
        <w:t>.</w:t>
      </w:r>
      <w:r w:rsidRPr="00DA362D">
        <w:rPr>
          <w:szCs w:val="23"/>
          <w:lang w:val="en-US"/>
        </w:rPr>
        <w:t xml:space="preserve"> The modifications to the current text of the Regulation are marked in bold for new or strikethrough for deleted characters</w:t>
      </w:r>
      <w:r w:rsidR="009C3E09">
        <w:rPr>
          <w:szCs w:val="23"/>
        </w:rPr>
        <w:t>.</w:t>
      </w:r>
    </w:p>
    <w:p w:rsidR="00097A1F" w:rsidRDefault="00EC6158" w:rsidP="002F4281">
      <w:pPr>
        <w:pStyle w:val="HChG"/>
        <w:ind w:hanging="567"/>
      </w:pPr>
      <w:r w:rsidRPr="00FD4196">
        <w:br w:type="page"/>
      </w:r>
      <w:r w:rsidR="00C70CC9" w:rsidRPr="00FD4196">
        <w:lastRenderedPageBreak/>
        <w:t>I.</w:t>
      </w:r>
      <w:r w:rsidR="00097A1F">
        <w:tab/>
      </w:r>
      <w:r w:rsidR="00C70CC9" w:rsidRPr="00FD4196">
        <w:tab/>
      </w:r>
      <w:r w:rsidR="00C70CC9">
        <w:t>Proposal</w:t>
      </w:r>
    </w:p>
    <w:p w:rsidR="00E8376E" w:rsidRDefault="00E8376E" w:rsidP="003861DF">
      <w:pPr>
        <w:pStyle w:val="para"/>
        <w:spacing w:line="240" w:lineRule="auto"/>
        <w:ind w:left="1134" w:firstLine="0"/>
        <w:rPr>
          <w:i/>
          <w:lang w:val="en-US"/>
        </w:rPr>
      </w:pPr>
      <w:r>
        <w:rPr>
          <w:i/>
          <w:lang w:val="en-US"/>
        </w:rPr>
        <w:t>Amend footnote 7 to Table A in paragraph 5.2.</w:t>
      </w:r>
      <w:r w:rsidR="00B07ADF">
        <w:rPr>
          <w:i/>
          <w:lang w:val="en-US"/>
        </w:rPr>
        <w:t>,</w:t>
      </w:r>
      <w:r>
        <w:rPr>
          <w:i/>
          <w:lang w:val="en-US"/>
        </w:rPr>
        <w:t xml:space="preserve"> </w:t>
      </w:r>
      <w:r w:rsidRPr="009E6C72">
        <w:rPr>
          <w:lang w:val="en-US"/>
        </w:rPr>
        <w:t>to read</w:t>
      </w:r>
      <w:r>
        <w:rPr>
          <w:i/>
          <w:lang w:val="en-US"/>
        </w:rPr>
        <w:t>:</w:t>
      </w:r>
    </w:p>
    <w:p w:rsidR="00E8376E" w:rsidRPr="00E8376E" w:rsidRDefault="00E8376E" w:rsidP="00E8376E">
      <w:pPr>
        <w:suppressAutoHyphens w:val="0"/>
        <w:autoSpaceDE w:val="0"/>
        <w:autoSpaceDN w:val="0"/>
        <w:adjustRightInd w:val="0"/>
        <w:spacing w:line="240" w:lineRule="auto"/>
        <w:ind w:left="1701" w:hanging="567"/>
        <w:rPr>
          <w:strike/>
          <w:szCs w:val="16"/>
          <w:lang w:eastAsia="en-GB"/>
        </w:rPr>
      </w:pPr>
      <w:r>
        <w:t>"</w:t>
      </w:r>
      <w:r w:rsidRPr="00E8376E">
        <w:rPr>
          <w:vertAlign w:val="superscript"/>
          <w:lang w:eastAsia="en-GB"/>
        </w:rPr>
        <w:t>7</w:t>
      </w:r>
      <w:r w:rsidRPr="00E8376E">
        <w:rPr>
          <w:sz w:val="10"/>
          <w:szCs w:val="10"/>
          <w:lang w:eastAsia="en-GB"/>
        </w:rPr>
        <w:t xml:space="preserve"> </w:t>
      </w:r>
      <w:r>
        <w:rPr>
          <w:sz w:val="10"/>
          <w:szCs w:val="10"/>
          <w:lang w:eastAsia="en-GB"/>
        </w:rPr>
        <w:tab/>
      </w:r>
      <w:r w:rsidRPr="00E8376E">
        <w:rPr>
          <w:szCs w:val="16"/>
          <w:lang w:eastAsia="en-GB"/>
        </w:rPr>
        <w:t xml:space="preserve">Upon the choice of the manufacturer vehicles with positive and compression ignition engines may be tested with either E5 or E10 and either B5 or B7 fuels, respectively. </w:t>
      </w:r>
      <w:r w:rsidRPr="00E8376E">
        <w:rPr>
          <w:b/>
          <w:szCs w:val="16"/>
          <w:lang w:eastAsia="en-GB"/>
        </w:rPr>
        <w:t>This decision shall be reflected where applicable in the approval character as described in Table A3/1</w:t>
      </w:r>
      <w:r w:rsidRPr="00E8376E">
        <w:rPr>
          <w:strike/>
          <w:szCs w:val="16"/>
          <w:lang w:eastAsia="en-GB"/>
        </w:rPr>
        <w:t>However:</w:t>
      </w:r>
    </w:p>
    <w:p w:rsidR="00E8376E" w:rsidRPr="00E8376E" w:rsidRDefault="00E8376E" w:rsidP="00E8376E">
      <w:pPr>
        <w:suppressAutoHyphens w:val="0"/>
        <w:autoSpaceDE w:val="0"/>
        <w:autoSpaceDN w:val="0"/>
        <w:adjustRightInd w:val="0"/>
        <w:spacing w:line="240" w:lineRule="auto"/>
        <w:ind w:left="1701"/>
        <w:rPr>
          <w:strike/>
          <w:szCs w:val="16"/>
          <w:lang w:eastAsia="en-GB"/>
        </w:rPr>
      </w:pPr>
      <w:r w:rsidRPr="00E8376E">
        <w:rPr>
          <w:strike/>
          <w:szCs w:val="16"/>
          <w:lang w:eastAsia="en-GB"/>
        </w:rPr>
        <w:t>- not later than sixteen months after the dates set out in point 12.2.1., new type approvals shall only be performed with E10 and B7 fuels;</w:t>
      </w:r>
    </w:p>
    <w:p w:rsidR="00E8376E" w:rsidRDefault="00E8376E" w:rsidP="00E8376E">
      <w:pPr>
        <w:keepNext/>
        <w:keepLines/>
        <w:spacing w:after="120" w:line="240" w:lineRule="auto"/>
        <w:ind w:left="1701" w:right="1134"/>
        <w:rPr>
          <w:lang w:eastAsia="en-GB"/>
        </w:rPr>
      </w:pPr>
      <w:r w:rsidRPr="00E8376E">
        <w:rPr>
          <w:strike/>
          <w:szCs w:val="16"/>
          <w:lang w:eastAsia="en-GB"/>
        </w:rPr>
        <w:t>- not later than as from dates set out in point 12.2.4., all new vehicles shall be approved with E10 and B7 fuels.</w:t>
      </w:r>
      <w:r w:rsidR="00B07ADF" w:rsidRPr="00B07ADF">
        <w:t xml:space="preserve"> </w:t>
      </w:r>
      <w:r w:rsidR="00B07ADF">
        <w:t>"</w:t>
      </w:r>
    </w:p>
    <w:p w:rsidR="00E8376E" w:rsidRDefault="00E8376E" w:rsidP="00E8376E">
      <w:pPr>
        <w:keepNext/>
        <w:keepLines/>
        <w:spacing w:after="120" w:line="240" w:lineRule="auto"/>
        <w:ind w:left="1701" w:right="1134"/>
        <w:rPr>
          <w:lang w:eastAsia="en-GB"/>
        </w:rPr>
      </w:pPr>
    </w:p>
    <w:p w:rsidR="00E8376E" w:rsidRDefault="00E8376E" w:rsidP="00E8376E">
      <w:pPr>
        <w:pStyle w:val="para"/>
        <w:spacing w:line="240" w:lineRule="auto"/>
        <w:ind w:left="1134" w:firstLine="0"/>
        <w:rPr>
          <w:i/>
          <w:lang w:val="en-US"/>
        </w:rPr>
      </w:pPr>
      <w:r>
        <w:rPr>
          <w:i/>
          <w:lang w:val="en-US"/>
        </w:rPr>
        <w:t xml:space="preserve">Amend footnote 2 to Table 1 in paragraph 5.3.1.4. </w:t>
      </w:r>
      <w:r w:rsidRPr="009E6C72">
        <w:rPr>
          <w:lang w:val="en-US"/>
        </w:rPr>
        <w:t>to read</w:t>
      </w:r>
      <w:r>
        <w:rPr>
          <w:i/>
          <w:lang w:val="en-US"/>
        </w:rPr>
        <w:t>:</w:t>
      </w:r>
    </w:p>
    <w:p w:rsidR="00E8376E" w:rsidRDefault="00E8376E" w:rsidP="00E8376E">
      <w:pPr>
        <w:suppressAutoHyphens w:val="0"/>
        <w:autoSpaceDE w:val="0"/>
        <w:autoSpaceDN w:val="0"/>
        <w:adjustRightInd w:val="0"/>
        <w:spacing w:line="240" w:lineRule="auto"/>
        <w:ind w:left="1701" w:hanging="567"/>
        <w:rPr>
          <w:lang w:eastAsia="en-GB"/>
        </w:rPr>
      </w:pPr>
      <w:r>
        <w:t>"</w:t>
      </w:r>
      <w:r w:rsidRPr="00E8376E">
        <w:rPr>
          <w:vertAlign w:val="superscript"/>
          <w:lang w:eastAsia="en-GB"/>
        </w:rPr>
        <w:t>2</w:t>
      </w:r>
      <w:r w:rsidRPr="00E8376E">
        <w:rPr>
          <w:lang w:eastAsia="en-GB"/>
        </w:rPr>
        <w:t xml:space="preserve"> </w:t>
      </w:r>
      <w:r>
        <w:rPr>
          <w:lang w:eastAsia="en-GB"/>
        </w:rPr>
        <w:tab/>
      </w:r>
      <w:r w:rsidRPr="00E8376E">
        <w:rPr>
          <w:strike/>
          <w:lang w:eastAsia="en-GB"/>
        </w:rPr>
        <w:t>Until three years after the dates specified in paragraphs 12.2.1. and 12.2.2. of this Regulation for new type approvals and new vehicles respectively, a</w:t>
      </w:r>
      <w:r>
        <w:rPr>
          <w:lang w:eastAsia="en-GB"/>
        </w:rPr>
        <w:t xml:space="preserve"> </w:t>
      </w:r>
      <w:r w:rsidRPr="00E8376E">
        <w:rPr>
          <w:b/>
          <w:lang w:eastAsia="en-GB"/>
        </w:rPr>
        <w:t>A</w:t>
      </w:r>
      <w:r>
        <w:rPr>
          <w:lang w:eastAsia="en-GB"/>
        </w:rPr>
        <w:t xml:space="preserve"> </w:t>
      </w:r>
      <w:r w:rsidRPr="00E8376E">
        <w:rPr>
          <w:lang w:eastAsia="en-GB"/>
        </w:rPr>
        <w:t>particulate number emission limit of 6.0 × 1012 #/km shall apply to PI direct injection vehicles upon the choice of the manufacturer.</w:t>
      </w:r>
      <w:r>
        <w:rPr>
          <w:lang w:eastAsia="en-GB"/>
        </w:rPr>
        <w:t xml:space="preserve">  </w:t>
      </w:r>
      <w:r w:rsidRPr="00E8376E">
        <w:rPr>
          <w:b/>
          <w:szCs w:val="16"/>
          <w:lang w:eastAsia="en-GB"/>
        </w:rPr>
        <w:t>This decision shall be reflected where applicable in the approval character as described in Table A3/1</w:t>
      </w:r>
      <w:r w:rsidR="00B07ADF">
        <w:t>"</w:t>
      </w:r>
    </w:p>
    <w:p w:rsidR="00E8376E" w:rsidRDefault="00E8376E" w:rsidP="003861DF">
      <w:pPr>
        <w:pStyle w:val="para"/>
        <w:spacing w:line="240" w:lineRule="auto"/>
        <w:ind w:left="1134" w:firstLine="0"/>
        <w:rPr>
          <w:i/>
          <w:lang w:val="en-US"/>
        </w:rPr>
      </w:pPr>
    </w:p>
    <w:p w:rsidR="00E8376E" w:rsidRPr="00446694" w:rsidRDefault="00E8376E" w:rsidP="00E8376E">
      <w:pPr>
        <w:pStyle w:val="para"/>
        <w:spacing w:line="240" w:lineRule="auto"/>
        <w:ind w:left="1134" w:firstLine="0"/>
        <w:rPr>
          <w:i/>
          <w:lang w:val="en-US"/>
        </w:rPr>
      </w:pPr>
      <w:r w:rsidRPr="003861DF">
        <w:rPr>
          <w:i/>
          <w:lang w:val="en-US"/>
        </w:rPr>
        <w:t>Amend the key to Annex 3, Table A3/1</w:t>
      </w:r>
      <w:r w:rsidR="00B07ADF">
        <w:rPr>
          <w:i/>
          <w:lang w:val="en-US"/>
        </w:rPr>
        <w:t>,</w:t>
      </w:r>
      <w:r w:rsidRPr="003861DF">
        <w:rPr>
          <w:i/>
          <w:lang w:val="en-US"/>
        </w:rPr>
        <w:t xml:space="preserve"> </w:t>
      </w:r>
      <w:r w:rsidRPr="009E6C72">
        <w:rPr>
          <w:lang w:val="en-US"/>
        </w:rPr>
        <w:t>to read</w:t>
      </w:r>
      <w:r w:rsidRPr="00C75076">
        <w:rPr>
          <w:lang w:val="en-US"/>
        </w:rPr>
        <w:t>:</w:t>
      </w:r>
    </w:p>
    <w:p w:rsidR="00E8376E" w:rsidRDefault="003861DF" w:rsidP="00E8376E">
      <w:pPr>
        <w:keepNext/>
        <w:keepLines/>
        <w:spacing w:after="120" w:line="240" w:lineRule="auto"/>
        <w:ind w:left="2268" w:right="1134" w:hanging="1134"/>
      </w:pPr>
      <w:r>
        <w:t>"</w:t>
      </w:r>
      <w:r w:rsidR="00E8376E">
        <w:t>Emissions standard key</w:t>
      </w:r>
      <w:r>
        <w:t xml:space="preserve"> </w:t>
      </w:r>
    </w:p>
    <w:p w:rsidR="00E8376E" w:rsidRDefault="00E8376E" w:rsidP="00E8376E">
      <w:pPr>
        <w:keepNext/>
        <w:keepLines/>
        <w:spacing w:after="120" w:line="240" w:lineRule="auto"/>
        <w:ind w:left="2268" w:right="1134" w:hanging="1134"/>
      </w:pPr>
      <w:r>
        <w:t>A</w:t>
      </w:r>
      <w:r>
        <w:tab/>
        <w:t xml:space="preserve">Emission requirements according to the limits in Table 1 of paragraph 5.3.1.4. of this Regulation, </w:t>
      </w:r>
      <w:r w:rsidRPr="00E8376E">
        <w:rPr>
          <w:strike/>
        </w:rPr>
        <w:t>but allowing</w:t>
      </w:r>
      <w:r>
        <w:t xml:space="preserve"> </w:t>
      </w:r>
      <w:r w:rsidRPr="00E8376E">
        <w:rPr>
          <w:b/>
        </w:rPr>
        <w:t>complying with</w:t>
      </w:r>
      <w:r>
        <w:t xml:space="preserve"> the preliminary values for particulate numbers for PI vehicles as detailed in footnote 2 to that table </w:t>
      </w:r>
      <w:r w:rsidRPr="00E8376E">
        <w:rPr>
          <w:b/>
        </w:rPr>
        <w:t>any using any applicable reference fuel</w:t>
      </w:r>
      <w:r>
        <w:t>;</w:t>
      </w:r>
    </w:p>
    <w:p w:rsidR="00E8376E" w:rsidRDefault="00E8376E" w:rsidP="00E8376E">
      <w:pPr>
        <w:keepNext/>
        <w:keepLines/>
        <w:spacing w:after="120" w:line="240" w:lineRule="auto"/>
        <w:ind w:left="2268" w:right="1134" w:hanging="1134"/>
        <w:rPr>
          <w:lang w:eastAsia="en-GB"/>
        </w:rPr>
      </w:pPr>
      <w:r w:rsidRPr="00E8376E">
        <w:rPr>
          <w:lang w:eastAsia="en-GB"/>
        </w:rPr>
        <w:t xml:space="preserve">B </w:t>
      </w:r>
      <w:r>
        <w:rPr>
          <w:lang w:eastAsia="en-GB"/>
        </w:rPr>
        <w:tab/>
      </w:r>
      <w:r w:rsidRPr="00E8376E">
        <w:rPr>
          <w:lang w:eastAsia="en-GB"/>
        </w:rPr>
        <w:t>Emission requirements according to the limits in Table 1 of paragraph 5.3.1.4. of this</w:t>
      </w:r>
      <w:r>
        <w:rPr>
          <w:lang w:eastAsia="en-GB"/>
        </w:rPr>
        <w:t xml:space="preserve"> </w:t>
      </w:r>
      <w:r w:rsidRPr="00E8376E">
        <w:rPr>
          <w:lang w:eastAsia="en-GB"/>
        </w:rPr>
        <w:t xml:space="preserve">Regulation, </w:t>
      </w:r>
      <w:r w:rsidRPr="00E8376E">
        <w:rPr>
          <w:strike/>
          <w:lang w:eastAsia="en-GB"/>
        </w:rPr>
        <w:t>including</w:t>
      </w:r>
      <w:r w:rsidRPr="00E8376E">
        <w:rPr>
          <w:lang w:eastAsia="en-GB"/>
        </w:rPr>
        <w:t xml:space="preserve"> </w:t>
      </w:r>
      <w:r w:rsidRPr="00E8376E">
        <w:rPr>
          <w:b/>
        </w:rPr>
        <w:t>complying with</w:t>
      </w:r>
      <w:r>
        <w:t xml:space="preserve"> </w:t>
      </w:r>
      <w:r w:rsidRPr="00E8376E">
        <w:rPr>
          <w:lang w:eastAsia="en-GB"/>
        </w:rPr>
        <w:t xml:space="preserve">the </w:t>
      </w:r>
      <w:r w:rsidRPr="00E8376E">
        <w:rPr>
          <w:strike/>
          <w:lang w:eastAsia="en-GB"/>
        </w:rPr>
        <w:t>final</w:t>
      </w:r>
      <w:r w:rsidRPr="00E8376E">
        <w:rPr>
          <w:lang w:eastAsia="en-GB"/>
        </w:rPr>
        <w:t xml:space="preserve"> particulate number standards for PI vehicles </w:t>
      </w:r>
      <w:r w:rsidRPr="00E8376E">
        <w:rPr>
          <w:b/>
          <w:lang w:eastAsia="en-GB"/>
        </w:rPr>
        <w:t>in the table without reference to footnote 2</w:t>
      </w:r>
      <w:r>
        <w:rPr>
          <w:lang w:eastAsia="en-GB"/>
        </w:rPr>
        <w:t xml:space="preserve"> </w:t>
      </w:r>
      <w:r w:rsidRPr="00E8376E">
        <w:rPr>
          <w:lang w:eastAsia="en-GB"/>
        </w:rPr>
        <w:t>and use of</w:t>
      </w:r>
      <w:r>
        <w:rPr>
          <w:lang w:eastAsia="en-GB"/>
        </w:rPr>
        <w:t xml:space="preserve"> </w:t>
      </w:r>
      <w:r w:rsidRPr="00E8376E">
        <w:rPr>
          <w:lang w:eastAsia="en-GB"/>
        </w:rPr>
        <w:t>E10 and B7 reference fuel (where applicable).</w:t>
      </w:r>
      <w:r w:rsidR="00B07ADF" w:rsidRPr="00B07ADF">
        <w:t xml:space="preserve"> </w:t>
      </w:r>
      <w:r w:rsidR="00B07ADF">
        <w:t>"</w:t>
      </w:r>
    </w:p>
    <w:p w:rsidR="00E8376E" w:rsidRDefault="009E6C72" w:rsidP="00E8376E">
      <w:pPr>
        <w:keepNext/>
        <w:keepLines/>
        <w:spacing w:after="120" w:line="240" w:lineRule="auto"/>
        <w:ind w:left="2268" w:right="1134" w:hanging="1134"/>
        <w:rPr>
          <w:lang w:val="en-US"/>
        </w:rPr>
      </w:pPr>
      <w:r>
        <w:rPr>
          <w:i/>
          <w:lang w:val="en-US"/>
        </w:rPr>
        <w:t>Amend Annex 7, paragraph 4.2.1.</w:t>
      </w:r>
      <w:r w:rsidR="00B07ADF">
        <w:rPr>
          <w:i/>
          <w:lang w:val="en-US"/>
        </w:rPr>
        <w:t>,</w:t>
      </w:r>
      <w:r>
        <w:rPr>
          <w:i/>
          <w:lang w:val="en-US"/>
        </w:rPr>
        <w:t xml:space="preserve"> </w:t>
      </w:r>
      <w:r w:rsidRPr="00C75076">
        <w:rPr>
          <w:lang w:val="en-US"/>
        </w:rPr>
        <w:t>to read:</w:t>
      </w:r>
    </w:p>
    <w:p w:rsidR="009E6C72" w:rsidRPr="00337A07" w:rsidRDefault="00B07ADF" w:rsidP="009E6C72">
      <w:pPr>
        <w:pStyle w:val="SingleTxtG"/>
        <w:ind w:left="2268" w:hanging="1134"/>
      </w:pPr>
      <w:r>
        <w:t>"</w:t>
      </w:r>
      <w:r w:rsidR="009E6C72" w:rsidRPr="00337A07">
        <w:t>4.2.1.</w:t>
      </w:r>
      <w:r w:rsidR="009E6C72" w:rsidRPr="00337A07">
        <w:tab/>
        <w:t>Variable-volume enclosure</w:t>
      </w:r>
    </w:p>
    <w:p w:rsidR="009E6C72" w:rsidRPr="00337A07" w:rsidRDefault="009E6C72" w:rsidP="009E6C72">
      <w:pPr>
        <w:pStyle w:val="SingleTxtG"/>
        <w:ind w:left="2268" w:hanging="1134"/>
      </w:pPr>
      <w:r w:rsidRPr="00337A07">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Appendix 1 to this annex over the specified temperature range.</w:t>
      </w:r>
    </w:p>
    <w:p w:rsidR="009E6C72" w:rsidRPr="00337A07" w:rsidRDefault="009E6C72" w:rsidP="009E6C72">
      <w:pPr>
        <w:pStyle w:val="SingleTxtG"/>
        <w:ind w:left="2268" w:hanging="1134"/>
      </w:pPr>
      <w:r w:rsidRPr="00337A07">
        <w:tab/>
        <w:t>Any method of volume accommodation shall limit the differential between the enclosure internal pressure and the barometric pressure to a maximum value of </w:t>
      </w:r>
      <w:r w:rsidRPr="00337A07">
        <w:sym w:font="Symbol" w:char="F0B1"/>
      </w:r>
      <w:r w:rsidRPr="00337A07">
        <w:t>5 </w:t>
      </w:r>
      <w:r w:rsidRPr="009E6C72">
        <w:rPr>
          <w:strike/>
        </w:rPr>
        <w:t>kPa</w:t>
      </w:r>
      <w:r>
        <w:t xml:space="preserve"> </w:t>
      </w:r>
      <w:r w:rsidRPr="009E6C72">
        <w:rPr>
          <w:rFonts w:hint="eastAsia"/>
          <w:b/>
          <w:lang w:eastAsia="ja-JP"/>
        </w:rPr>
        <w:t>h</w:t>
      </w:r>
      <w:r w:rsidRPr="009E6C72">
        <w:rPr>
          <w:b/>
        </w:rPr>
        <w:t>Pa</w:t>
      </w:r>
      <w:r w:rsidRPr="00337A07">
        <w:t>.</w:t>
      </w:r>
    </w:p>
    <w:p w:rsidR="009E6C72" w:rsidRDefault="009E6C72" w:rsidP="009E6C72">
      <w:pPr>
        <w:pStyle w:val="SingleTxtG"/>
        <w:ind w:left="2268" w:hanging="1134"/>
      </w:pPr>
      <w:r w:rsidRPr="00337A07">
        <w:tab/>
        <w:t>The enclosure shall be capable of latching to a fixed volume. A variable volume enclosure shall be capable of accommodating a +7 per cent change from its "nominal volume" (see paragraph 2.1.1. of Appendix 1 to this annex,), taking into account temperature and barometric pressure variation during testing.</w:t>
      </w:r>
      <w:r w:rsidR="00B07ADF" w:rsidRPr="00B07ADF">
        <w:t xml:space="preserve"> </w:t>
      </w:r>
      <w:r w:rsidR="00B07ADF">
        <w:t>"</w:t>
      </w:r>
    </w:p>
    <w:p w:rsidR="009E6C72" w:rsidRDefault="009E6C72" w:rsidP="009E6C72">
      <w:pPr>
        <w:keepNext/>
        <w:keepLines/>
        <w:spacing w:after="120" w:line="240" w:lineRule="auto"/>
        <w:ind w:left="2268" w:right="1134" w:hanging="1134"/>
        <w:rPr>
          <w:lang w:val="en-US"/>
        </w:rPr>
      </w:pPr>
      <w:r>
        <w:rPr>
          <w:i/>
          <w:lang w:val="en-US"/>
        </w:rPr>
        <w:lastRenderedPageBreak/>
        <w:t>Amend Annex 7, paragraph 4.6.2.</w:t>
      </w:r>
      <w:r w:rsidR="00B07ADF">
        <w:rPr>
          <w:i/>
          <w:lang w:val="en-US"/>
        </w:rPr>
        <w:t>,</w:t>
      </w:r>
      <w:r>
        <w:rPr>
          <w:i/>
          <w:lang w:val="en-US"/>
        </w:rPr>
        <w:t xml:space="preserve"> </w:t>
      </w:r>
      <w:r w:rsidRPr="00C75076">
        <w:rPr>
          <w:lang w:val="en-US"/>
        </w:rPr>
        <w:t>to read:</w:t>
      </w:r>
    </w:p>
    <w:p w:rsidR="009E6C72" w:rsidRDefault="00B07ADF" w:rsidP="009E6C72">
      <w:pPr>
        <w:pStyle w:val="SingleTxtG"/>
        <w:ind w:left="2268" w:hanging="1134"/>
      </w:pPr>
      <w:r>
        <w:t>"</w:t>
      </w:r>
      <w:r w:rsidR="009E6C72" w:rsidRPr="00337A07">
        <w:t>4.6.2.</w:t>
      </w:r>
      <w:r w:rsidR="009E6C72" w:rsidRPr="00337A07">
        <w:tab/>
        <w:t xml:space="preserve">The accuracy of the pressure recording system shall be within </w:t>
      </w:r>
      <w:r w:rsidR="009E6C72" w:rsidRPr="00337A07">
        <w:sym w:font="Symbol" w:char="F0B1"/>
      </w:r>
      <w:r w:rsidR="009E6C72">
        <w:t xml:space="preserve"> </w:t>
      </w:r>
      <w:r w:rsidR="009E6C72" w:rsidRPr="009E6C72">
        <w:rPr>
          <w:strike/>
        </w:rPr>
        <w:t>2</w:t>
      </w:r>
      <w:r w:rsidR="009E6C72">
        <w:t xml:space="preserve"> </w:t>
      </w:r>
      <w:r w:rsidR="009E6C72" w:rsidRPr="009E6C72">
        <w:rPr>
          <w:rFonts w:hint="eastAsia"/>
          <w:b/>
          <w:lang w:eastAsia="ja-JP"/>
        </w:rPr>
        <w:t>0.3</w:t>
      </w:r>
      <w:r w:rsidR="009E6C72" w:rsidRPr="00337A07">
        <w:t xml:space="preserve"> kPa and the pressure shall </w:t>
      </w:r>
      <w:r w:rsidR="009E6C72" w:rsidRPr="009E6C72">
        <w:rPr>
          <w:strike/>
        </w:rPr>
        <w:t xml:space="preserve">be capable of being resolved to </w:t>
      </w:r>
      <w:r w:rsidR="009E6C72" w:rsidRPr="009E6C72">
        <w:rPr>
          <w:strike/>
        </w:rPr>
        <w:sym w:font="Symbol" w:char="F0B1"/>
      </w:r>
      <w:r w:rsidR="009E6C72" w:rsidRPr="009E6C72">
        <w:rPr>
          <w:strike/>
        </w:rPr>
        <w:t xml:space="preserve"> 0.2</w:t>
      </w:r>
      <w:r w:rsidR="009E6C72">
        <w:t xml:space="preserve"> </w:t>
      </w:r>
      <w:r w:rsidR="009E6C72" w:rsidRPr="009E6C72">
        <w:rPr>
          <w:rFonts w:hint="eastAsia"/>
          <w:b/>
          <w:lang w:eastAsia="ja-JP"/>
        </w:rPr>
        <w:t>have resolution of 0.025</w:t>
      </w:r>
      <w:r w:rsidR="009E6C72" w:rsidRPr="00337A07">
        <w:t> kPa.</w:t>
      </w:r>
      <w:r w:rsidRPr="00B07ADF">
        <w:t xml:space="preserve"> </w:t>
      </w:r>
      <w:r>
        <w:t>"</w:t>
      </w:r>
    </w:p>
    <w:p w:rsidR="009E6C72" w:rsidRPr="009E6C72" w:rsidRDefault="009E6C72" w:rsidP="009E6C72">
      <w:pPr>
        <w:pStyle w:val="SingleTxtG"/>
        <w:ind w:left="2268" w:hanging="1134"/>
      </w:pPr>
    </w:p>
    <w:p w:rsidR="009E6C72" w:rsidRDefault="009E6C72" w:rsidP="009E6C72">
      <w:pPr>
        <w:keepNext/>
        <w:keepLines/>
        <w:spacing w:after="120" w:line="240" w:lineRule="auto"/>
        <w:ind w:left="2268" w:right="1134" w:hanging="1134"/>
        <w:rPr>
          <w:lang w:val="en-US"/>
        </w:rPr>
      </w:pPr>
      <w:r>
        <w:rPr>
          <w:i/>
          <w:lang w:val="en-US"/>
        </w:rPr>
        <w:t>Delete Annex 7, paragraphs 4.9. and 4.9.1.</w:t>
      </w:r>
      <w:r w:rsidRPr="00C75076">
        <w:rPr>
          <w:lang w:val="en-US"/>
        </w:rPr>
        <w:t>:</w:t>
      </w:r>
    </w:p>
    <w:p w:rsidR="009E6C72" w:rsidRPr="009E6C72" w:rsidRDefault="00B07ADF" w:rsidP="009E6C72">
      <w:pPr>
        <w:pStyle w:val="SingleTxtG"/>
        <w:keepNext/>
        <w:keepLines/>
        <w:ind w:left="2268" w:hanging="1134"/>
        <w:rPr>
          <w:strike/>
        </w:rPr>
      </w:pPr>
      <w:r>
        <w:t>"</w:t>
      </w:r>
      <w:r w:rsidR="009E6C72" w:rsidRPr="009E6C72">
        <w:rPr>
          <w:strike/>
        </w:rPr>
        <w:t>4.9.</w:t>
      </w:r>
      <w:r w:rsidR="009E6C72" w:rsidRPr="009E6C72">
        <w:rPr>
          <w:strike/>
        </w:rPr>
        <w:tab/>
        <w:t>Additional equipment</w:t>
      </w:r>
    </w:p>
    <w:p w:rsidR="009E6C72" w:rsidRPr="00337A07" w:rsidRDefault="009E6C72" w:rsidP="009E6C72">
      <w:pPr>
        <w:pStyle w:val="SingleTxtG"/>
        <w:ind w:left="2268" w:hanging="1134"/>
      </w:pPr>
      <w:r w:rsidRPr="009E6C72">
        <w:rPr>
          <w:strike/>
        </w:rPr>
        <w:t>4.9.1.</w:t>
      </w:r>
      <w:r w:rsidRPr="009E6C72">
        <w:rPr>
          <w:strike/>
        </w:rPr>
        <w:tab/>
        <w:t xml:space="preserve">The absolute humidity in the test area shall be measurable to within </w:t>
      </w:r>
      <w:r w:rsidRPr="009E6C72">
        <w:rPr>
          <w:strike/>
        </w:rPr>
        <w:sym w:font="Symbol" w:char="F0B1"/>
      </w:r>
      <w:r w:rsidRPr="009E6C72">
        <w:rPr>
          <w:strike/>
        </w:rPr>
        <w:t>5 per cent.</w:t>
      </w:r>
      <w:r w:rsidR="00B07ADF" w:rsidRPr="00B07ADF">
        <w:t xml:space="preserve"> </w:t>
      </w:r>
      <w:r w:rsidR="00B07ADF">
        <w:t>"</w:t>
      </w:r>
    </w:p>
    <w:p w:rsidR="009E6C72" w:rsidRPr="00337A07" w:rsidRDefault="009E6C72" w:rsidP="009E6C72">
      <w:pPr>
        <w:pStyle w:val="SingleTxtG"/>
        <w:ind w:left="2268" w:hanging="1134"/>
      </w:pPr>
    </w:p>
    <w:p w:rsidR="00E8376E" w:rsidRDefault="008E4122" w:rsidP="00E8376E">
      <w:pPr>
        <w:pStyle w:val="para"/>
        <w:spacing w:line="240" w:lineRule="auto"/>
        <w:ind w:left="1134" w:firstLine="0"/>
        <w:rPr>
          <w:lang w:val="en-US"/>
        </w:rPr>
      </w:pPr>
      <w:r>
        <w:rPr>
          <w:i/>
          <w:lang w:val="en-US"/>
        </w:rPr>
        <w:t xml:space="preserve">Amend </w:t>
      </w:r>
      <w:r w:rsidR="00540E1C">
        <w:rPr>
          <w:i/>
          <w:lang w:val="en-US"/>
        </w:rPr>
        <w:t xml:space="preserve">Annex </w:t>
      </w:r>
      <w:r>
        <w:rPr>
          <w:i/>
          <w:lang w:val="en-US"/>
        </w:rPr>
        <w:t>7</w:t>
      </w:r>
      <w:r w:rsidR="00540E1C">
        <w:rPr>
          <w:i/>
          <w:lang w:val="en-US"/>
        </w:rPr>
        <w:t>, p</w:t>
      </w:r>
      <w:r w:rsidR="001D2F2F">
        <w:rPr>
          <w:i/>
          <w:lang w:val="en-US"/>
        </w:rPr>
        <w:t xml:space="preserve">aragraph </w:t>
      </w:r>
      <w:r>
        <w:rPr>
          <w:i/>
          <w:lang w:val="en-US"/>
        </w:rPr>
        <w:t>6.1</w:t>
      </w:r>
      <w:r w:rsidR="001D2F2F">
        <w:rPr>
          <w:i/>
          <w:lang w:val="en-US"/>
        </w:rPr>
        <w:t>.</w:t>
      </w:r>
      <w:r>
        <w:rPr>
          <w:i/>
          <w:lang w:val="en-US"/>
        </w:rPr>
        <w:t xml:space="preserve"> to be a title, renumber the existing text of paragraph 6.1. as 6.1.1. and add paragraph 6.1.2.</w:t>
      </w:r>
      <w:r w:rsidR="001D2F2F" w:rsidRPr="001E47C9">
        <w:rPr>
          <w:lang w:val="en-US"/>
        </w:rPr>
        <w:t>,</w:t>
      </w:r>
      <w:r w:rsidR="001D2F2F">
        <w:rPr>
          <w:i/>
          <w:lang w:val="en-US"/>
        </w:rPr>
        <w:t xml:space="preserve"> </w:t>
      </w:r>
      <w:r w:rsidR="001D2F2F" w:rsidRPr="00C75076">
        <w:rPr>
          <w:lang w:val="en-US"/>
        </w:rPr>
        <w:t>to read:</w:t>
      </w:r>
    </w:p>
    <w:p w:rsidR="00E8376E" w:rsidRPr="009807A1" w:rsidRDefault="001D2F2F" w:rsidP="00E8376E">
      <w:pPr>
        <w:pStyle w:val="para"/>
        <w:spacing w:line="240" w:lineRule="auto"/>
        <w:rPr>
          <w:b/>
          <w:lang w:val="en-US"/>
        </w:rPr>
      </w:pPr>
      <w:r w:rsidRPr="009807A1">
        <w:rPr>
          <w:lang w:val="en-US"/>
        </w:rPr>
        <w:t>"</w:t>
      </w:r>
      <w:r w:rsidR="008E4122" w:rsidRPr="009807A1">
        <w:rPr>
          <w:lang w:val="en-US"/>
        </w:rPr>
        <w:t xml:space="preserve">6.1. </w:t>
      </w:r>
      <w:r w:rsidR="008E4122" w:rsidRPr="009807A1">
        <w:rPr>
          <w:lang w:val="en-US"/>
        </w:rPr>
        <w:tab/>
      </w:r>
      <w:r w:rsidR="008E4122" w:rsidRPr="009807A1">
        <w:rPr>
          <w:b/>
          <w:lang w:val="en-US"/>
        </w:rPr>
        <w:t>Calculation of evaporative test results</w:t>
      </w:r>
    </w:p>
    <w:p w:rsidR="00E8376E" w:rsidRDefault="008E4122" w:rsidP="00E8376E">
      <w:pPr>
        <w:pStyle w:val="para"/>
        <w:spacing w:line="240" w:lineRule="auto"/>
      </w:pPr>
      <w:r w:rsidRPr="00B07ADF">
        <w:rPr>
          <w:b/>
          <w:lang w:val="en-US"/>
        </w:rPr>
        <w:t>6.1.1.</w:t>
      </w:r>
      <w:r w:rsidRPr="00B07ADF">
        <w:rPr>
          <w:lang w:val="en-US"/>
        </w:rPr>
        <w:tab/>
        <w:t xml:space="preserve">The evaporative emission tests described in paragraph 5. of this annex allow the hydrocarbon emissions from the diurnal and hot soak phases to be calculated. Evaporative losses from each of these phases is calculated using the initial and final hydrocarbon concentrations, temperatures and pressures in the enclosure, together with the net enclosure volume. </w:t>
      </w:r>
      <w:r>
        <w:t>The formula below is used:</w:t>
      </w:r>
    </w:p>
    <w:p w:rsidR="00E8376E" w:rsidRPr="00E8376E" w:rsidRDefault="008E4122" w:rsidP="00E8376E">
      <w:pPr>
        <w:pStyle w:val="para"/>
        <w:spacing w:line="240" w:lineRule="auto"/>
      </w:pPr>
      <w:r>
        <w:tab/>
      </w:r>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m:t>
            </m:r>
          </m:sub>
        </m:sSub>
      </m:oMath>
    </w:p>
    <w:p w:rsidR="00E8376E" w:rsidRPr="00B07ADF" w:rsidRDefault="008E4122" w:rsidP="00E8376E">
      <w:pPr>
        <w:pStyle w:val="para"/>
        <w:spacing w:line="240" w:lineRule="auto"/>
        <w:ind w:left="3402"/>
        <w:rPr>
          <w:lang w:val="en-US"/>
        </w:rPr>
      </w:pPr>
      <w:r w:rsidRPr="00B07ADF">
        <w:rPr>
          <w:lang w:val="en-US"/>
        </w:rPr>
        <w:t>Where:</w:t>
      </w:r>
    </w:p>
    <w:p w:rsidR="00E8376E" w:rsidRPr="00B07ADF" w:rsidRDefault="008E4122" w:rsidP="00E8376E">
      <w:pPr>
        <w:pStyle w:val="para"/>
        <w:tabs>
          <w:tab w:val="left" w:pos="3119"/>
        </w:tabs>
        <w:spacing w:line="240" w:lineRule="auto"/>
        <w:ind w:left="3402"/>
        <w:rPr>
          <w:lang w:val="en-US"/>
        </w:rPr>
      </w:pPr>
      <w:r w:rsidRPr="00B07ADF">
        <w:rPr>
          <w:lang w:val="en-US"/>
        </w:rPr>
        <w:t>M</w:t>
      </w:r>
      <w:r w:rsidRPr="00B07ADF">
        <w:rPr>
          <w:vertAlign w:val="subscript"/>
          <w:lang w:val="en-US"/>
        </w:rPr>
        <w:t>HC</w:t>
      </w:r>
      <w:r w:rsidRPr="00B07ADF">
        <w:rPr>
          <w:lang w:val="en-US"/>
        </w:rPr>
        <w:t xml:space="preserve"> </w:t>
      </w:r>
      <w:r w:rsidRPr="00B07ADF">
        <w:rPr>
          <w:lang w:val="en-US"/>
        </w:rPr>
        <w:tab/>
        <w:t xml:space="preserve">= </w:t>
      </w:r>
      <w:r w:rsidRPr="00B07ADF">
        <w:rPr>
          <w:lang w:val="en-US"/>
        </w:rPr>
        <w:tab/>
        <w:t>hydrocarbon mass in grams,</w:t>
      </w:r>
    </w:p>
    <w:p w:rsidR="00E8376E" w:rsidRPr="00B07ADF" w:rsidRDefault="008E4122" w:rsidP="00E8376E">
      <w:pPr>
        <w:pStyle w:val="para"/>
        <w:tabs>
          <w:tab w:val="left" w:pos="3119"/>
        </w:tabs>
        <w:spacing w:line="240" w:lineRule="auto"/>
        <w:ind w:left="3402"/>
        <w:rPr>
          <w:lang w:val="en-US"/>
        </w:rPr>
      </w:pPr>
      <w:r w:rsidRPr="00B07ADF">
        <w:rPr>
          <w:lang w:val="en-US"/>
        </w:rPr>
        <w:t>M</w:t>
      </w:r>
      <w:r w:rsidRPr="00B07ADF">
        <w:rPr>
          <w:vertAlign w:val="subscript"/>
          <w:lang w:val="en-US"/>
        </w:rPr>
        <w:t>HC,out</w:t>
      </w:r>
      <w:r w:rsidRPr="00B07ADF">
        <w:rPr>
          <w:lang w:val="en-US"/>
        </w:rPr>
        <w:t xml:space="preserve"> </w:t>
      </w:r>
      <w:r w:rsidRPr="00B07ADF">
        <w:rPr>
          <w:lang w:val="en-US"/>
        </w:rPr>
        <w:tab/>
        <w:t xml:space="preserve">= </w:t>
      </w:r>
      <w:r w:rsidRPr="00B07ADF">
        <w:rPr>
          <w:lang w:val="en-US"/>
        </w:rPr>
        <w:tab/>
        <w:t>mass of hydrocarbon exiting the enclosure, in the case of fixed volume enclosures for diurnal emission testing (grams),</w:t>
      </w:r>
    </w:p>
    <w:p w:rsidR="00E8376E" w:rsidRPr="00B07ADF" w:rsidRDefault="008E4122" w:rsidP="00E8376E">
      <w:pPr>
        <w:pStyle w:val="para"/>
        <w:tabs>
          <w:tab w:val="left" w:pos="3119"/>
        </w:tabs>
        <w:spacing w:line="240" w:lineRule="auto"/>
        <w:ind w:left="3402"/>
        <w:rPr>
          <w:lang w:val="en-US"/>
        </w:rPr>
      </w:pPr>
      <w:r w:rsidRPr="00B07ADF">
        <w:rPr>
          <w:lang w:val="en-US"/>
        </w:rPr>
        <w:t>M</w:t>
      </w:r>
      <w:r w:rsidRPr="00B07ADF">
        <w:rPr>
          <w:vertAlign w:val="subscript"/>
          <w:lang w:val="en-US"/>
        </w:rPr>
        <w:t>HC,i</w:t>
      </w:r>
      <w:r w:rsidRPr="00B07ADF">
        <w:rPr>
          <w:lang w:val="en-US"/>
        </w:rPr>
        <w:t xml:space="preserve"> </w:t>
      </w:r>
      <w:r w:rsidRPr="00B07ADF">
        <w:rPr>
          <w:lang w:val="en-US"/>
        </w:rPr>
        <w:tab/>
        <w:t xml:space="preserve">= </w:t>
      </w:r>
      <w:r w:rsidRPr="00B07ADF">
        <w:rPr>
          <w:lang w:val="en-US"/>
        </w:rPr>
        <w:tab/>
        <w:t>mass of hydrocarbon entering the enclosure, in the case of fixed volume enclosures for diurnal emission testing (grams),</w:t>
      </w:r>
    </w:p>
    <w:p w:rsidR="00E8376E" w:rsidRPr="00B07ADF" w:rsidRDefault="008E4122" w:rsidP="00E8376E">
      <w:pPr>
        <w:pStyle w:val="para"/>
        <w:tabs>
          <w:tab w:val="left" w:pos="3119"/>
        </w:tabs>
        <w:spacing w:line="240" w:lineRule="auto"/>
        <w:ind w:left="3402"/>
        <w:rPr>
          <w:lang w:val="en-US"/>
        </w:rPr>
      </w:pPr>
      <w:r w:rsidRPr="00B07ADF">
        <w:rPr>
          <w:lang w:val="en-US"/>
        </w:rPr>
        <w:t>C</w:t>
      </w:r>
      <w:r w:rsidRPr="00B07ADF">
        <w:rPr>
          <w:vertAlign w:val="subscript"/>
          <w:lang w:val="en-US"/>
        </w:rPr>
        <w:t>HC</w:t>
      </w:r>
      <w:r w:rsidRPr="00B07ADF">
        <w:rPr>
          <w:lang w:val="en-US"/>
        </w:rPr>
        <w:t xml:space="preserve"> </w:t>
      </w:r>
      <w:r w:rsidRPr="00B07ADF">
        <w:rPr>
          <w:lang w:val="en-US"/>
        </w:rPr>
        <w:tab/>
        <w:t xml:space="preserve">= </w:t>
      </w:r>
      <w:r w:rsidRPr="00B07ADF">
        <w:rPr>
          <w:lang w:val="en-US"/>
        </w:rPr>
        <w:tab/>
        <w:t>measured hydrocarbon concentration in the enclosure (ppm volume in C1 equivalent),</w:t>
      </w:r>
    </w:p>
    <w:p w:rsidR="00E8376E" w:rsidRPr="00B07ADF" w:rsidRDefault="008E4122" w:rsidP="00E8376E">
      <w:pPr>
        <w:pStyle w:val="para"/>
        <w:tabs>
          <w:tab w:val="left" w:pos="3119"/>
        </w:tabs>
        <w:spacing w:line="240" w:lineRule="auto"/>
        <w:ind w:left="3402"/>
        <w:rPr>
          <w:lang w:val="en-US"/>
        </w:rPr>
      </w:pPr>
      <w:r w:rsidRPr="00B07ADF">
        <w:rPr>
          <w:lang w:val="en-US"/>
        </w:rPr>
        <w:t xml:space="preserve">V </w:t>
      </w:r>
      <w:r w:rsidRPr="00B07ADF">
        <w:rPr>
          <w:lang w:val="en-US"/>
        </w:rPr>
        <w:tab/>
        <w:t xml:space="preserve">= </w:t>
      </w:r>
      <w:r w:rsidRPr="00B07ADF">
        <w:rPr>
          <w:lang w:val="en-US"/>
        </w:rPr>
        <w:tab/>
        <w:t>net enclosure volume in cubic metres corrected for the volume of the vehicle, with the windows and the luggage compartment open. If the volume of the vehicle is not determined a volume of 1.42 m3 is subtracted,</w:t>
      </w:r>
    </w:p>
    <w:p w:rsidR="00E8376E" w:rsidRPr="00B07ADF" w:rsidRDefault="008E4122" w:rsidP="00E8376E">
      <w:pPr>
        <w:pStyle w:val="para"/>
        <w:tabs>
          <w:tab w:val="left" w:pos="3119"/>
        </w:tabs>
        <w:spacing w:line="240" w:lineRule="auto"/>
        <w:ind w:left="3402"/>
        <w:rPr>
          <w:lang w:val="en-US"/>
        </w:rPr>
      </w:pPr>
      <w:r w:rsidRPr="00B07ADF">
        <w:rPr>
          <w:lang w:val="en-US"/>
        </w:rPr>
        <w:t xml:space="preserve">T </w:t>
      </w:r>
      <w:r w:rsidRPr="00B07ADF">
        <w:rPr>
          <w:lang w:val="en-US"/>
        </w:rPr>
        <w:tab/>
        <w:t xml:space="preserve">= </w:t>
      </w:r>
      <w:r w:rsidRPr="00B07ADF">
        <w:rPr>
          <w:lang w:val="en-US"/>
        </w:rPr>
        <w:tab/>
        <w:t>ambient chamber temperature, in K,</w:t>
      </w:r>
    </w:p>
    <w:p w:rsidR="00E8376E" w:rsidRPr="00B07ADF" w:rsidRDefault="008E4122" w:rsidP="00E8376E">
      <w:pPr>
        <w:pStyle w:val="para"/>
        <w:tabs>
          <w:tab w:val="left" w:pos="3119"/>
        </w:tabs>
        <w:spacing w:line="240" w:lineRule="auto"/>
        <w:ind w:left="3402"/>
        <w:rPr>
          <w:lang w:val="en-US"/>
        </w:rPr>
      </w:pPr>
      <w:r w:rsidRPr="00B07ADF">
        <w:rPr>
          <w:lang w:val="en-US"/>
        </w:rPr>
        <w:t xml:space="preserve">P </w:t>
      </w:r>
      <w:r w:rsidRPr="00B07ADF">
        <w:rPr>
          <w:lang w:val="en-US"/>
        </w:rPr>
        <w:tab/>
        <w:t xml:space="preserve">= </w:t>
      </w:r>
      <w:r w:rsidRPr="00B07ADF">
        <w:rPr>
          <w:lang w:val="en-US"/>
        </w:rPr>
        <w:tab/>
        <w:t>barometric pressure in kPa,</w:t>
      </w:r>
    </w:p>
    <w:p w:rsidR="00E8376E" w:rsidRPr="00B07ADF" w:rsidRDefault="008E4122" w:rsidP="00E8376E">
      <w:pPr>
        <w:pStyle w:val="para"/>
        <w:tabs>
          <w:tab w:val="left" w:pos="3119"/>
        </w:tabs>
        <w:spacing w:line="240" w:lineRule="auto"/>
        <w:ind w:left="3402"/>
        <w:rPr>
          <w:lang w:val="en-US"/>
        </w:rPr>
      </w:pPr>
      <w:r w:rsidRPr="00B07ADF">
        <w:rPr>
          <w:lang w:val="en-US"/>
        </w:rPr>
        <w:t>H/C</w:t>
      </w:r>
      <w:r w:rsidRPr="00B07ADF">
        <w:rPr>
          <w:lang w:val="en-US"/>
        </w:rPr>
        <w:tab/>
        <w:t xml:space="preserve">= </w:t>
      </w:r>
      <w:r w:rsidRPr="00B07ADF">
        <w:rPr>
          <w:lang w:val="en-US"/>
        </w:rPr>
        <w:tab/>
        <w:t>hydrogen to carbon ratio,</w:t>
      </w:r>
    </w:p>
    <w:p w:rsidR="00E8376E" w:rsidRPr="009807A1" w:rsidRDefault="008E4122" w:rsidP="00E8376E">
      <w:pPr>
        <w:pStyle w:val="para"/>
        <w:tabs>
          <w:tab w:val="left" w:pos="3119"/>
        </w:tabs>
        <w:spacing w:line="240" w:lineRule="auto"/>
        <w:ind w:left="3402"/>
        <w:rPr>
          <w:lang w:val="en-US"/>
        </w:rPr>
      </w:pPr>
      <w:r w:rsidRPr="009807A1">
        <w:rPr>
          <w:lang w:val="en-US"/>
        </w:rPr>
        <w:t xml:space="preserve">k </w:t>
      </w:r>
      <w:r w:rsidRPr="009807A1">
        <w:rPr>
          <w:lang w:val="en-US"/>
        </w:rPr>
        <w:tab/>
        <w:t xml:space="preserve">= </w:t>
      </w:r>
      <w:r w:rsidRPr="009807A1">
        <w:rPr>
          <w:lang w:val="en-US"/>
        </w:rPr>
        <w:tab/>
        <w:t>1.2 • (12 + H/C);</w:t>
      </w:r>
    </w:p>
    <w:p w:rsidR="00E8376E" w:rsidRPr="009807A1" w:rsidRDefault="008E4122" w:rsidP="00E8376E">
      <w:pPr>
        <w:pStyle w:val="para"/>
        <w:tabs>
          <w:tab w:val="left" w:pos="3119"/>
        </w:tabs>
        <w:spacing w:line="240" w:lineRule="auto"/>
        <w:ind w:left="3402"/>
        <w:rPr>
          <w:lang w:val="en-US"/>
        </w:rPr>
      </w:pPr>
      <w:r w:rsidRPr="009807A1">
        <w:rPr>
          <w:lang w:val="en-US"/>
        </w:rPr>
        <w:t>Where:</w:t>
      </w:r>
    </w:p>
    <w:p w:rsidR="00E8376E" w:rsidRPr="00B07ADF" w:rsidRDefault="008E4122" w:rsidP="00E8376E">
      <w:pPr>
        <w:pStyle w:val="para"/>
        <w:tabs>
          <w:tab w:val="left" w:pos="3119"/>
        </w:tabs>
        <w:spacing w:line="240" w:lineRule="auto"/>
        <w:ind w:left="3402"/>
        <w:rPr>
          <w:lang w:val="en-US"/>
        </w:rPr>
      </w:pPr>
      <w:r w:rsidRPr="00B07ADF">
        <w:rPr>
          <w:lang w:val="en-US"/>
        </w:rPr>
        <w:t xml:space="preserve">i </w:t>
      </w:r>
      <w:r w:rsidRPr="00B07ADF">
        <w:rPr>
          <w:lang w:val="en-US"/>
        </w:rPr>
        <w:tab/>
        <w:t xml:space="preserve">= </w:t>
      </w:r>
      <w:r w:rsidRPr="00B07ADF">
        <w:rPr>
          <w:lang w:val="en-US"/>
        </w:rPr>
        <w:tab/>
        <w:t>is the initial reading,</w:t>
      </w:r>
    </w:p>
    <w:p w:rsidR="00E8376E" w:rsidRPr="00B07ADF" w:rsidRDefault="008E4122" w:rsidP="00E8376E">
      <w:pPr>
        <w:pStyle w:val="para"/>
        <w:tabs>
          <w:tab w:val="left" w:pos="3119"/>
        </w:tabs>
        <w:spacing w:line="240" w:lineRule="auto"/>
        <w:ind w:left="3402"/>
        <w:rPr>
          <w:lang w:val="en-US"/>
        </w:rPr>
      </w:pPr>
      <w:r w:rsidRPr="00B07ADF">
        <w:rPr>
          <w:lang w:val="en-US"/>
        </w:rPr>
        <w:t xml:space="preserve">f </w:t>
      </w:r>
      <w:r w:rsidRPr="00B07ADF">
        <w:rPr>
          <w:lang w:val="en-US"/>
        </w:rPr>
        <w:tab/>
        <w:t xml:space="preserve">= </w:t>
      </w:r>
      <w:r w:rsidRPr="00B07ADF">
        <w:rPr>
          <w:lang w:val="en-US"/>
        </w:rPr>
        <w:tab/>
        <w:t>is the final reading,</w:t>
      </w:r>
    </w:p>
    <w:p w:rsidR="00E8376E" w:rsidRPr="00B07ADF" w:rsidRDefault="008E4122" w:rsidP="00E8376E">
      <w:pPr>
        <w:pStyle w:val="para"/>
        <w:tabs>
          <w:tab w:val="left" w:pos="3119"/>
        </w:tabs>
        <w:spacing w:line="240" w:lineRule="auto"/>
        <w:ind w:left="3402"/>
        <w:rPr>
          <w:lang w:val="en-US"/>
        </w:rPr>
      </w:pPr>
      <w:r w:rsidRPr="00B07ADF">
        <w:rPr>
          <w:lang w:val="en-US"/>
        </w:rPr>
        <w:t xml:space="preserve">H/C </w:t>
      </w:r>
      <w:r w:rsidRPr="00B07ADF">
        <w:rPr>
          <w:lang w:val="en-US"/>
        </w:rPr>
        <w:tab/>
        <w:t xml:space="preserve">= </w:t>
      </w:r>
      <w:r w:rsidRPr="00B07ADF">
        <w:rPr>
          <w:lang w:val="en-US"/>
        </w:rPr>
        <w:tab/>
        <w:t>is taken to be 2.33 for diurnal test losses,</w:t>
      </w:r>
    </w:p>
    <w:p w:rsidR="00E8376E" w:rsidRPr="00B07ADF" w:rsidRDefault="008E4122" w:rsidP="00E8376E">
      <w:pPr>
        <w:pStyle w:val="para"/>
        <w:tabs>
          <w:tab w:val="left" w:pos="3119"/>
        </w:tabs>
        <w:spacing w:line="240" w:lineRule="auto"/>
        <w:ind w:left="3402"/>
        <w:rPr>
          <w:lang w:val="en-US"/>
        </w:rPr>
      </w:pPr>
      <w:r w:rsidRPr="00B07ADF">
        <w:rPr>
          <w:lang w:val="en-US"/>
        </w:rPr>
        <w:t xml:space="preserve">H/C </w:t>
      </w:r>
      <w:r w:rsidRPr="00B07ADF">
        <w:rPr>
          <w:lang w:val="en-US"/>
        </w:rPr>
        <w:tab/>
        <w:t xml:space="preserve">= </w:t>
      </w:r>
      <w:r w:rsidRPr="00B07ADF">
        <w:rPr>
          <w:lang w:val="en-US"/>
        </w:rPr>
        <w:tab/>
        <w:t>is taken to be 2.20 for hot soak losses.</w:t>
      </w:r>
    </w:p>
    <w:p w:rsidR="008E4122" w:rsidRPr="00B07ADF" w:rsidRDefault="008E4122" w:rsidP="00E8376E">
      <w:pPr>
        <w:pStyle w:val="para"/>
        <w:tabs>
          <w:tab w:val="left" w:pos="3119"/>
        </w:tabs>
        <w:spacing w:line="240" w:lineRule="auto"/>
        <w:rPr>
          <w:b/>
          <w:lang w:val="en-US" w:eastAsia="ja-JP"/>
        </w:rPr>
      </w:pPr>
      <w:r w:rsidRPr="00B07ADF">
        <w:rPr>
          <w:b/>
          <w:lang w:val="en-US" w:eastAsia="ja-JP"/>
        </w:rPr>
        <w:lastRenderedPageBreak/>
        <w:t>6.1.2.</w:t>
      </w:r>
      <w:r w:rsidRPr="00B07ADF">
        <w:rPr>
          <w:b/>
          <w:lang w:val="en-US" w:eastAsia="ja-JP"/>
        </w:rPr>
        <w:tab/>
        <w:t>As an alternative to the equation in paragraph 6.1.1. of this Annex, for variable volume enclosures the following equation may be used at the choice of the manufacturer:</w:t>
      </w:r>
    </w:p>
    <w:p w:rsidR="008E4122" w:rsidRPr="008E4122" w:rsidRDefault="008E4122" w:rsidP="008E4122">
      <w:pPr>
        <w:pStyle w:val="SingleTxtG"/>
        <w:spacing w:before="120"/>
        <w:ind w:left="2268"/>
        <w:rPr>
          <w:b/>
          <w:lang w:val="pl-PL" w:eastAsia="ja-JP"/>
        </w:rPr>
      </w:pPr>
      <w:r w:rsidRPr="008E4122">
        <w:rPr>
          <w:b/>
          <w:lang w:eastAsia="ja-JP"/>
        </w:rPr>
        <w:tab/>
      </w:r>
      <w:r w:rsidRPr="008E4122">
        <w:rPr>
          <w:b/>
          <w:lang w:val="pl-PL" w:eastAsia="ja-JP"/>
        </w:rPr>
        <w:t>M</w:t>
      </w:r>
      <w:r w:rsidRPr="008E4122">
        <w:rPr>
          <w:b/>
          <w:vertAlign w:val="subscript"/>
          <w:lang w:val="pl-PL" w:eastAsia="ja-JP"/>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rsidR="008E4122" w:rsidRPr="008E4122" w:rsidRDefault="008E4122" w:rsidP="008E4122">
      <w:pPr>
        <w:spacing w:before="120" w:after="120"/>
        <w:ind w:left="2268" w:right="1134"/>
        <w:jc w:val="both"/>
        <w:rPr>
          <w:b/>
          <w:lang w:eastAsia="ja-JP"/>
        </w:rPr>
      </w:pPr>
      <w:r w:rsidRPr="008E4122">
        <w:rPr>
          <w:b/>
          <w:lang w:eastAsia="ja-JP"/>
        </w:rPr>
        <w:t>where:</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M</w:t>
      </w:r>
      <w:r w:rsidRPr="008E4122">
        <w:rPr>
          <w:b/>
          <w:vertAlign w:val="subscript"/>
          <w:lang w:eastAsia="ja-JP"/>
        </w:rPr>
        <w:t>HC</w:t>
      </w:r>
      <w:r w:rsidRPr="008E4122">
        <w:rPr>
          <w:b/>
          <w:lang w:eastAsia="ja-JP"/>
        </w:rPr>
        <w:t xml:space="preserve"> </w:t>
      </w:r>
      <w:r w:rsidRPr="008E4122">
        <w:rPr>
          <w:b/>
          <w:lang w:eastAsia="ja-JP"/>
        </w:rPr>
        <w:tab/>
      </w:r>
      <w:r>
        <w:rPr>
          <w:b/>
          <w:lang w:eastAsia="ja-JP"/>
        </w:rPr>
        <w:t>=</w:t>
      </w:r>
      <w:r>
        <w:rPr>
          <w:b/>
          <w:lang w:eastAsia="ja-JP"/>
        </w:rPr>
        <w:tab/>
      </w:r>
      <w:r w:rsidRPr="008E4122">
        <w:rPr>
          <w:b/>
          <w:lang w:eastAsia="ja-JP"/>
        </w:rPr>
        <w:t xml:space="preserve">hydrocarbon </w:t>
      </w:r>
      <w:r>
        <w:rPr>
          <w:b/>
          <w:lang w:eastAsia="ja-JP"/>
        </w:rPr>
        <w:t>m</w:t>
      </w:r>
      <w:r w:rsidRPr="008E4122">
        <w:rPr>
          <w:b/>
          <w:lang w:eastAsia="ja-JP"/>
        </w:rPr>
        <w:t>ass</w:t>
      </w:r>
      <w:r>
        <w:rPr>
          <w:b/>
          <w:lang w:eastAsia="ja-JP"/>
        </w:rPr>
        <w:t xml:space="preserve"> in</w:t>
      </w:r>
      <w:r w:rsidRPr="008E4122">
        <w:rPr>
          <w:rFonts w:hint="eastAsia"/>
          <w:b/>
          <w:lang w:eastAsia="ja-JP"/>
        </w:rPr>
        <w:t xml:space="preserve"> </w:t>
      </w:r>
      <w:r w:rsidRPr="008E4122">
        <w:rPr>
          <w:b/>
          <w:lang w:eastAsia="ja-JP"/>
        </w:rPr>
        <w:t>grams</w:t>
      </w:r>
      <w:r>
        <w:rPr>
          <w:b/>
          <w:lang w:eastAsia="ja-JP"/>
        </w:rPr>
        <w:t>,</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C</w:t>
      </w:r>
      <w:r w:rsidRPr="008E4122">
        <w:rPr>
          <w:b/>
          <w:vertAlign w:val="subscript"/>
          <w:lang w:eastAsia="ja-JP"/>
        </w:rPr>
        <w:t>HC</w:t>
      </w:r>
      <w:r w:rsidRPr="008E4122">
        <w:rPr>
          <w:b/>
          <w:lang w:eastAsia="ja-JP"/>
        </w:rPr>
        <w:t xml:space="preserve"> </w:t>
      </w:r>
      <w:r w:rsidRPr="008E4122">
        <w:rPr>
          <w:b/>
          <w:lang w:eastAsia="ja-JP"/>
        </w:rPr>
        <w:tab/>
      </w:r>
      <w:r>
        <w:rPr>
          <w:b/>
          <w:lang w:eastAsia="ja-JP"/>
        </w:rPr>
        <w:t>=</w:t>
      </w:r>
      <w:r>
        <w:rPr>
          <w:b/>
          <w:lang w:eastAsia="ja-JP"/>
        </w:rPr>
        <w:tab/>
      </w:r>
      <w:r w:rsidRPr="008E4122">
        <w:rPr>
          <w:b/>
          <w:lang w:eastAsia="ja-JP"/>
        </w:rPr>
        <w:t>measured hydrocarbon concentration in the enclosure</w:t>
      </w:r>
      <w:r>
        <w:rPr>
          <w:b/>
          <w:lang w:eastAsia="ja-JP"/>
        </w:rPr>
        <w:t xml:space="preserve"> (</w:t>
      </w:r>
      <w:r w:rsidRPr="008E4122">
        <w:rPr>
          <w:b/>
          <w:lang w:eastAsia="ja-JP"/>
        </w:rPr>
        <w:t>ppm volume in C</w:t>
      </w:r>
      <w:r w:rsidRPr="008E4122">
        <w:rPr>
          <w:b/>
          <w:vertAlign w:val="subscript"/>
          <w:lang w:eastAsia="ja-JP"/>
        </w:rPr>
        <w:t>1</w:t>
      </w:r>
      <w:r w:rsidRPr="008E4122">
        <w:rPr>
          <w:b/>
          <w:lang w:eastAsia="ja-JP"/>
        </w:rPr>
        <w:t xml:space="preserve"> equivalent</w:t>
      </w:r>
      <w:r>
        <w:rPr>
          <w:b/>
          <w:lang w:eastAsia="ja-JP"/>
        </w:rPr>
        <w:t>),</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 xml:space="preserve">V </w:t>
      </w:r>
      <w:r w:rsidRPr="008E4122">
        <w:rPr>
          <w:b/>
          <w:lang w:eastAsia="ja-JP"/>
        </w:rPr>
        <w:tab/>
      </w:r>
      <w:r>
        <w:rPr>
          <w:b/>
          <w:lang w:eastAsia="ja-JP"/>
        </w:rPr>
        <w:t>=</w:t>
      </w:r>
      <w:r>
        <w:rPr>
          <w:b/>
          <w:lang w:eastAsia="ja-JP"/>
        </w:rPr>
        <w:tab/>
      </w:r>
      <w:r w:rsidRPr="008E4122">
        <w:rPr>
          <w:b/>
          <w:lang w:eastAsia="ja-JP"/>
        </w:rPr>
        <w:t xml:space="preserve">net enclosure volume </w:t>
      </w:r>
      <w:r>
        <w:rPr>
          <w:b/>
          <w:lang w:eastAsia="ja-JP"/>
        </w:rPr>
        <w:t xml:space="preserve">in cubic metres </w:t>
      </w:r>
      <w:r w:rsidRPr="008E4122">
        <w:rPr>
          <w:b/>
          <w:lang w:eastAsia="ja-JP"/>
        </w:rPr>
        <w:t>corrected for the volume of the vehicle</w:t>
      </w:r>
      <w:r>
        <w:rPr>
          <w:b/>
          <w:lang w:eastAsia="ja-JP"/>
        </w:rPr>
        <w:t>,</w:t>
      </w:r>
      <w:r w:rsidRPr="008E4122">
        <w:rPr>
          <w:b/>
          <w:lang w:eastAsia="ja-JP"/>
        </w:rPr>
        <w:t xml:space="preserve"> with the windows and the luggage compartment open. If the volume of the vehicle is not </w:t>
      </w:r>
      <w:r>
        <w:rPr>
          <w:b/>
          <w:lang w:eastAsia="ja-JP"/>
        </w:rPr>
        <w:t>determined</w:t>
      </w:r>
      <w:r w:rsidRPr="008E4122">
        <w:rPr>
          <w:b/>
          <w:lang w:eastAsia="ja-JP"/>
        </w:rPr>
        <w:t xml:space="preserve"> a volume of 1.42 m</w:t>
      </w:r>
      <w:r w:rsidRPr="008E4122">
        <w:rPr>
          <w:b/>
          <w:vertAlign w:val="superscript"/>
          <w:lang w:eastAsia="ja-JP"/>
        </w:rPr>
        <w:t>3</w:t>
      </w:r>
      <w:r w:rsidRPr="008E4122">
        <w:rPr>
          <w:b/>
          <w:lang w:eastAsia="ja-JP"/>
        </w:rPr>
        <w:t xml:space="preserve"> </w:t>
      </w:r>
      <w:r>
        <w:rPr>
          <w:b/>
          <w:lang w:eastAsia="ja-JP"/>
        </w:rPr>
        <w:t>is</w:t>
      </w:r>
      <w:r w:rsidRPr="008E4122">
        <w:rPr>
          <w:b/>
          <w:lang w:eastAsia="ja-JP"/>
        </w:rPr>
        <w:t xml:space="preserve"> subtracted;</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T</w:t>
      </w:r>
      <w:r w:rsidRPr="008E4122">
        <w:rPr>
          <w:b/>
          <w:vertAlign w:val="subscript"/>
          <w:lang w:eastAsia="ja-JP"/>
        </w:rPr>
        <w:t>i</w:t>
      </w:r>
      <w:r w:rsidRPr="008E4122">
        <w:rPr>
          <w:b/>
          <w:lang w:eastAsia="ja-JP"/>
        </w:rPr>
        <w:tab/>
      </w:r>
      <w:r>
        <w:rPr>
          <w:b/>
          <w:lang w:eastAsia="ja-JP"/>
        </w:rPr>
        <w:t>=</w:t>
      </w:r>
      <w:r>
        <w:rPr>
          <w:b/>
          <w:lang w:eastAsia="ja-JP"/>
        </w:rPr>
        <w:tab/>
      </w:r>
      <w:r w:rsidRPr="008E4122">
        <w:rPr>
          <w:b/>
          <w:lang w:eastAsia="ja-JP"/>
        </w:rPr>
        <w:t xml:space="preserve">initial ambient chamber temperature, </w:t>
      </w:r>
      <w:r>
        <w:rPr>
          <w:b/>
          <w:lang w:eastAsia="ja-JP"/>
        </w:rPr>
        <w:t>in K,</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P</w:t>
      </w:r>
      <w:r w:rsidRPr="008E4122">
        <w:rPr>
          <w:b/>
          <w:vertAlign w:val="subscript"/>
          <w:lang w:eastAsia="ja-JP"/>
        </w:rPr>
        <w:t>i</w:t>
      </w:r>
      <w:r w:rsidRPr="008E4122">
        <w:rPr>
          <w:b/>
          <w:lang w:eastAsia="ja-JP"/>
        </w:rPr>
        <w:tab/>
      </w:r>
      <w:r>
        <w:rPr>
          <w:b/>
          <w:lang w:eastAsia="ja-JP"/>
        </w:rPr>
        <w:t>=</w:t>
      </w:r>
      <w:r>
        <w:rPr>
          <w:b/>
          <w:lang w:eastAsia="ja-JP"/>
        </w:rPr>
        <w:tab/>
      </w:r>
      <w:r w:rsidRPr="008E4122">
        <w:rPr>
          <w:b/>
          <w:lang w:eastAsia="ja-JP"/>
        </w:rPr>
        <w:t>initial barometric pressure</w:t>
      </w:r>
      <w:r>
        <w:rPr>
          <w:b/>
          <w:lang w:eastAsia="ja-JP"/>
        </w:rPr>
        <w:t xml:space="preserve"> in kPa,</w:t>
      </w:r>
    </w:p>
    <w:p w:rsidR="008E4122" w:rsidRPr="008E4122" w:rsidRDefault="008E4122" w:rsidP="008E4122">
      <w:pPr>
        <w:tabs>
          <w:tab w:val="left" w:pos="3119"/>
        </w:tabs>
        <w:spacing w:before="120" w:after="120"/>
        <w:ind w:left="3402" w:right="1134" w:hanging="1134"/>
        <w:rPr>
          <w:b/>
          <w:lang w:val="en-US"/>
        </w:rPr>
      </w:pPr>
      <w:r w:rsidRPr="008E4122">
        <w:rPr>
          <w:b/>
          <w:lang w:eastAsia="ja-JP"/>
        </w:rPr>
        <w:t xml:space="preserve">H/C </w:t>
      </w:r>
      <w:r w:rsidRPr="008E4122">
        <w:rPr>
          <w:b/>
          <w:lang w:eastAsia="ja-JP"/>
        </w:rPr>
        <w:tab/>
      </w:r>
      <w:r>
        <w:rPr>
          <w:b/>
          <w:lang w:eastAsia="ja-JP"/>
        </w:rPr>
        <w:t>=</w:t>
      </w:r>
      <w:r>
        <w:rPr>
          <w:b/>
          <w:lang w:eastAsia="ja-JP"/>
        </w:rPr>
        <w:tab/>
      </w:r>
      <w:r w:rsidRPr="008E4122">
        <w:rPr>
          <w:b/>
          <w:lang w:eastAsia="ja-JP"/>
        </w:rPr>
        <w:t>hydrogen to carbon ratio</w:t>
      </w:r>
      <w:r>
        <w:rPr>
          <w:b/>
          <w:lang w:eastAsia="ja-JP"/>
        </w:rPr>
        <w:t>,</w:t>
      </w:r>
    </w:p>
    <w:p w:rsidR="008E4122" w:rsidRPr="008E4122" w:rsidRDefault="008E4122" w:rsidP="008E4122">
      <w:pPr>
        <w:tabs>
          <w:tab w:val="left" w:pos="3119"/>
        </w:tabs>
        <w:spacing w:before="120" w:after="120"/>
        <w:ind w:left="3402" w:right="1134" w:hanging="1134"/>
        <w:rPr>
          <w:b/>
          <w:lang w:eastAsia="ja-JP"/>
        </w:rPr>
      </w:pPr>
      <w:r w:rsidRPr="008E4122">
        <w:rPr>
          <w:b/>
          <w:lang w:val="en-US"/>
        </w:rPr>
        <w:t>H/C</w:t>
      </w:r>
      <w:r w:rsidRPr="008E4122">
        <w:rPr>
          <w:b/>
          <w:lang w:val="en-US"/>
        </w:rPr>
        <w:tab/>
      </w:r>
      <w:r>
        <w:rPr>
          <w:b/>
          <w:lang w:val="en-US"/>
        </w:rPr>
        <w:t>=</w:t>
      </w:r>
      <w:r>
        <w:rPr>
          <w:b/>
          <w:lang w:val="en-US"/>
        </w:rPr>
        <w:tab/>
      </w:r>
      <w:r w:rsidRPr="008E4122">
        <w:rPr>
          <w:b/>
          <w:lang w:val="en-US"/>
        </w:rPr>
        <w:t>is taken to be 2.33 for diurnal test losses</w:t>
      </w:r>
      <w:r w:rsidRPr="008E4122">
        <w:rPr>
          <w:b/>
          <w:lang w:eastAsia="ja-JP"/>
        </w:rPr>
        <w:t>;</w:t>
      </w:r>
      <w:r w:rsidRPr="008E4122">
        <w:rPr>
          <w:b/>
        </w:rPr>
        <w:t xml:space="preserve"> </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H/C</w:t>
      </w:r>
      <w:r w:rsidRPr="008E4122">
        <w:rPr>
          <w:b/>
          <w:lang w:eastAsia="ja-JP"/>
        </w:rPr>
        <w:tab/>
      </w:r>
      <w:r>
        <w:rPr>
          <w:b/>
          <w:lang w:eastAsia="ja-JP"/>
        </w:rPr>
        <w:t>=</w:t>
      </w:r>
      <w:r>
        <w:rPr>
          <w:b/>
          <w:lang w:eastAsia="ja-JP"/>
        </w:rPr>
        <w:tab/>
      </w:r>
      <w:r w:rsidRPr="008E4122">
        <w:rPr>
          <w:b/>
          <w:lang w:eastAsia="ja-JP"/>
        </w:rPr>
        <w:t>is taken to be 2.20 for hot soak losses;</w:t>
      </w:r>
    </w:p>
    <w:p w:rsidR="00C70CC9" w:rsidRDefault="008E4122" w:rsidP="008E4122">
      <w:pPr>
        <w:keepNext/>
        <w:keepLines/>
        <w:tabs>
          <w:tab w:val="left" w:pos="3119"/>
        </w:tabs>
        <w:spacing w:after="120" w:line="240" w:lineRule="auto"/>
        <w:ind w:left="3402" w:right="1134" w:hanging="1134"/>
      </w:pPr>
      <w:r w:rsidRPr="008E4122">
        <w:rPr>
          <w:b/>
          <w:lang w:eastAsia="ja-JP"/>
        </w:rPr>
        <w:t xml:space="preserve">k </w:t>
      </w:r>
      <w:r w:rsidRPr="008E4122">
        <w:rPr>
          <w:b/>
          <w:lang w:eastAsia="ja-JP"/>
        </w:rPr>
        <w:tab/>
      </w:r>
      <w:r>
        <w:rPr>
          <w:b/>
          <w:lang w:eastAsia="ja-JP"/>
        </w:rPr>
        <w:t>=</w:t>
      </w:r>
      <w:r>
        <w:rPr>
          <w:b/>
          <w:lang w:eastAsia="ja-JP"/>
        </w:rPr>
        <w:tab/>
      </w:r>
      <w:r w:rsidRPr="008E4122">
        <w:rPr>
          <w:b/>
          <w:lang w:eastAsia="ja-JP"/>
        </w:rPr>
        <w:t>is 1.2 × 10</w:t>
      </w:r>
      <w:r w:rsidRPr="008E4122">
        <w:rPr>
          <w:b/>
          <w:vertAlign w:val="superscript"/>
          <w:lang w:eastAsia="ja-JP"/>
        </w:rPr>
        <w:t>-4</w:t>
      </w:r>
      <w:r w:rsidRPr="008E4122">
        <w:rPr>
          <w:b/>
          <w:lang w:eastAsia="ja-JP"/>
        </w:rPr>
        <w:t xml:space="preserve"> × (12 + H/C)</w:t>
      </w:r>
      <w:r w:rsidRPr="008E4122">
        <w:rPr>
          <w:rFonts w:hint="eastAsia"/>
          <w:b/>
          <w:lang w:eastAsia="ja-JP"/>
        </w:rPr>
        <w:t>,</w:t>
      </w:r>
      <w:r w:rsidRPr="008E4122">
        <w:rPr>
          <w:b/>
          <w:lang w:eastAsia="ja-JP"/>
        </w:rPr>
        <w:t xml:space="preserve"> in (g × K/(m³ × kPa)</w:t>
      </w:r>
      <w:r w:rsidRPr="008E4122">
        <w:rPr>
          <w:rFonts w:hint="eastAsia"/>
          <w:b/>
          <w:lang w:eastAsia="ja-JP"/>
        </w:rPr>
        <w:t>)</w:t>
      </w:r>
      <w:r w:rsidRPr="007221C7">
        <w:rPr>
          <w:rFonts w:hint="eastAsia"/>
          <w:lang w:eastAsia="ja-JP"/>
        </w:rPr>
        <w:t>;</w:t>
      </w:r>
      <w:r w:rsidR="001D2F2F">
        <w:t>"</w:t>
      </w:r>
    </w:p>
    <w:p w:rsidR="008E4122" w:rsidRDefault="008E4122" w:rsidP="008E4122">
      <w:pPr>
        <w:keepNext/>
        <w:keepLines/>
        <w:tabs>
          <w:tab w:val="left" w:pos="3119"/>
        </w:tabs>
        <w:spacing w:after="120" w:line="240" w:lineRule="auto"/>
        <w:ind w:left="3402" w:right="1134" w:hanging="1134"/>
      </w:pPr>
    </w:p>
    <w:p w:rsidR="008E4122" w:rsidRDefault="008E4122" w:rsidP="008E4122">
      <w:pPr>
        <w:pStyle w:val="para"/>
        <w:spacing w:line="240" w:lineRule="auto"/>
        <w:ind w:left="1134" w:firstLine="0"/>
        <w:jc w:val="left"/>
        <w:rPr>
          <w:lang w:val="en-US"/>
        </w:rPr>
      </w:pPr>
      <w:r>
        <w:rPr>
          <w:i/>
          <w:lang w:val="en-US"/>
        </w:rPr>
        <w:t>Amend Annex 7, Appendix 1, paragraph 2.4. to be a title, renumber the existing text of paragraph 2.4. as 2.4.1. and add paragraph 2.4.2.</w:t>
      </w:r>
      <w:r w:rsidRPr="001E47C9">
        <w:rPr>
          <w:lang w:val="en-US"/>
        </w:rPr>
        <w:t>,</w:t>
      </w:r>
      <w:r>
        <w:rPr>
          <w:i/>
          <w:lang w:val="en-US"/>
        </w:rPr>
        <w:t xml:space="preserve"> </w:t>
      </w:r>
      <w:r w:rsidRPr="00C75076">
        <w:rPr>
          <w:lang w:val="en-US"/>
        </w:rPr>
        <w:t>to read:</w:t>
      </w:r>
    </w:p>
    <w:p w:rsidR="008E4122" w:rsidRPr="00B07ADF" w:rsidRDefault="008E4122" w:rsidP="008E4122">
      <w:pPr>
        <w:pStyle w:val="para"/>
        <w:spacing w:line="240" w:lineRule="auto"/>
        <w:rPr>
          <w:b/>
          <w:lang w:val="en-US"/>
        </w:rPr>
      </w:pPr>
      <w:r w:rsidRPr="00B07ADF">
        <w:rPr>
          <w:lang w:val="en-US"/>
        </w:rPr>
        <w:t xml:space="preserve">"2.4. </w:t>
      </w:r>
      <w:r w:rsidRPr="00B07ADF">
        <w:rPr>
          <w:lang w:val="en-US"/>
        </w:rPr>
        <w:tab/>
      </w:r>
      <w:r w:rsidRPr="00B07ADF">
        <w:rPr>
          <w:b/>
          <w:lang w:val="en-US"/>
        </w:rPr>
        <w:t>Calculations</w:t>
      </w:r>
      <w:r w:rsidR="009E6C72" w:rsidRPr="00B07ADF">
        <w:rPr>
          <w:b/>
          <w:lang w:val="en-US"/>
        </w:rPr>
        <w:t xml:space="preserve"> of evaporative test results</w:t>
      </w:r>
    </w:p>
    <w:p w:rsidR="008E4122" w:rsidRPr="00B07ADF" w:rsidRDefault="008E4122" w:rsidP="008E4122">
      <w:pPr>
        <w:pStyle w:val="para"/>
        <w:spacing w:line="240" w:lineRule="auto"/>
        <w:rPr>
          <w:lang w:val="en-US"/>
        </w:rPr>
      </w:pPr>
      <w:r w:rsidRPr="00B07ADF">
        <w:rPr>
          <w:b/>
          <w:lang w:val="en-US"/>
        </w:rPr>
        <w:t>2.4.1.</w:t>
      </w:r>
      <w:r w:rsidRPr="00B07ADF">
        <w:rPr>
          <w:lang w:val="en-US"/>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rsidR="008E4122" w:rsidRPr="008E4122" w:rsidRDefault="008E4122" w:rsidP="008E4122">
      <w:pPr>
        <w:pStyle w:val="para"/>
        <w:spacing w:line="240" w:lineRule="auto"/>
        <w:rPr>
          <w:lang w:val="en-GB"/>
        </w:rPr>
      </w:pPr>
      <w:r w:rsidRPr="00B07ADF">
        <w:rPr>
          <w:lang w:val="en-US"/>
        </w:rPr>
        <w:tab/>
      </w:r>
      <m:oMath>
        <m:sSub>
          <m:sSubPr>
            <m:ctrlPr>
              <w:rPr>
                <w:rFonts w:ascii="Cambria Math" w:hAnsi="Cambria Math"/>
                <w:i/>
                <w:lang w:val="en-GB"/>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lang w:val="en-GB"/>
              </w:rPr>
            </m:ctrlPr>
          </m:sSupPr>
          <m:e>
            <m:r>
              <w:rPr>
                <w:rFonts w:ascii="Cambria Math" w:hAnsi="Cambria Math"/>
              </w:rPr>
              <m:t>10</m:t>
            </m:r>
          </m:e>
          <m:sup>
            <m:r>
              <w:rPr>
                <w:rFonts w:ascii="Cambria Math" w:hAnsi="Cambria Math"/>
              </w:rPr>
              <m:t>-4</m:t>
            </m:r>
          </m:sup>
        </m:sSup>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lang w:val="en-GB"/>
                      </w:rPr>
                    </m:ctrlPr>
                  </m:sSubPr>
                  <m:e>
                    <m:r>
                      <w:rPr>
                        <w:rFonts w:ascii="Cambria Math" w:hAnsi="Cambria Math"/>
                      </w:rPr>
                      <m:t>P</m:t>
                    </m:r>
                  </m:e>
                  <m:sub>
                    <m:r>
                      <w:rPr>
                        <w:rFonts w:ascii="Cambria Math" w:hAnsi="Cambria Math"/>
                      </w:rPr>
                      <m:t>f</m:t>
                    </m:r>
                  </m:sub>
                </m:sSub>
              </m:num>
              <m:den>
                <m:sSub>
                  <m:sSubPr>
                    <m:ctrlPr>
                      <w:rPr>
                        <w:rFonts w:ascii="Cambria Math" w:hAnsi="Cambria Math"/>
                        <w:i/>
                        <w:lang w:val="en-GB"/>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lang w:val="en-GB"/>
                      </w:rPr>
                    </m:ctrlPr>
                  </m:sSubPr>
                  <m:e>
                    <m:r>
                      <w:rPr>
                        <w:rFonts w:ascii="Cambria Math" w:hAnsi="Cambria Math"/>
                      </w:rPr>
                      <m:t>P</m:t>
                    </m:r>
                  </m:e>
                  <m:sub>
                    <m:r>
                      <w:rPr>
                        <w:rFonts w:ascii="Cambria Math" w:hAnsi="Cambria Math"/>
                      </w:rPr>
                      <m:t>i</m:t>
                    </m:r>
                  </m:sub>
                </m:sSub>
              </m:num>
              <m:den>
                <m:sSub>
                  <m:sSubPr>
                    <m:ctrlPr>
                      <w:rPr>
                        <w:rFonts w:ascii="Cambria Math" w:hAnsi="Cambria Math"/>
                        <w:i/>
                        <w:lang w:val="en-GB"/>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lang w:val="en-GB"/>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lang w:val="en-GB"/>
              </w:rPr>
            </m:ctrlPr>
          </m:sSubPr>
          <m:e>
            <m:r>
              <w:rPr>
                <w:rFonts w:ascii="Cambria Math" w:hAnsi="Cambria Math"/>
              </w:rPr>
              <m:t>M</m:t>
            </m:r>
          </m:e>
          <m:sub>
            <m:r>
              <w:rPr>
                <w:rFonts w:ascii="Cambria Math" w:hAnsi="Cambria Math"/>
              </w:rPr>
              <m:t>HC,i</m:t>
            </m:r>
          </m:sub>
        </m:sSub>
      </m:oMath>
    </w:p>
    <w:p w:rsidR="008E4122" w:rsidRPr="00B07ADF" w:rsidRDefault="008E4122" w:rsidP="008E4122">
      <w:pPr>
        <w:pStyle w:val="para"/>
        <w:spacing w:line="240" w:lineRule="auto"/>
        <w:rPr>
          <w:lang w:val="en-US"/>
        </w:rPr>
      </w:pPr>
      <w:r>
        <w:tab/>
      </w:r>
      <w:r w:rsidRPr="00B07ADF">
        <w:rPr>
          <w:lang w:val="en-US"/>
        </w:rPr>
        <w:t>Where:</w:t>
      </w:r>
    </w:p>
    <w:p w:rsidR="008E4122" w:rsidRPr="00B07ADF" w:rsidRDefault="008E4122" w:rsidP="008E4122">
      <w:pPr>
        <w:pStyle w:val="para"/>
        <w:tabs>
          <w:tab w:val="left" w:pos="3119"/>
        </w:tabs>
        <w:spacing w:line="240" w:lineRule="auto"/>
        <w:ind w:left="3402"/>
        <w:rPr>
          <w:lang w:val="en-US"/>
        </w:rPr>
      </w:pPr>
      <w:r w:rsidRPr="00B07ADF">
        <w:rPr>
          <w:lang w:val="en-US"/>
        </w:rPr>
        <w:t>M</w:t>
      </w:r>
      <w:r w:rsidRPr="00B07ADF">
        <w:rPr>
          <w:vertAlign w:val="subscript"/>
          <w:lang w:val="en-US"/>
        </w:rPr>
        <w:t>HC</w:t>
      </w:r>
      <w:r w:rsidRPr="00B07ADF">
        <w:rPr>
          <w:lang w:val="en-US"/>
        </w:rPr>
        <w:t xml:space="preserve"> </w:t>
      </w:r>
      <w:r w:rsidRPr="00B07ADF">
        <w:rPr>
          <w:lang w:val="en-US"/>
        </w:rPr>
        <w:tab/>
        <w:t xml:space="preserve">= </w:t>
      </w:r>
      <w:r w:rsidRPr="00B07ADF">
        <w:rPr>
          <w:lang w:val="en-US"/>
        </w:rPr>
        <w:tab/>
        <w:t>hydrocarbon mass in grams,</w:t>
      </w:r>
    </w:p>
    <w:p w:rsidR="008E4122" w:rsidRPr="00B07ADF" w:rsidRDefault="008E4122" w:rsidP="008E4122">
      <w:pPr>
        <w:pStyle w:val="para"/>
        <w:tabs>
          <w:tab w:val="left" w:pos="3119"/>
        </w:tabs>
        <w:spacing w:line="240" w:lineRule="auto"/>
        <w:ind w:left="3402"/>
        <w:rPr>
          <w:lang w:val="en-US"/>
        </w:rPr>
      </w:pPr>
      <w:r w:rsidRPr="00B07ADF">
        <w:rPr>
          <w:lang w:val="en-US"/>
        </w:rPr>
        <w:t>M</w:t>
      </w:r>
      <w:r w:rsidRPr="00B07ADF">
        <w:rPr>
          <w:vertAlign w:val="subscript"/>
          <w:lang w:val="en-US"/>
        </w:rPr>
        <w:t>HC,out</w:t>
      </w:r>
      <w:r w:rsidRPr="00B07ADF">
        <w:rPr>
          <w:lang w:val="en-US"/>
        </w:rPr>
        <w:t xml:space="preserve"> </w:t>
      </w:r>
      <w:r w:rsidRPr="00B07ADF">
        <w:rPr>
          <w:lang w:val="en-US"/>
        </w:rPr>
        <w:tab/>
        <w:t xml:space="preserve">= </w:t>
      </w:r>
      <w:r w:rsidRPr="00B07ADF">
        <w:rPr>
          <w:lang w:val="en-US"/>
        </w:rPr>
        <w:tab/>
        <w:t>mass of hydrocarbon exiting the enclosure, in the case of fixed volume enclosures for diurnal emission testing (grams),</w:t>
      </w:r>
    </w:p>
    <w:p w:rsidR="008E4122" w:rsidRPr="00B07ADF" w:rsidRDefault="008E4122" w:rsidP="008E4122">
      <w:pPr>
        <w:pStyle w:val="para"/>
        <w:tabs>
          <w:tab w:val="left" w:pos="3119"/>
        </w:tabs>
        <w:spacing w:line="240" w:lineRule="auto"/>
        <w:ind w:left="3402"/>
        <w:rPr>
          <w:lang w:val="en-US"/>
        </w:rPr>
      </w:pPr>
      <w:r w:rsidRPr="00B07ADF">
        <w:rPr>
          <w:lang w:val="en-US"/>
        </w:rPr>
        <w:t>M</w:t>
      </w:r>
      <w:r w:rsidRPr="00B07ADF">
        <w:rPr>
          <w:vertAlign w:val="subscript"/>
          <w:lang w:val="en-US"/>
        </w:rPr>
        <w:t>HC,i</w:t>
      </w:r>
      <w:r w:rsidRPr="00B07ADF">
        <w:rPr>
          <w:lang w:val="en-US"/>
        </w:rPr>
        <w:t xml:space="preserve"> </w:t>
      </w:r>
      <w:r w:rsidRPr="00B07ADF">
        <w:rPr>
          <w:lang w:val="en-US"/>
        </w:rPr>
        <w:tab/>
        <w:t xml:space="preserve">= </w:t>
      </w:r>
      <w:r w:rsidRPr="00B07ADF">
        <w:rPr>
          <w:lang w:val="en-US"/>
        </w:rPr>
        <w:tab/>
        <w:t>mass of hydrocarbon entering the enclosure when a fixed volume enclosure is used for diurnal emissions (grams),</w:t>
      </w:r>
    </w:p>
    <w:p w:rsidR="008E4122" w:rsidRPr="00B07ADF" w:rsidRDefault="008E4122" w:rsidP="008E4122">
      <w:pPr>
        <w:pStyle w:val="para"/>
        <w:tabs>
          <w:tab w:val="left" w:pos="3119"/>
        </w:tabs>
        <w:spacing w:line="240" w:lineRule="auto"/>
        <w:ind w:left="3402"/>
        <w:rPr>
          <w:lang w:val="en-US"/>
        </w:rPr>
      </w:pPr>
      <w:r w:rsidRPr="00B07ADF">
        <w:rPr>
          <w:lang w:val="en-US"/>
        </w:rPr>
        <w:t>C</w:t>
      </w:r>
      <w:r w:rsidRPr="00B07ADF">
        <w:rPr>
          <w:vertAlign w:val="subscript"/>
          <w:lang w:val="en-US"/>
        </w:rPr>
        <w:t>HC</w:t>
      </w:r>
      <w:r w:rsidRPr="00B07ADF">
        <w:rPr>
          <w:lang w:val="en-US"/>
        </w:rPr>
        <w:t xml:space="preserve"> </w:t>
      </w:r>
      <w:r w:rsidRPr="00B07ADF">
        <w:rPr>
          <w:lang w:val="en-US"/>
        </w:rPr>
        <w:tab/>
        <w:t xml:space="preserve">= </w:t>
      </w:r>
      <w:r w:rsidRPr="00B07ADF">
        <w:rPr>
          <w:lang w:val="en-US"/>
        </w:rPr>
        <w:tab/>
        <w:t>hydrocarbon concentration in the enclosure (ppm carbon (Note : ppm carbon = ppm propane x 3)),</w:t>
      </w:r>
    </w:p>
    <w:p w:rsidR="008E4122" w:rsidRPr="00B07ADF" w:rsidRDefault="008E4122" w:rsidP="008E4122">
      <w:pPr>
        <w:pStyle w:val="para"/>
        <w:tabs>
          <w:tab w:val="left" w:pos="3119"/>
        </w:tabs>
        <w:spacing w:line="240" w:lineRule="auto"/>
        <w:ind w:left="3402"/>
        <w:rPr>
          <w:lang w:val="en-US"/>
        </w:rPr>
      </w:pPr>
      <w:r w:rsidRPr="00B07ADF">
        <w:rPr>
          <w:lang w:val="en-US"/>
        </w:rPr>
        <w:t xml:space="preserve">V </w:t>
      </w:r>
      <w:r w:rsidRPr="00B07ADF">
        <w:rPr>
          <w:lang w:val="en-US"/>
        </w:rPr>
        <w:tab/>
        <w:t xml:space="preserve">= </w:t>
      </w:r>
      <w:r w:rsidRPr="00B07ADF">
        <w:rPr>
          <w:lang w:val="en-US"/>
        </w:rPr>
        <w:tab/>
        <w:t>enclosure volume in cubic metres,</w:t>
      </w:r>
    </w:p>
    <w:p w:rsidR="008E4122" w:rsidRPr="00B07ADF" w:rsidRDefault="008E4122" w:rsidP="008E4122">
      <w:pPr>
        <w:pStyle w:val="para"/>
        <w:tabs>
          <w:tab w:val="left" w:pos="3119"/>
        </w:tabs>
        <w:spacing w:line="240" w:lineRule="auto"/>
        <w:ind w:left="3402"/>
        <w:rPr>
          <w:lang w:val="en-US"/>
        </w:rPr>
      </w:pPr>
      <w:r w:rsidRPr="00B07ADF">
        <w:rPr>
          <w:lang w:val="en-US"/>
        </w:rPr>
        <w:t xml:space="preserve">T </w:t>
      </w:r>
      <w:r w:rsidRPr="00B07ADF">
        <w:rPr>
          <w:lang w:val="en-US"/>
        </w:rPr>
        <w:tab/>
        <w:t xml:space="preserve">= </w:t>
      </w:r>
      <w:r w:rsidRPr="00B07ADF">
        <w:rPr>
          <w:lang w:val="en-US"/>
        </w:rPr>
        <w:tab/>
        <w:t>ambient temperature in the enclosure, (K),</w:t>
      </w:r>
    </w:p>
    <w:p w:rsidR="008E4122" w:rsidRPr="00B07ADF" w:rsidRDefault="008E4122" w:rsidP="008E4122">
      <w:pPr>
        <w:pStyle w:val="para"/>
        <w:tabs>
          <w:tab w:val="left" w:pos="3119"/>
        </w:tabs>
        <w:spacing w:line="240" w:lineRule="auto"/>
        <w:ind w:left="3402"/>
        <w:rPr>
          <w:lang w:val="en-US"/>
        </w:rPr>
      </w:pPr>
      <w:r w:rsidRPr="00B07ADF">
        <w:rPr>
          <w:lang w:val="en-US"/>
        </w:rPr>
        <w:t xml:space="preserve">P </w:t>
      </w:r>
      <w:r w:rsidRPr="00B07ADF">
        <w:rPr>
          <w:lang w:val="en-US"/>
        </w:rPr>
        <w:tab/>
        <w:t xml:space="preserve">= </w:t>
      </w:r>
      <w:r w:rsidRPr="00B07ADF">
        <w:rPr>
          <w:lang w:val="en-US"/>
        </w:rPr>
        <w:tab/>
        <w:t>barometric pressure, (kPa),</w:t>
      </w:r>
    </w:p>
    <w:p w:rsidR="008E4122" w:rsidRPr="00B07ADF" w:rsidRDefault="008E4122" w:rsidP="008E4122">
      <w:pPr>
        <w:pStyle w:val="para"/>
        <w:tabs>
          <w:tab w:val="left" w:pos="3119"/>
        </w:tabs>
        <w:spacing w:line="240" w:lineRule="auto"/>
        <w:ind w:left="3402"/>
        <w:rPr>
          <w:lang w:val="en-US"/>
        </w:rPr>
      </w:pPr>
      <w:r w:rsidRPr="00B07ADF">
        <w:rPr>
          <w:lang w:val="en-US"/>
        </w:rPr>
        <w:t xml:space="preserve">k </w:t>
      </w:r>
      <w:r w:rsidRPr="00B07ADF">
        <w:rPr>
          <w:lang w:val="en-US"/>
        </w:rPr>
        <w:tab/>
        <w:t xml:space="preserve">= </w:t>
      </w:r>
      <w:r w:rsidRPr="00B07ADF">
        <w:rPr>
          <w:lang w:val="en-US"/>
        </w:rPr>
        <w:tab/>
        <w:t>17.6</w:t>
      </w:r>
    </w:p>
    <w:p w:rsidR="008E4122" w:rsidRPr="009807A1" w:rsidRDefault="008E4122" w:rsidP="008E4122">
      <w:pPr>
        <w:pStyle w:val="para"/>
        <w:tabs>
          <w:tab w:val="left" w:pos="3119"/>
        </w:tabs>
        <w:spacing w:line="240" w:lineRule="auto"/>
        <w:ind w:left="3402"/>
        <w:rPr>
          <w:lang w:val="en-US"/>
        </w:rPr>
      </w:pPr>
      <w:r w:rsidRPr="009807A1">
        <w:rPr>
          <w:lang w:val="en-US"/>
        </w:rPr>
        <w:t>Where:</w:t>
      </w:r>
    </w:p>
    <w:p w:rsidR="008E4122" w:rsidRPr="00B07ADF" w:rsidRDefault="008E4122" w:rsidP="008E4122">
      <w:pPr>
        <w:pStyle w:val="para"/>
        <w:tabs>
          <w:tab w:val="left" w:pos="3119"/>
        </w:tabs>
        <w:spacing w:line="240" w:lineRule="auto"/>
        <w:ind w:left="3402"/>
        <w:rPr>
          <w:lang w:val="en-US"/>
        </w:rPr>
      </w:pPr>
      <w:r w:rsidRPr="00B07ADF">
        <w:rPr>
          <w:lang w:val="en-US"/>
        </w:rPr>
        <w:lastRenderedPageBreak/>
        <w:t xml:space="preserve">i </w:t>
      </w:r>
      <w:r w:rsidRPr="00B07ADF">
        <w:rPr>
          <w:lang w:val="en-US"/>
        </w:rPr>
        <w:tab/>
        <w:t xml:space="preserve">= </w:t>
      </w:r>
      <w:r w:rsidRPr="00B07ADF">
        <w:rPr>
          <w:lang w:val="en-US"/>
        </w:rPr>
        <w:tab/>
        <w:t>is the initial reading,</w:t>
      </w:r>
    </w:p>
    <w:p w:rsidR="008E4122" w:rsidRPr="00B07ADF" w:rsidRDefault="008E4122" w:rsidP="008E4122">
      <w:pPr>
        <w:pStyle w:val="para"/>
        <w:tabs>
          <w:tab w:val="left" w:pos="3119"/>
        </w:tabs>
        <w:spacing w:line="240" w:lineRule="auto"/>
        <w:ind w:left="3402"/>
        <w:rPr>
          <w:lang w:val="en-US"/>
        </w:rPr>
      </w:pPr>
      <w:r w:rsidRPr="00B07ADF">
        <w:rPr>
          <w:lang w:val="en-US"/>
        </w:rPr>
        <w:t xml:space="preserve">f </w:t>
      </w:r>
      <w:r w:rsidRPr="00B07ADF">
        <w:rPr>
          <w:lang w:val="en-US"/>
        </w:rPr>
        <w:tab/>
        <w:t xml:space="preserve">= </w:t>
      </w:r>
      <w:r w:rsidRPr="00B07ADF">
        <w:rPr>
          <w:lang w:val="en-US"/>
        </w:rPr>
        <w:tab/>
        <w:t>is the final reading,</w:t>
      </w:r>
    </w:p>
    <w:p w:rsidR="008E4122" w:rsidRPr="00B07ADF" w:rsidRDefault="008E4122" w:rsidP="008E4122">
      <w:pPr>
        <w:pStyle w:val="para"/>
        <w:tabs>
          <w:tab w:val="left" w:pos="3119"/>
        </w:tabs>
        <w:spacing w:line="240" w:lineRule="auto"/>
        <w:rPr>
          <w:b/>
          <w:lang w:val="en-US" w:eastAsia="ja-JP"/>
        </w:rPr>
      </w:pPr>
      <w:r w:rsidRPr="00B07ADF">
        <w:rPr>
          <w:b/>
          <w:lang w:val="en-US" w:eastAsia="ja-JP"/>
        </w:rPr>
        <w:t>2.4.2.</w:t>
      </w:r>
      <w:r w:rsidRPr="00B07ADF">
        <w:rPr>
          <w:b/>
          <w:lang w:val="en-US" w:eastAsia="ja-JP"/>
        </w:rPr>
        <w:tab/>
        <w:t>As an alternative to the equation in paragraph 2.4.1. of this Annex, for variable volume enclosures the following equation may be used at the choice of the manufacturer:</w:t>
      </w:r>
    </w:p>
    <w:p w:rsidR="008E4122" w:rsidRPr="008E4122" w:rsidRDefault="008E4122" w:rsidP="008E4122">
      <w:pPr>
        <w:pStyle w:val="SingleTxtG"/>
        <w:spacing w:before="120"/>
        <w:ind w:left="2268" w:hanging="1134"/>
        <w:rPr>
          <w:b/>
          <w:lang w:val="pl-PL" w:eastAsia="ja-JP"/>
        </w:rPr>
      </w:pPr>
      <w:r w:rsidRPr="008E4122">
        <w:rPr>
          <w:b/>
          <w:lang w:eastAsia="ja-JP"/>
        </w:rPr>
        <w:tab/>
      </w:r>
      <w:r w:rsidRPr="008E4122">
        <w:rPr>
          <w:b/>
          <w:lang w:val="pl-PL" w:eastAsia="ja-JP"/>
        </w:rPr>
        <w:t>M</w:t>
      </w:r>
      <w:r w:rsidRPr="008E4122">
        <w:rPr>
          <w:b/>
          <w:vertAlign w:val="subscript"/>
          <w:lang w:val="pl-PL" w:eastAsia="ja-JP"/>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rsidR="008E4122" w:rsidRPr="008E4122" w:rsidRDefault="008E4122" w:rsidP="008E4122">
      <w:pPr>
        <w:spacing w:before="120" w:after="120"/>
        <w:ind w:left="2268" w:right="1134" w:hanging="1134"/>
        <w:jc w:val="both"/>
        <w:rPr>
          <w:b/>
          <w:lang w:eastAsia="ja-JP"/>
        </w:rPr>
      </w:pPr>
      <w:r w:rsidRPr="008E4122">
        <w:rPr>
          <w:b/>
          <w:lang w:eastAsia="ja-JP"/>
        </w:rPr>
        <w:t>where:</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M</w:t>
      </w:r>
      <w:r w:rsidRPr="008E4122">
        <w:rPr>
          <w:b/>
          <w:vertAlign w:val="subscript"/>
          <w:lang w:eastAsia="ja-JP"/>
        </w:rPr>
        <w:t>HC</w:t>
      </w:r>
      <w:r w:rsidRPr="008E4122">
        <w:rPr>
          <w:b/>
          <w:lang w:eastAsia="ja-JP"/>
        </w:rPr>
        <w:t xml:space="preserve"> </w:t>
      </w:r>
      <w:r w:rsidRPr="008E4122">
        <w:rPr>
          <w:b/>
          <w:lang w:eastAsia="ja-JP"/>
        </w:rPr>
        <w:tab/>
      </w:r>
      <w:r>
        <w:rPr>
          <w:b/>
          <w:lang w:eastAsia="ja-JP"/>
        </w:rPr>
        <w:t>=</w:t>
      </w:r>
      <w:r>
        <w:rPr>
          <w:b/>
          <w:lang w:eastAsia="ja-JP"/>
        </w:rPr>
        <w:tab/>
      </w:r>
      <w:r w:rsidRPr="008E4122">
        <w:rPr>
          <w:b/>
          <w:lang w:eastAsia="ja-JP"/>
        </w:rPr>
        <w:t xml:space="preserve">hydrocarbon </w:t>
      </w:r>
      <w:r>
        <w:rPr>
          <w:b/>
          <w:lang w:eastAsia="ja-JP"/>
        </w:rPr>
        <w:t>m</w:t>
      </w:r>
      <w:r w:rsidRPr="008E4122">
        <w:rPr>
          <w:b/>
          <w:lang w:eastAsia="ja-JP"/>
        </w:rPr>
        <w:t>ass</w:t>
      </w:r>
      <w:r>
        <w:rPr>
          <w:b/>
          <w:lang w:eastAsia="ja-JP"/>
        </w:rPr>
        <w:t xml:space="preserve"> in</w:t>
      </w:r>
      <w:r w:rsidRPr="008E4122">
        <w:rPr>
          <w:rFonts w:hint="eastAsia"/>
          <w:b/>
          <w:lang w:eastAsia="ja-JP"/>
        </w:rPr>
        <w:t xml:space="preserve"> </w:t>
      </w:r>
      <w:r w:rsidRPr="008E4122">
        <w:rPr>
          <w:b/>
          <w:lang w:eastAsia="ja-JP"/>
        </w:rPr>
        <w:t>grams</w:t>
      </w:r>
      <w:r>
        <w:rPr>
          <w:b/>
          <w:lang w:eastAsia="ja-JP"/>
        </w:rPr>
        <w:t>,</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C</w:t>
      </w:r>
      <w:r w:rsidRPr="008E4122">
        <w:rPr>
          <w:b/>
          <w:vertAlign w:val="subscript"/>
          <w:lang w:eastAsia="ja-JP"/>
        </w:rPr>
        <w:t>HC</w:t>
      </w:r>
      <w:r w:rsidRPr="008E4122">
        <w:rPr>
          <w:b/>
          <w:lang w:eastAsia="ja-JP"/>
        </w:rPr>
        <w:t xml:space="preserve"> </w:t>
      </w:r>
      <w:r w:rsidRPr="008E4122">
        <w:rPr>
          <w:b/>
          <w:lang w:eastAsia="ja-JP"/>
        </w:rPr>
        <w:tab/>
      </w:r>
      <w:r>
        <w:rPr>
          <w:b/>
          <w:lang w:eastAsia="ja-JP"/>
        </w:rPr>
        <w:t>=</w:t>
      </w:r>
      <w:r>
        <w:rPr>
          <w:b/>
          <w:lang w:eastAsia="ja-JP"/>
        </w:rPr>
        <w:tab/>
      </w:r>
      <w:r w:rsidRPr="008E4122">
        <w:rPr>
          <w:b/>
          <w:lang w:eastAsia="ja-JP"/>
        </w:rPr>
        <w:t>measured hydrocarbon concentration in the enclosure</w:t>
      </w:r>
      <w:r>
        <w:rPr>
          <w:b/>
          <w:lang w:eastAsia="ja-JP"/>
        </w:rPr>
        <w:t xml:space="preserve"> (</w:t>
      </w:r>
      <w:r w:rsidRPr="008E4122">
        <w:rPr>
          <w:b/>
          <w:lang w:eastAsia="ja-JP"/>
        </w:rPr>
        <w:t>ppm volume in C</w:t>
      </w:r>
      <w:r w:rsidRPr="008E4122">
        <w:rPr>
          <w:b/>
          <w:vertAlign w:val="subscript"/>
          <w:lang w:eastAsia="ja-JP"/>
        </w:rPr>
        <w:t>1</w:t>
      </w:r>
      <w:r w:rsidRPr="008E4122">
        <w:rPr>
          <w:b/>
          <w:lang w:eastAsia="ja-JP"/>
        </w:rPr>
        <w:t xml:space="preserve"> equivalent</w:t>
      </w:r>
      <w:r>
        <w:rPr>
          <w:b/>
          <w:lang w:eastAsia="ja-JP"/>
        </w:rPr>
        <w:t>),</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 xml:space="preserve">V </w:t>
      </w:r>
      <w:r w:rsidRPr="008E4122">
        <w:rPr>
          <w:b/>
          <w:lang w:eastAsia="ja-JP"/>
        </w:rPr>
        <w:tab/>
      </w:r>
      <w:r>
        <w:rPr>
          <w:b/>
          <w:lang w:eastAsia="ja-JP"/>
        </w:rPr>
        <w:t>=</w:t>
      </w:r>
      <w:r>
        <w:rPr>
          <w:b/>
          <w:lang w:eastAsia="ja-JP"/>
        </w:rPr>
        <w:tab/>
      </w:r>
      <w:r w:rsidRPr="008E4122">
        <w:rPr>
          <w:b/>
          <w:lang w:eastAsia="ja-JP"/>
        </w:rPr>
        <w:t xml:space="preserve">net enclosure volume </w:t>
      </w:r>
      <w:r>
        <w:rPr>
          <w:b/>
          <w:lang w:eastAsia="ja-JP"/>
        </w:rPr>
        <w:t>in cubic metres,</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T</w:t>
      </w:r>
      <w:r w:rsidRPr="008E4122">
        <w:rPr>
          <w:b/>
          <w:vertAlign w:val="subscript"/>
          <w:lang w:eastAsia="ja-JP"/>
        </w:rPr>
        <w:t>i</w:t>
      </w:r>
      <w:r w:rsidRPr="008E4122">
        <w:rPr>
          <w:b/>
          <w:lang w:eastAsia="ja-JP"/>
        </w:rPr>
        <w:tab/>
      </w:r>
      <w:r>
        <w:rPr>
          <w:b/>
          <w:lang w:eastAsia="ja-JP"/>
        </w:rPr>
        <w:t>=</w:t>
      </w:r>
      <w:r>
        <w:rPr>
          <w:b/>
          <w:lang w:eastAsia="ja-JP"/>
        </w:rPr>
        <w:tab/>
      </w:r>
      <w:r w:rsidRPr="008E4122">
        <w:rPr>
          <w:b/>
          <w:lang w:eastAsia="ja-JP"/>
        </w:rPr>
        <w:t xml:space="preserve">initial ambient chamber temperature, </w:t>
      </w:r>
      <w:r>
        <w:rPr>
          <w:b/>
          <w:lang w:eastAsia="ja-JP"/>
        </w:rPr>
        <w:t>in K,</w:t>
      </w:r>
    </w:p>
    <w:p w:rsidR="008E4122" w:rsidRPr="008E4122" w:rsidRDefault="008E4122" w:rsidP="008E4122">
      <w:pPr>
        <w:tabs>
          <w:tab w:val="left" w:pos="3119"/>
        </w:tabs>
        <w:spacing w:before="120" w:after="120"/>
        <w:ind w:left="3402" w:right="1134" w:hanging="1134"/>
        <w:rPr>
          <w:b/>
          <w:lang w:eastAsia="ja-JP"/>
        </w:rPr>
      </w:pPr>
      <w:r w:rsidRPr="008E4122">
        <w:rPr>
          <w:b/>
          <w:lang w:eastAsia="ja-JP"/>
        </w:rPr>
        <w:t>P</w:t>
      </w:r>
      <w:r w:rsidRPr="008E4122">
        <w:rPr>
          <w:b/>
          <w:vertAlign w:val="subscript"/>
          <w:lang w:eastAsia="ja-JP"/>
        </w:rPr>
        <w:t>i</w:t>
      </w:r>
      <w:r w:rsidRPr="008E4122">
        <w:rPr>
          <w:b/>
          <w:lang w:eastAsia="ja-JP"/>
        </w:rPr>
        <w:tab/>
      </w:r>
      <w:r>
        <w:rPr>
          <w:b/>
          <w:lang w:eastAsia="ja-JP"/>
        </w:rPr>
        <w:t>=</w:t>
      </w:r>
      <w:r>
        <w:rPr>
          <w:b/>
          <w:lang w:eastAsia="ja-JP"/>
        </w:rPr>
        <w:tab/>
      </w:r>
      <w:r w:rsidRPr="008E4122">
        <w:rPr>
          <w:b/>
          <w:lang w:eastAsia="ja-JP"/>
        </w:rPr>
        <w:t>initial barometric pressure</w:t>
      </w:r>
      <w:r>
        <w:rPr>
          <w:b/>
          <w:lang w:eastAsia="ja-JP"/>
        </w:rPr>
        <w:t xml:space="preserve"> in kPa,</w:t>
      </w:r>
    </w:p>
    <w:p w:rsidR="008E4122" w:rsidRDefault="008E4122" w:rsidP="008E4122">
      <w:pPr>
        <w:keepNext/>
        <w:keepLines/>
        <w:tabs>
          <w:tab w:val="left" w:pos="3119"/>
        </w:tabs>
        <w:spacing w:after="120" w:line="240" w:lineRule="auto"/>
        <w:ind w:left="3402" w:right="1134" w:hanging="1134"/>
      </w:pPr>
      <w:r w:rsidRPr="008E4122">
        <w:rPr>
          <w:b/>
          <w:lang w:eastAsia="ja-JP"/>
        </w:rPr>
        <w:t xml:space="preserve">k </w:t>
      </w:r>
      <w:r w:rsidRPr="008E4122">
        <w:rPr>
          <w:b/>
          <w:lang w:eastAsia="ja-JP"/>
        </w:rPr>
        <w:tab/>
      </w:r>
      <w:r>
        <w:rPr>
          <w:b/>
          <w:lang w:eastAsia="ja-JP"/>
        </w:rPr>
        <w:t>=</w:t>
      </w:r>
      <w:r>
        <w:rPr>
          <w:b/>
          <w:lang w:eastAsia="ja-JP"/>
        </w:rPr>
        <w:tab/>
      </w:r>
      <w:r w:rsidRPr="008E4122">
        <w:rPr>
          <w:b/>
          <w:lang w:eastAsia="ja-JP"/>
        </w:rPr>
        <w:t>is 1</w:t>
      </w:r>
      <w:r>
        <w:rPr>
          <w:b/>
          <w:lang w:eastAsia="ja-JP"/>
        </w:rPr>
        <w:t>7</w:t>
      </w:r>
      <w:r w:rsidRPr="008E4122">
        <w:rPr>
          <w:b/>
          <w:lang w:eastAsia="ja-JP"/>
        </w:rPr>
        <w:t>.</w:t>
      </w:r>
      <w:r>
        <w:rPr>
          <w:b/>
          <w:lang w:eastAsia="ja-JP"/>
        </w:rPr>
        <w:t>6</w:t>
      </w:r>
      <w:r>
        <w:t>"</w:t>
      </w:r>
    </w:p>
    <w:p w:rsidR="00C70CC9" w:rsidRPr="00A66D91" w:rsidRDefault="00C70CC9" w:rsidP="001D2F2F">
      <w:pPr>
        <w:pStyle w:val="HChG"/>
        <w:tabs>
          <w:tab w:val="clear" w:pos="851"/>
        </w:tabs>
        <w:ind w:hanging="567"/>
      </w:pPr>
      <w:r w:rsidRPr="007F7A9F">
        <w:rPr>
          <w:lang w:val="en-US"/>
        </w:rPr>
        <w:t>II.</w:t>
      </w:r>
      <w:r w:rsidRPr="007F7A9F">
        <w:rPr>
          <w:lang w:val="en-US"/>
        </w:rPr>
        <w:tab/>
        <w:t>Justification</w:t>
      </w:r>
    </w:p>
    <w:p w:rsidR="00E8376E" w:rsidRDefault="006A1D01" w:rsidP="006A1D01">
      <w:pPr>
        <w:tabs>
          <w:tab w:val="left" w:pos="1701"/>
        </w:tabs>
        <w:spacing w:after="120"/>
        <w:ind w:left="1134" w:right="1134"/>
        <w:jc w:val="both"/>
      </w:pPr>
      <w:r>
        <w:t>1.</w:t>
      </w:r>
      <w:r>
        <w:tab/>
      </w:r>
      <w:r w:rsidR="00E8376E">
        <w:t>The footnotes to the table of test requirements and the table of emissions limits are causing inflexibility in the recognition of some of the approval levels in the series of amendments 07.</w:t>
      </w:r>
    </w:p>
    <w:p w:rsidR="00E8376E" w:rsidRDefault="006A1D01" w:rsidP="006A1D01">
      <w:pPr>
        <w:tabs>
          <w:tab w:val="left" w:pos="1701"/>
        </w:tabs>
        <w:spacing w:after="120"/>
        <w:ind w:left="1134" w:right="1134"/>
        <w:jc w:val="both"/>
      </w:pPr>
      <w:r>
        <w:t>2.</w:t>
      </w:r>
      <w:r>
        <w:tab/>
      </w:r>
      <w:r w:rsidR="00E8376E">
        <w:t>These footnotes were introduced correctly to protect the EU from having to accept vehicle approvals which were not compliant with local legislation.</w:t>
      </w:r>
    </w:p>
    <w:p w:rsidR="00E8376E" w:rsidRDefault="006A1D01" w:rsidP="006A1D01">
      <w:pPr>
        <w:tabs>
          <w:tab w:val="left" w:pos="1701"/>
        </w:tabs>
        <w:spacing w:after="120"/>
        <w:ind w:left="1134" w:right="1134"/>
        <w:jc w:val="both"/>
      </w:pPr>
      <w:r>
        <w:t>3.</w:t>
      </w:r>
      <w:r>
        <w:tab/>
      </w:r>
      <w:r w:rsidR="00E8376E">
        <w:t>However:</w:t>
      </w:r>
    </w:p>
    <w:p w:rsidR="00E8376E" w:rsidRDefault="006A1D01" w:rsidP="006A1D01">
      <w:pPr>
        <w:tabs>
          <w:tab w:val="left" w:pos="1701"/>
        </w:tabs>
        <w:spacing w:after="120"/>
        <w:ind w:left="2214" w:right="1134" w:hanging="360"/>
        <w:jc w:val="both"/>
      </w:pPr>
      <w:r>
        <w:t>(a)</w:t>
      </w:r>
      <w:r>
        <w:tab/>
      </w:r>
      <w:r w:rsidR="00E8376E">
        <w:t>The EU is currently not subject to mutual recognition in UN</w:t>
      </w:r>
      <w:r w:rsidR="009807A1">
        <w:t xml:space="preserve"> </w:t>
      </w:r>
      <w:r w:rsidR="00E8376E">
        <w:t>R</w:t>
      </w:r>
      <w:r w:rsidR="009807A1">
        <w:t>egulation No.</w:t>
      </w:r>
      <w:r w:rsidR="00E8376E">
        <w:t xml:space="preserve"> 83 due to the WLTP transitional provisions</w:t>
      </w:r>
    </w:p>
    <w:p w:rsidR="00E8376E" w:rsidRDefault="006A1D01" w:rsidP="006A1D01">
      <w:pPr>
        <w:tabs>
          <w:tab w:val="left" w:pos="1701"/>
        </w:tabs>
        <w:spacing w:after="120"/>
        <w:ind w:left="2214" w:right="1134" w:hanging="360"/>
        <w:jc w:val="both"/>
      </w:pPr>
      <w:r>
        <w:t>(b)</w:t>
      </w:r>
      <w:r>
        <w:tab/>
      </w:r>
      <w:r w:rsidR="00E8376E">
        <w:t>This working paper, if adopted at GRPE 78 in January 2019 would proceed to WP.29 in June of 2019 and would not enter into force before September 1</w:t>
      </w:r>
      <w:r w:rsidR="00E8376E" w:rsidRPr="00E8376E">
        <w:rPr>
          <w:vertAlign w:val="superscript"/>
        </w:rPr>
        <w:t>st</w:t>
      </w:r>
      <w:r w:rsidR="009807A1">
        <w:rPr>
          <w:vertAlign w:val="superscript"/>
        </w:rPr>
        <w:t xml:space="preserve"> </w:t>
      </w:r>
      <w:r w:rsidR="009807A1" w:rsidRPr="009807A1">
        <w:t>2019</w:t>
      </w:r>
      <w:r w:rsidR="00E8376E">
        <w:t>, after which time the approval codes being amended will no longer be valid for first registration of vehicles in the EU.</w:t>
      </w:r>
    </w:p>
    <w:p w:rsidR="003B4777" w:rsidRDefault="006A1D01" w:rsidP="006A1D01">
      <w:pPr>
        <w:tabs>
          <w:tab w:val="left" w:pos="1701"/>
        </w:tabs>
        <w:spacing w:after="120"/>
        <w:ind w:left="1134" w:right="1134"/>
        <w:jc w:val="both"/>
      </w:pPr>
      <w:r>
        <w:t>4.</w:t>
      </w:r>
      <w:r>
        <w:tab/>
      </w:r>
      <w:r w:rsidR="008E4122">
        <w:t xml:space="preserve">During the development of </w:t>
      </w:r>
      <w:r w:rsidR="009807A1">
        <w:t xml:space="preserve">UN </w:t>
      </w:r>
      <w:r w:rsidR="008E4122">
        <w:t xml:space="preserve">GTR </w:t>
      </w:r>
      <w:r w:rsidR="009807A1">
        <w:t xml:space="preserve">No. </w:t>
      </w:r>
      <w:r w:rsidR="008E4122">
        <w:t>19, an alternative formula for the calculation of hydrocarbons has been introduced which may be used for variable volume SHED facilities at the choice of the manufacturer.</w:t>
      </w:r>
    </w:p>
    <w:p w:rsidR="0068085C" w:rsidRDefault="006A1D01" w:rsidP="006A1D01">
      <w:pPr>
        <w:tabs>
          <w:tab w:val="left" w:pos="1701"/>
        </w:tabs>
        <w:spacing w:after="120"/>
        <w:ind w:left="1134" w:right="1134"/>
        <w:jc w:val="both"/>
      </w:pPr>
      <w:r>
        <w:t>5.</w:t>
      </w:r>
      <w:r>
        <w:tab/>
      </w:r>
      <w:r w:rsidR="0068085C">
        <w:t xml:space="preserve">The introduction of these changes in </w:t>
      </w:r>
      <w:r w:rsidR="009807A1">
        <w:t xml:space="preserve">UN </w:t>
      </w:r>
      <w:r w:rsidR="0068085C">
        <w:t xml:space="preserve">Regulation </w:t>
      </w:r>
      <w:r w:rsidR="009807A1">
        <w:t xml:space="preserve">No. </w:t>
      </w:r>
      <w:r w:rsidR="0068085C">
        <w:t xml:space="preserve">83 will prevent the need for additional text in </w:t>
      </w:r>
      <w:r w:rsidR="009807A1">
        <w:t xml:space="preserve">UN GTR No. 19 </w:t>
      </w:r>
      <w:r w:rsidR="0068085C">
        <w:t>as the references remain the same but are completed.</w:t>
      </w:r>
    </w:p>
    <w:p w:rsidR="005A1BA7" w:rsidRDefault="006A1D01" w:rsidP="006A1D01">
      <w:pPr>
        <w:tabs>
          <w:tab w:val="left" w:pos="1701"/>
        </w:tabs>
        <w:spacing w:after="120"/>
        <w:ind w:left="1134" w:right="1134"/>
        <w:jc w:val="both"/>
      </w:pPr>
      <w:r>
        <w:t>6.</w:t>
      </w:r>
      <w:r>
        <w:tab/>
      </w:r>
      <w:r w:rsidR="005A1BA7">
        <w:t xml:space="preserve">Further minor amendments and corrections which were noted during the drafting of </w:t>
      </w:r>
      <w:r w:rsidR="009807A1">
        <w:t xml:space="preserve">UN GTR No. 19 </w:t>
      </w:r>
      <w:r w:rsidR="005A1BA7">
        <w:t>have been included in the interest of consistency.</w:t>
      </w:r>
    </w:p>
    <w:p w:rsidR="00C70CC9" w:rsidRPr="00540E1C" w:rsidRDefault="00C70CC9" w:rsidP="00540E1C">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C70CC9" w:rsidRPr="00540E1C"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FCB" w:rsidRDefault="00F14FCB"/>
  </w:endnote>
  <w:endnote w:type="continuationSeparator" w:id="0">
    <w:p w:rsidR="00F14FCB" w:rsidRDefault="00F14FCB"/>
  </w:endnote>
  <w:endnote w:type="continuationNotice" w:id="1">
    <w:p w:rsidR="00F14FCB" w:rsidRDefault="00F14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Default="00310246"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6A1D01">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Default="00310246"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6A1D01">
      <w:rPr>
        <w:b/>
        <w:noProof/>
        <w:sz w:val="18"/>
      </w:rPr>
      <w:t>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01" w:rsidRDefault="006A1D01" w:rsidP="006A1D0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C742662" wp14:editId="7EF1503E">
          <wp:simplePos x="0" y="0"/>
          <wp:positionH relativeFrom="margin">
            <wp:posOffset>5570220</wp:posOffset>
          </wp:positionH>
          <wp:positionV relativeFrom="margin">
            <wp:posOffset>7919538</wp:posOffset>
          </wp:positionV>
          <wp:extent cx="638175" cy="638175"/>
          <wp:effectExtent l="0" t="0" r="9525" b="9525"/>
          <wp:wrapNone/>
          <wp:docPr id="2" name="Picture 1" descr="https://undocs.org/m2/QRCode.ashx?DS=ECE/TRANS/WP.29/GRPE/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C0C0D1A" wp14:editId="055F7F8E">
          <wp:simplePos x="0" y="0"/>
          <wp:positionH relativeFrom="margin">
            <wp:posOffset>4411980</wp:posOffset>
          </wp:positionH>
          <wp:positionV relativeFrom="margin">
            <wp:posOffset>8269605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A1D01" w:rsidRDefault="006A1D01" w:rsidP="006A1D01">
    <w:pPr>
      <w:pStyle w:val="Footer"/>
      <w:ind w:right="1134"/>
      <w:rPr>
        <w:sz w:val="20"/>
      </w:rPr>
    </w:pPr>
    <w:r>
      <w:rPr>
        <w:sz w:val="20"/>
      </w:rPr>
      <w:t>GE.18-17904(E)</w:t>
    </w:r>
  </w:p>
  <w:p w:rsidR="006A1D01" w:rsidRPr="006A1D01" w:rsidRDefault="006A1D01" w:rsidP="006A1D0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FCB" w:rsidRPr="000B175B" w:rsidRDefault="00F14FCB" w:rsidP="000B175B">
      <w:pPr>
        <w:tabs>
          <w:tab w:val="right" w:pos="2155"/>
        </w:tabs>
        <w:spacing w:after="80"/>
        <w:ind w:left="680"/>
        <w:rPr>
          <w:u w:val="single"/>
        </w:rPr>
      </w:pPr>
      <w:r>
        <w:rPr>
          <w:u w:val="single"/>
        </w:rPr>
        <w:tab/>
      </w:r>
    </w:p>
  </w:footnote>
  <w:footnote w:type="continuationSeparator" w:id="0">
    <w:p w:rsidR="00F14FCB" w:rsidRPr="00FC68B7" w:rsidRDefault="00F14FCB" w:rsidP="00FC68B7">
      <w:pPr>
        <w:tabs>
          <w:tab w:val="left" w:pos="2155"/>
        </w:tabs>
        <w:spacing w:after="80"/>
        <w:ind w:left="680"/>
        <w:rPr>
          <w:u w:val="single"/>
        </w:rPr>
      </w:pPr>
      <w:r>
        <w:rPr>
          <w:u w:val="single"/>
        </w:rPr>
        <w:tab/>
      </w:r>
    </w:p>
  </w:footnote>
  <w:footnote w:type="continuationNotice" w:id="1">
    <w:p w:rsidR="00F14FCB" w:rsidRDefault="00F14FCB"/>
  </w:footnote>
  <w:footnote w:id="2">
    <w:p w:rsidR="00310246" w:rsidRPr="007E5C8F" w:rsidRDefault="00310246" w:rsidP="00735EE3">
      <w:pPr>
        <w:pStyle w:val="FootnoteText"/>
      </w:pPr>
      <w:r>
        <w:tab/>
      </w:r>
      <w:r w:rsidRPr="002232AF">
        <w:rPr>
          <w:rStyle w:val="FootnoteReference"/>
          <w:sz w:val="20"/>
          <w:vertAlign w:val="baseline"/>
          <w:lang w:val="en-US"/>
        </w:rPr>
        <w:t>*</w:t>
      </w:r>
      <w:r w:rsidRPr="002232AF">
        <w:rPr>
          <w:sz w:val="20"/>
          <w:lang w:val="en-US"/>
        </w:rPr>
        <w:tab/>
      </w:r>
      <w:r w:rsidR="00F456F5" w:rsidRPr="00C04C5C">
        <w:rPr>
          <w:szCs w:val="18"/>
          <w:lang w:val="en-US"/>
        </w:rPr>
        <w:t xml:space="preserve">In accordance with the programme of work of </w:t>
      </w:r>
      <w:r w:rsidR="00F456F5" w:rsidRPr="00EC433E">
        <w:rPr>
          <w:szCs w:val="18"/>
          <w:lang w:val="en-US"/>
        </w:rPr>
        <w:t>the Inland Transport Committee for 2018–2019 (ECE/TRANS/274, para. 123 and ECE/TRANS/2018/21 and Add.1, Cluster 3),</w:t>
      </w:r>
      <w:r w:rsidR="00F456F5" w:rsidRPr="00C04C5C">
        <w:rPr>
          <w:szCs w:val="18"/>
          <w:lang w:val="en-US"/>
        </w:rPr>
        <w:t xml:space="preserve"> the World Forum will</w:t>
      </w:r>
      <w:r w:rsidR="00F456F5">
        <w:rPr>
          <w:szCs w:val="18"/>
          <w:lang w:val="en-US"/>
        </w:rPr>
        <w:t xml:space="preserve"> develop, harmonize and update R</w:t>
      </w:r>
      <w:r w:rsidR="00F456F5" w:rsidRPr="00C04C5C">
        <w:rPr>
          <w:szCs w:val="18"/>
          <w:lang w:val="en-US"/>
        </w:rPr>
        <w:t xml:space="preserve">egulations in order to enhance </w:t>
      </w:r>
      <w:r w:rsidR="00F456F5">
        <w:rPr>
          <w:szCs w:val="18"/>
          <w:lang w:val="en-US"/>
        </w:rPr>
        <w:t xml:space="preserve">the </w:t>
      </w:r>
      <w:r w:rsidR="00F456F5" w:rsidRPr="00C04C5C">
        <w:rPr>
          <w:szCs w:val="18"/>
          <w:lang w:val="en-US"/>
        </w:rPr>
        <w:t xml:space="preserve">performance of vehicles. The </w:t>
      </w:r>
      <w:r w:rsidR="00F456F5"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Pr="003E02FC" w:rsidRDefault="00310246">
    <w:pPr>
      <w:pStyle w:val="Header"/>
      <w:rPr>
        <w:lang w:val="fr-CH"/>
      </w:rPr>
    </w:pPr>
    <w:r>
      <w:rPr>
        <w:lang w:val="fr-CH"/>
      </w:rPr>
      <w:t>ECE/TRANS/WP.29/GRPE/201</w:t>
    </w:r>
    <w:r w:rsidR="00B07ADF">
      <w:rPr>
        <w:lang w:val="fr-CH"/>
      </w:rPr>
      <w:t>9</w:t>
    </w:r>
    <w:r>
      <w:rPr>
        <w:lang w:val="fr-CH"/>
      </w:rPr>
      <w:t>/</w:t>
    </w:r>
    <w:r w:rsidR="009807A1">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Pr="003E02FC" w:rsidRDefault="00310246" w:rsidP="003E02FC">
    <w:pPr>
      <w:pStyle w:val="Header"/>
      <w:jc w:val="right"/>
      <w:rPr>
        <w:lang w:val="fr-CH"/>
      </w:rPr>
    </w:pPr>
    <w:r>
      <w:rPr>
        <w:lang w:val="fr-CH"/>
      </w:rPr>
      <w:t>ECE/TRANS/WP.29/GRPE/201</w:t>
    </w:r>
    <w:r w:rsidR="00B07ADF">
      <w:rPr>
        <w:lang w:val="fr-CH"/>
      </w:rPr>
      <w:t>9</w:t>
    </w:r>
    <w:r>
      <w:rPr>
        <w:lang w:val="fr-CH"/>
      </w:rPr>
      <w:t>/</w:t>
    </w:r>
    <w:r w:rsidR="009807A1">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46" w:rsidRPr="00E970F0" w:rsidRDefault="00310246"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5"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7"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8"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1"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8"/>
  </w:num>
  <w:num w:numId="13">
    <w:abstractNumId w:val="14"/>
  </w:num>
  <w:num w:numId="14">
    <w:abstractNumId w:val="35"/>
  </w:num>
  <w:num w:numId="15">
    <w:abstractNumId w:val="39"/>
  </w:num>
  <w:num w:numId="16">
    <w:abstractNumId w:val="21"/>
  </w:num>
  <w:num w:numId="17">
    <w:abstractNumId w:val="41"/>
  </w:num>
  <w:num w:numId="18">
    <w:abstractNumId w:val="36"/>
  </w:num>
  <w:num w:numId="19">
    <w:abstractNumId w:val="27"/>
  </w:num>
  <w:num w:numId="20">
    <w:abstractNumId w:val="26"/>
  </w:num>
  <w:num w:numId="21">
    <w:abstractNumId w:val="23"/>
  </w:num>
  <w:num w:numId="22">
    <w:abstractNumId w:val="38"/>
  </w:num>
  <w:num w:numId="23">
    <w:abstractNumId w:val="42"/>
  </w:num>
  <w:num w:numId="24">
    <w:abstractNumId w:val="12"/>
  </w:num>
  <w:num w:numId="25">
    <w:abstractNumId w:val="40"/>
  </w:num>
  <w:num w:numId="26">
    <w:abstractNumId w:val="19"/>
  </w:num>
  <w:num w:numId="27">
    <w:abstractNumId w:val="13"/>
  </w:num>
  <w:num w:numId="28">
    <w:abstractNumId w:val="28"/>
  </w:num>
  <w:num w:numId="29">
    <w:abstractNumId w:val="17"/>
  </w:num>
  <w:num w:numId="30">
    <w:abstractNumId w:val="30"/>
  </w:num>
  <w:num w:numId="31">
    <w:abstractNumId w:val="32"/>
  </w:num>
  <w:num w:numId="32">
    <w:abstractNumId w:val="25"/>
  </w:num>
  <w:num w:numId="33">
    <w:abstractNumId w:val="15"/>
  </w:num>
  <w:num w:numId="34">
    <w:abstractNumId w:val="24"/>
  </w:num>
  <w:num w:numId="35">
    <w:abstractNumId w:val="34"/>
  </w:num>
  <w:num w:numId="36">
    <w:abstractNumId w:val="29"/>
  </w:num>
  <w:num w:numId="37">
    <w:abstractNumId w:val="37"/>
  </w:num>
  <w:num w:numId="38">
    <w:abstractNumId w:val="16"/>
  </w:num>
  <w:num w:numId="39">
    <w:abstractNumId w:val="22"/>
  </w:num>
  <w:num w:numId="40">
    <w:abstractNumId w:val="20"/>
  </w:num>
  <w:num w:numId="41">
    <w:abstractNumId w:val="11"/>
  </w:num>
  <w:num w:numId="42">
    <w:abstractNumId w:val="31"/>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7048"/>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588"/>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1BA7"/>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1D01"/>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07A1"/>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E6C72"/>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509"/>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ADF"/>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0D0"/>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3896537-C586-4669-B4F0-6CDBC226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paragraph" w:customStyle="1" w:styleId="NumPar3">
    <w:name w:val="NumPar 3"/>
    <w:basedOn w:val="Normal"/>
    <w:next w:val="Normal"/>
    <w:rsid w:val="009E6C72"/>
    <w:pPr>
      <w:numPr>
        <w:numId w:val="43"/>
      </w:numPr>
      <w:suppressAutoHyphens w:val="0"/>
      <w:spacing w:before="120" w:after="120" w:line="240" w:lineRule="auto"/>
      <w:jc w:val="both"/>
    </w:pPr>
    <w:rPr>
      <w:rFonts w:eastAsia="MS Mincho"/>
      <w:sz w:val="24"/>
      <w:szCs w:val="24"/>
      <w:lang w:eastAsia="de-DE"/>
    </w:rPr>
  </w:style>
  <w:style w:type="paragraph" w:customStyle="1" w:styleId="NumPar4">
    <w:name w:val="NumPar 4"/>
    <w:basedOn w:val="Normal"/>
    <w:next w:val="Normal"/>
    <w:rsid w:val="009E6C72"/>
    <w:pPr>
      <w:numPr>
        <w:ilvl w:val="1"/>
        <w:numId w:val="43"/>
      </w:numPr>
      <w:suppressAutoHyphens w:val="0"/>
      <w:spacing w:before="120" w:after="120" w:line="240" w:lineRule="auto"/>
      <w:jc w:val="both"/>
    </w:pPr>
    <w:rPr>
      <w:rFonts w:eastAsia="MS Mincho"/>
      <w:sz w:val="24"/>
      <w:szCs w:val="24"/>
      <w:lang w:eastAsia="de-DE"/>
    </w:rPr>
  </w:style>
  <w:style w:type="paragraph" w:customStyle="1" w:styleId="ManualNumPar4">
    <w:name w:val="Manual NumPar 4"/>
    <w:basedOn w:val="Normal"/>
    <w:next w:val="Normal"/>
    <w:rsid w:val="009E6C72"/>
    <w:pPr>
      <w:numPr>
        <w:ilvl w:val="2"/>
        <w:numId w:val="43"/>
      </w:numPr>
      <w:tabs>
        <w:tab w:val="clear" w:pos="850"/>
      </w:tabs>
      <w:suppressAutoHyphens w:val="0"/>
      <w:spacing w:before="120" w:after="120" w:line="240" w:lineRule="auto"/>
      <w:jc w:val="both"/>
    </w:pPr>
    <w:rPr>
      <w:rFonts w:eastAsia="MS Mincho"/>
      <w:sz w:val="24"/>
      <w:szCs w:val="24"/>
      <w:lang w:eastAsia="de-DE"/>
    </w:rPr>
  </w:style>
  <w:style w:type="paragraph" w:customStyle="1" w:styleId="ManualHeading2">
    <w:name w:val="Manual Heading 2"/>
    <w:basedOn w:val="Normal"/>
    <w:next w:val="Normal"/>
    <w:rsid w:val="009E6C72"/>
    <w:pPr>
      <w:keepNext/>
      <w:numPr>
        <w:ilvl w:val="3"/>
        <w:numId w:val="43"/>
      </w:numPr>
      <w:tabs>
        <w:tab w:val="left" w:pos="850"/>
      </w:tabs>
      <w:suppressAutoHyphens w:val="0"/>
      <w:spacing w:before="120" w:after="120" w:line="240" w:lineRule="auto"/>
      <w:jc w:val="both"/>
      <w:outlineLvl w:val="1"/>
    </w:pPr>
    <w:rPr>
      <w:rFonts w:eastAsia="MS Mincho"/>
      <w:b/>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4255-DEEF-4F04-8C3A-F7CCBFC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5</Pages>
  <Words>1494</Words>
  <Characters>8522</Characters>
  <Application>Microsoft Office Word</Application>
  <DocSecurity>0</DocSecurity>
  <Lines>71</Lines>
  <Paragraphs>19</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ECE/TRANS/WP.29/GRPE/2019/8</vt:lpstr>
      <vt:lpstr>1804561</vt:lpstr>
      <vt:lpstr>1804561</vt:lpstr>
      <vt:lpstr>United Nations</vt:lpstr>
      <vt:lpstr>United Nations</vt:lpstr>
    </vt:vector>
  </TitlesOfParts>
  <Company>RDW Voertuiginformatie en -toelating</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ECE/TRANS/WP.29/GRPE/2019/8</dc:title>
  <dc:subject>1817904</dc:subject>
  <dc:creator>oica</dc:creator>
  <cp:keywords/>
  <dc:description/>
  <cp:lastModifiedBy>Benedicte Boudol</cp:lastModifiedBy>
  <cp:revision>2</cp:revision>
  <cp:lastPrinted>2018-08-29T09:38:00Z</cp:lastPrinted>
  <dcterms:created xsi:type="dcterms:W3CDTF">2018-11-22T15:52:00Z</dcterms:created>
  <dcterms:modified xsi:type="dcterms:W3CDTF">2018-11-22T15:52:00Z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