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5147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5147C" w:rsidP="00B5147C">
            <w:pPr>
              <w:jc w:val="right"/>
            </w:pPr>
            <w:r w:rsidRPr="00B5147C">
              <w:rPr>
                <w:sz w:val="40"/>
              </w:rPr>
              <w:t>ECE</w:t>
            </w:r>
            <w:r>
              <w:t>/TRANS/WP.29/GRPE/2019/8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5147C" w:rsidP="00C97039">
            <w:pPr>
              <w:spacing w:before="240"/>
            </w:pPr>
            <w:proofErr w:type="spellStart"/>
            <w:r>
              <w:t>Distr</w:t>
            </w:r>
            <w:proofErr w:type="spellEnd"/>
            <w:r>
              <w:t>. générale</w:t>
            </w:r>
          </w:p>
          <w:p w:rsidR="00B5147C" w:rsidRDefault="00B5147C" w:rsidP="00B5147C">
            <w:pPr>
              <w:spacing w:line="240" w:lineRule="exact"/>
            </w:pPr>
            <w:r>
              <w:t>26 octobre 2018</w:t>
            </w:r>
          </w:p>
          <w:p w:rsidR="00B5147C" w:rsidRDefault="00B5147C" w:rsidP="00B5147C">
            <w:pPr>
              <w:spacing w:line="240" w:lineRule="exact"/>
            </w:pPr>
            <w:r>
              <w:t>Français</w:t>
            </w:r>
          </w:p>
          <w:p w:rsidR="00B5147C" w:rsidRPr="00DB58B5" w:rsidRDefault="00B5147C" w:rsidP="00B5147C">
            <w:pPr>
              <w:spacing w:line="240" w:lineRule="exact"/>
            </w:pPr>
            <w:r>
              <w:t>Original</w:t>
            </w:r>
            <w:r w:rsidR="00754A6D">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C6C36" w:rsidRPr="00754A6D" w:rsidRDefault="006C6C36" w:rsidP="00754A6D">
      <w:pPr>
        <w:tabs>
          <w:tab w:val="left" w:pos="567"/>
          <w:tab w:val="left" w:pos="1134"/>
        </w:tabs>
        <w:spacing w:before="120" w:after="120"/>
        <w:rPr>
          <w:b/>
          <w:bCs/>
          <w:sz w:val="24"/>
          <w:szCs w:val="24"/>
        </w:rPr>
      </w:pPr>
      <w:r w:rsidRPr="00754A6D">
        <w:rPr>
          <w:b/>
          <w:bCs/>
          <w:sz w:val="24"/>
          <w:szCs w:val="24"/>
        </w:rPr>
        <w:t xml:space="preserve">Forum mondial de l’harmonisation des Règlements </w:t>
      </w:r>
      <w:r w:rsidR="00754A6D">
        <w:rPr>
          <w:b/>
          <w:bCs/>
          <w:sz w:val="24"/>
          <w:szCs w:val="24"/>
        </w:rPr>
        <w:br/>
      </w:r>
      <w:r w:rsidRPr="00754A6D">
        <w:rPr>
          <w:b/>
          <w:bCs/>
          <w:sz w:val="24"/>
          <w:szCs w:val="24"/>
        </w:rPr>
        <w:t xml:space="preserve">concernant les véhicules </w:t>
      </w:r>
    </w:p>
    <w:p w:rsidR="006C6C36" w:rsidRDefault="006C6C36" w:rsidP="00754A6D">
      <w:pPr>
        <w:spacing w:after="120"/>
        <w:rPr>
          <w:b/>
          <w:bCs/>
          <w:szCs w:val="24"/>
        </w:rPr>
      </w:pPr>
      <w:r w:rsidRPr="00334079">
        <w:rPr>
          <w:b/>
          <w:bCs/>
          <w:szCs w:val="24"/>
        </w:rPr>
        <w:t>Groupe de travail de la pollution et de l</w:t>
      </w:r>
      <w:r>
        <w:rPr>
          <w:b/>
          <w:bCs/>
          <w:szCs w:val="24"/>
        </w:rPr>
        <w:t>’</w:t>
      </w:r>
      <w:r w:rsidRPr="00334079">
        <w:rPr>
          <w:b/>
          <w:bCs/>
          <w:szCs w:val="24"/>
        </w:rPr>
        <w:t>énergie</w:t>
      </w:r>
    </w:p>
    <w:p w:rsidR="006C6C36" w:rsidRPr="00334079" w:rsidRDefault="006C6C36" w:rsidP="00754A6D">
      <w:pPr>
        <w:rPr>
          <w:b/>
          <w:szCs w:val="24"/>
        </w:rPr>
      </w:pPr>
      <w:r w:rsidRPr="00334079">
        <w:rPr>
          <w:b/>
          <w:szCs w:val="24"/>
        </w:rPr>
        <w:t xml:space="preserve">Soixante-dix-huitième session </w:t>
      </w:r>
    </w:p>
    <w:p w:rsidR="006C6C36" w:rsidRPr="00334079" w:rsidRDefault="006C6C36" w:rsidP="00754A6D">
      <w:pPr>
        <w:rPr>
          <w:szCs w:val="24"/>
        </w:rPr>
      </w:pPr>
      <w:r w:rsidRPr="00334079">
        <w:rPr>
          <w:szCs w:val="24"/>
        </w:rPr>
        <w:t>Gen</w:t>
      </w:r>
      <w:r>
        <w:rPr>
          <w:szCs w:val="24"/>
        </w:rPr>
        <w:t>ève</w:t>
      </w:r>
      <w:r w:rsidRPr="00334079">
        <w:rPr>
          <w:szCs w:val="24"/>
        </w:rPr>
        <w:t xml:space="preserve">, 8-11 </w:t>
      </w:r>
      <w:r>
        <w:rPr>
          <w:szCs w:val="24"/>
        </w:rPr>
        <w:t>janvier</w:t>
      </w:r>
      <w:r w:rsidRPr="00334079">
        <w:rPr>
          <w:szCs w:val="24"/>
        </w:rPr>
        <w:t xml:space="preserve"> 2019</w:t>
      </w:r>
    </w:p>
    <w:p w:rsidR="006C6C36" w:rsidRPr="00334079" w:rsidRDefault="006C6C36" w:rsidP="00754A6D">
      <w:pPr>
        <w:tabs>
          <w:tab w:val="left" w:pos="567"/>
          <w:tab w:val="left" w:pos="1134"/>
        </w:tabs>
        <w:rPr>
          <w:bCs/>
          <w:szCs w:val="24"/>
        </w:rPr>
      </w:pPr>
      <w:r w:rsidRPr="00334079">
        <w:rPr>
          <w:bCs/>
          <w:szCs w:val="24"/>
        </w:rPr>
        <w:t>Point 3 a) de l</w:t>
      </w:r>
      <w:r>
        <w:rPr>
          <w:bCs/>
          <w:szCs w:val="24"/>
        </w:rPr>
        <w:t>’</w:t>
      </w:r>
      <w:r w:rsidRPr="00334079">
        <w:rPr>
          <w:bCs/>
          <w:szCs w:val="24"/>
        </w:rPr>
        <w:t>ordre du jour provisoire</w:t>
      </w:r>
    </w:p>
    <w:p w:rsidR="006C6C36" w:rsidRPr="00334079" w:rsidRDefault="006C6C36" w:rsidP="00754A6D">
      <w:pPr>
        <w:rPr>
          <w:b/>
          <w:bCs/>
          <w:szCs w:val="24"/>
        </w:rPr>
      </w:pPr>
      <w:r w:rsidRPr="00334079">
        <w:rPr>
          <w:b/>
          <w:szCs w:val="24"/>
        </w:rPr>
        <w:t>Véhicules légers</w:t>
      </w:r>
      <w:r w:rsidR="00754A6D">
        <w:rPr>
          <w:b/>
          <w:szCs w:val="24"/>
        </w:rPr>
        <w:t> :</w:t>
      </w:r>
      <w:r w:rsidRPr="00334079">
        <w:rPr>
          <w:b/>
          <w:szCs w:val="24"/>
        </w:rPr>
        <w:t xml:space="preserve"> Règlements ONU </w:t>
      </w:r>
      <w:r w:rsidR="00B45D05" w:rsidRPr="00B45D05">
        <w:rPr>
          <w:rFonts w:eastAsia="MS Mincho"/>
          <w:b/>
          <w:szCs w:val="24"/>
        </w:rPr>
        <w:t>n</w:t>
      </w:r>
      <w:r w:rsidR="00B45D05" w:rsidRPr="00B45D05">
        <w:rPr>
          <w:rFonts w:eastAsia="MS Mincho"/>
          <w:b/>
          <w:szCs w:val="24"/>
          <w:vertAlign w:val="superscript"/>
        </w:rPr>
        <w:t>o</w:t>
      </w:r>
      <w:r w:rsidR="00B45D05">
        <w:rPr>
          <w:rFonts w:eastAsia="MS Mincho"/>
          <w:b/>
          <w:szCs w:val="24"/>
          <w:vertAlign w:val="superscript"/>
        </w:rPr>
        <w:t>s</w:t>
      </w:r>
      <w:r w:rsidR="00B45D05">
        <w:rPr>
          <w:b/>
          <w:szCs w:val="24"/>
        </w:rPr>
        <w:t> </w:t>
      </w:r>
      <w:r w:rsidRPr="00334079">
        <w:rPr>
          <w:b/>
          <w:szCs w:val="24"/>
        </w:rPr>
        <w:t xml:space="preserve">68 (Mesure de la vitesse maximale, </w:t>
      </w:r>
      <w:r w:rsidR="00B45D05">
        <w:rPr>
          <w:b/>
          <w:szCs w:val="24"/>
        </w:rPr>
        <w:br/>
      </w:r>
      <w:r w:rsidRPr="00334079">
        <w:rPr>
          <w:b/>
          <w:szCs w:val="24"/>
        </w:rPr>
        <w:t xml:space="preserve">y compris des véhicules électriques purs), 83 (Émissions polluantes </w:t>
      </w:r>
      <w:r w:rsidR="00B45D05">
        <w:rPr>
          <w:b/>
          <w:szCs w:val="24"/>
        </w:rPr>
        <w:br/>
      </w:r>
      <w:r w:rsidRPr="00334079">
        <w:rPr>
          <w:b/>
          <w:szCs w:val="24"/>
        </w:rPr>
        <w:t>des véhicules des catégories M</w:t>
      </w:r>
      <w:r w:rsidRPr="003956AA">
        <w:rPr>
          <w:b/>
          <w:szCs w:val="24"/>
          <w:vertAlign w:val="subscript"/>
        </w:rPr>
        <w:t>1</w:t>
      </w:r>
      <w:r w:rsidRPr="00334079">
        <w:rPr>
          <w:b/>
          <w:szCs w:val="24"/>
        </w:rPr>
        <w:t xml:space="preserve"> et N</w:t>
      </w:r>
      <w:r w:rsidRPr="003956AA">
        <w:rPr>
          <w:b/>
          <w:szCs w:val="24"/>
          <w:vertAlign w:val="subscript"/>
        </w:rPr>
        <w:t>1</w:t>
      </w:r>
      <w:r w:rsidRPr="00334079">
        <w:rPr>
          <w:b/>
          <w:szCs w:val="24"/>
        </w:rPr>
        <w:t>), 101 (Émissions de CO</w:t>
      </w:r>
      <w:r w:rsidRPr="003956AA">
        <w:rPr>
          <w:b/>
          <w:szCs w:val="24"/>
          <w:vertAlign w:val="subscript"/>
        </w:rPr>
        <w:t>2</w:t>
      </w:r>
      <w:r w:rsidRPr="00334079">
        <w:rPr>
          <w:b/>
          <w:szCs w:val="24"/>
        </w:rPr>
        <w:t xml:space="preserve">/consommation </w:t>
      </w:r>
      <w:r w:rsidR="00B45D05">
        <w:rPr>
          <w:b/>
          <w:szCs w:val="24"/>
        </w:rPr>
        <w:br/>
      </w:r>
      <w:r w:rsidRPr="00334079">
        <w:rPr>
          <w:b/>
          <w:szCs w:val="24"/>
        </w:rPr>
        <w:t>de carburant) et 103 (Dispositifs antipollution de remplacement)</w:t>
      </w:r>
    </w:p>
    <w:p w:rsidR="006C6C36" w:rsidRDefault="006C6C36" w:rsidP="00B45D05">
      <w:pPr>
        <w:pStyle w:val="HChG"/>
      </w:pPr>
      <w:r w:rsidRPr="00334079">
        <w:tab/>
      </w:r>
      <w:r w:rsidRPr="00334079">
        <w:tab/>
        <w:t>Proposition de nouveau complément aux séries 06 et 07 d</w:t>
      </w:r>
      <w:r>
        <w:t>’</w:t>
      </w:r>
      <w:r w:rsidRPr="00334079">
        <w:t xml:space="preserve">amendements au Règlement </w:t>
      </w:r>
      <w:r>
        <w:t xml:space="preserve">ONU </w:t>
      </w:r>
      <w:r w:rsidR="00B45D05">
        <w:rPr>
          <w:rFonts w:eastAsia="MS Mincho"/>
        </w:rPr>
        <w:t>n</w:t>
      </w:r>
      <w:r w:rsidR="00B45D05">
        <w:rPr>
          <w:rFonts w:eastAsia="MS Mincho"/>
          <w:vertAlign w:val="superscript"/>
        </w:rPr>
        <w:t>o</w:t>
      </w:r>
      <w:r w:rsidR="00B45D05">
        <w:t> </w:t>
      </w:r>
      <w:r w:rsidRPr="00334079">
        <w:t xml:space="preserve">83 (Émissions </w:t>
      </w:r>
      <w:r>
        <w:t xml:space="preserve">polluantes </w:t>
      </w:r>
      <w:r w:rsidRPr="00334079">
        <w:t>des véhicules des catégories M</w:t>
      </w:r>
      <w:r w:rsidRPr="003956AA">
        <w:rPr>
          <w:vertAlign w:val="subscript"/>
        </w:rPr>
        <w:t>1</w:t>
      </w:r>
      <w:r w:rsidRPr="00334079">
        <w:t xml:space="preserve"> et N</w:t>
      </w:r>
      <w:r w:rsidRPr="003956AA">
        <w:rPr>
          <w:vertAlign w:val="subscript"/>
        </w:rPr>
        <w:t>1</w:t>
      </w:r>
      <w:r w:rsidRPr="00334079">
        <w:t>)</w:t>
      </w:r>
    </w:p>
    <w:p w:rsidR="006C6C36" w:rsidRPr="00334079" w:rsidRDefault="006C6C36" w:rsidP="00B45D05">
      <w:pPr>
        <w:pStyle w:val="H1G"/>
      </w:pPr>
      <w:r>
        <w:tab/>
      </w:r>
      <w:r>
        <w:tab/>
      </w:r>
      <w:r w:rsidRPr="00334079">
        <w:t>Communication de l</w:t>
      </w:r>
      <w:r>
        <w:t>’</w:t>
      </w:r>
      <w:r w:rsidRPr="00334079">
        <w:t>expert de l</w:t>
      </w:r>
      <w:r>
        <w:t>’</w:t>
      </w:r>
      <w:r w:rsidRPr="00334079">
        <w:t xml:space="preserve">Organisation internationale </w:t>
      </w:r>
      <w:r w:rsidR="00B45D05">
        <w:br/>
      </w:r>
      <w:r w:rsidRPr="00334079">
        <w:t>des constructeurs d</w:t>
      </w:r>
      <w:r>
        <w:t>’</w:t>
      </w:r>
      <w:r w:rsidR="00B45D05">
        <w:t>automobiles</w:t>
      </w:r>
      <w:r w:rsidRPr="00B45D05">
        <w:rPr>
          <w:b w:val="0"/>
          <w:sz w:val="20"/>
        </w:rPr>
        <w:footnoteReference w:customMarkFollows="1" w:id="2"/>
        <w:t>*</w:t>
      </w:r>
    </w:p>
    <w:p w:rsidR="006C6C36" w:rsidRPr="00334079" w:rsidRDefault="006C6C36" w:rsidP="00A922AB">
      <w:pPr>
        <w:pStyle w:val="SingleTxtG"/>
        <w:ind w:firstLine="567"/>
      </w:pPr>
      <w:r w:rsidRPr="00334079">
        <w:t>Le texte ci-après, établi par l</w:t>
      </w:r>
      <w:r>
        <w:t>’</w:t>
      </w:r>
      <w:r w:rsidRPr="00334079">
        <w:t>expert de l</w:t>
      </w:r>
      <w:r>
        <w:t>’</w:t>
      </w:r>
      <w:r w:rsidRPr="00334079">
        <w:t>Organisation internationale des constructeurs d</w:t>
      </w:r>
      <w:r>
        <w:t>’</w:t>
      </w:r>
      <w:r w:rsidRPr="00334079">
        <w:t xml:space="preserve">automobiles (OICA), vise </w:t>
      </w:r>
      <w:r>
        <w:t xml:space="preserve">à préciser </w:t>
      </w:r>
      <w:r w:rsidRPr="00A76C1F">
        <w:t>le lien existant entre le</w:t>
      </w:r>
      <w:r>
        <w:t>s</w:t>
      </w:r>
      <w:r w:rsidRPr="00A76C1F">
        <w:t xml:space="preserve"> niveau</w:t>
      </w:r>
      <w:r>
        <w:t>x</w:t>
      </w:r>
      <w:r w:rsidRPr="00A76C1F">
        <w:t xml:space="preserve"> d</w:t>
      </w:r>
      <w:r>
        <w:t>’</w:t>
      </w:r>
      <w:r w:rsidRPr="00A76C1F">
        <w:t xml:space="preserve">homologation, les carburants de référence et les limites de particules pour les véhicules à moteur à allumage </w:t>
      </w:r>
      <w:r>
        <w:t xml:space="preserve">commandé </w:t>
      </w:r>
      <w:r w:rsidRPr="00A76C1F">
        <w:t xml:space="preserve">et à modifier les formules de calcul utilisées pour déterminer les émissions par évaporation conformément aux modifications déjà acceptées dans le RTM ONU </w:t>
      </w:r>
      <w:r w:rsidR="00A922AB">
        <w:rPr>
          <w:rFonts w:eastAsia="MS Mincho"/>
        </w:rPr>
        <w:t>n</w:t>
      </w:r>
      <w:r w:rsidR="00A922AB">
        <w:rPr>
          <w:rFonts w:eastAsia="MS Mincho"/>
          <w:vertAlign w:val="superscript"/>
        </w:rPr>
        <w:t>o</w:t>
      </w:r>
      <w:r w:rsidR="00A922AB">
        <w:t> </w:t>
      </w:r>
      <w:r w:rsidRPr="00A76C1F">
        <w:t>19.</w:t>
      </w:r>
      <w:r w:rsidRPr="00334079">
        <w:t xml:space="preserve"> Les modifications qu</w:t>
      </w:r>
      <w:r>
        <w:t>’</w:t>
      </w:r>
      <w:r w:rsidRPr="00334079">
        <w:t>il est proposé d</w:t>
      </w:r>
      <w:r>
        <w:t>’</w:t>
      </w:r>
      <w:r w:rsidRPr="00334079">
        <w:t>apporter au texte actuel du Règlement figurent en caractères gras pour les ajouts et biffés pour les suppressions.</w:t>
      </w:r>
    </w:p>
    <w:p w:rsidR="006C6C36" w:rsidRDefault="006C6C36" w:rsidP="00A922AB">
      <w:pPr>
        <w:pStyle w:val="HChG"/>
      </w:pPr>
      <w:r w:rsidRPr="00334079">
        <w:br w:type="page"/>
      </w:r>
      <w:r w:rsidR="00A922AB">
        <w:lastRenderedPageBreak/>
        <w:tab/>
        <w:t>I.</w:t>
      </w:r>
      <w:r w:rsidRPr="00CD773E">
        <w:tab/>
        <w:t>Proposition</w:t>
      </w:r>
    </w:p>
    <w:p w:rsidR="006C6C36" w:rsidRPr="000803D5" w:rsidRDefault="006C6C36" w:rsidP="000803D5">
      <w:pPr>
        <w:pStyle w:val="SingleTxtG"/>
        <w:keepNext/>
      </w:pPr>
      <w:r w:rsidRPr="000803D5">
        <w:rPr>
          <w:i/>
        </w:rPr>
        <w:t>Note de bas de page 7 du tableau A dans le paragraphe</w:t>
      </w:r>
      <w:r w:rsidR="00EE4C04" w:rsidRPr="000803D5">
        <w:rPr>
          <w:i/>
        </w:rPr>
        <w:t xml:space="preserve"> 5.2</w:t>
      </w:r>
      <w:r w:rsidRPr="000803D5">
        <w:t>, lire</w:t>
      </w:r>
      <w:r w:rsidR="00754A6D" w:rsidRPr="000803D5">
        <w:t> :</w:t>
      </w:r>
    </w:p>
    <w:p w:rsidR="006C6C36" w:rsidRPr="000803D5" w:rsidRDefault="00EE4C04" w:rsidP="000803D5">
      <w:pPr>
        <w:pStyle w:val="SingleTxtG"/>
        <w:ind w:left="1701" w:hanging="567"/>
        <w:rPr>
          <w:strike/>
          <w:lang w:eastAsia="en-GB"/>
        </w:rPr>
      </w:pPr>
      <w:r w:rsidRPr="000803D5">
        <w:t>« </w:t>
      </w:r>
      <w:r w:rsidR="006C6C36" w:rsidRPr="000803D5">
        <w:rPr>
          <w:vertAlign w:val="superscript"/>
          <w:lang w:eastAsia="en-GB"/>
        </w:rPr>
        <w:t>7</w:t>
      </w:r>
      <w:r w:rsidR="006C6C36" w:rsidRPr="000803D5">
        <w:rPr>
          <w:lang w:eastAsia="en-GB"/>
        </w:rPr>
        <w:t xml:space="preserve"> </w:t>
      </w:r>
      <w:r w:rsidR="006C6C36" w:rsidRPr="000803D5">
        <w:rPr>
          <w:lang w:eastAsia="en-GB"/>
        </w:rPr>
        <w:tab/>
        <w:t xml:space="preserve">Au choix du fabricant, les véhicules à moteurs à allumage commandé et à allumage par compression peuvent être essayés avec soit les carburants E5 ou E10, soit les carburants B5 ou B7, respectivement. </w:t>
      </w:r>
      <w:r w:rsidR="006C6C36" w:rsidRPr="000803D5">
        <w:rPr>
          <w:b/>
          <w:lang w:eastAsia="en-GB"/>
        </w:rPr>
        <w:t xml:space="preserve">Cette décision doit être indiquée, le cas échéant, par la lettre alphabétique correspondante tirée du tableau A3/1. </w:t>
      </w:r>
      <w:r w:rsidR="006C6C36" w:rsidRPr="000803D5">
        <w:rPr>
          <w:strike/>
          <w:lang w:eastAsia="en-GB"/>
        </w:rPr>
        <w:t>Toutefois</w:t>
      </w:r>
      <w:r w:rsidR="00754A6D" w:rsidRPr="000803D5">
        <w:rPr>
          <w:strike/>
          <w:lang w:eastAsia="en-GB"/>
        </w:rPr>
        <w:t> :</w:t>
      </w:r>
    </w:p>
    <w:p w:rsidR="006C6C36" w:rsidRPr="000803D5" w:rsidRDefault="006C6C36" w:rsidP="000803D5">
      <w:pPr>
        <w:pStyle w:val="Bullet1G"/>
        <w:rPr>
          <w:strike/>
          <w:lang w:eastAsia="en-GB"/>
        </w:rPr>
      </w:pPr>
      <w:r w:rsidRPr="000803D5">
        <w:rPr>
          <w:strike/>
          <w:lang w:eastAsia="en-GB"/>
        </w:rPr>
        <w:t>Au plus tard 16 mois après les dates fixées au paragraphe 12.2.1, les nouveaux essais d’homologation seront effectués seulement avec les carburants E10 et B7</w:t>
      </w:r>
      <w:r w:rsidR="00754A6D" w:rsidRPr="000803D5">
        <w:rPr>
          <w:strike/>
          <w:lang w:eastAsia="en-GB"/>
        </w:rPr>
        <w:t> ;</w:t>
      </w:r>
    </w:p>
    <w:p w:rsidR="006C6C36" w:rsidRPr="000803D5" w:rsidRDefault="006C6C36" w:rsidP="000803D5">
      <w:pPr>
        <w:pStyle w:val="Bullet1G"/>
        <w:rPr>
          <w:lang w:eastAsia="en-GB"/>
        </w:rPr>
      </w:pPr>
      <w:r w:rsidRPr="000803D5">
        <w:rPr>
          <w:strike/>
          <w:lang w:eastAsia="en-GB"/>
        </w:rPr>
        <w:t>Au plus tard à compter des dates fixées au paragraphe 12.2.4, tous les nouveaux véhicules seront homologués avec les carburants E10 et B7.</w:t>
      </w:r>
      <w:r w:rsidR="00A913DE" w:rsidRPr="000803D5">
        <w:rPr>
          <w:lang w:eastAsia="en-GB"/>
        </w:rPr>
        <w:t> »</w:t>
      </w:r>
      <w:r w:rsidRPr="000803D5">
        <w:t>.</w:t>
      </w:r>
    </w:p>
    <w:p w:rsidR="006C6C36" w:rsidRPr="000803D5" w:rsidRDefault="006C6C36" w:rsidP="000803D5">
      <w:pPr>
        <w:pStyle w:val="SingleTxtG"/>
        <w:keepNext/>
        <w:rPr>
          <w:i/>
        </w:rPr>
      </w:pPr>
      <w:r w:rsidRPr="000803D5">
        <w:rPr>
          <w:i/>
        </w:rPr>
        <w:t>Note de bas de page 2 du tableau 1 dans le paragraphe</w:t>
      </w:r>
      <w:r w:rsidR="000904ED" w:rsidRPr="000803D5">
        <w:rPr>
          <w:i/>
        </w:rPr>
        <w:t xml:space="preserve"> 5.3.1.4</w:t>
      </w:r>
      <w:r w:rsidRPr="000803D5">
        <w:t>,</w:t>
      </w:r>
      <w:r w:rsidRPr="000803D5">
        <w:rPr>
          <w:i/>
        </w:rPr>
        <w:t xml:space="preserve"> </w:t>
      </w:r>
      <w:r w:rsidRPr="000803D5">
        <w:t>lire</w:t>
      </w:r>
      <w:r w:rsidR="00754A6D" w:rsidRPr="000803D5">
        <w:rPr>
          <w:i/>
        </w:rPr>
        <w:t> :</w:t>
      </w:r>
    </w:p>
    <w:p w:rsidR="006C6C36" w:rsidRPr="000803D5" w:rsidRDefault="00814112" w:rsidP="000803D5">
      <w:pPr>
        <w:pStyle w:val="SingleTxtG"/>
        <w:ind w:left="1701" w:hanging="567"/>
        <w:rPr>
          <w:lang w:eastAsia="en-GB"/>
        </w:rPr>
      </w:pPr>
      <w:r w:rsidRPr="000803D5">
        <w:t>« </w:t>
      </w:r>
      <w:r w:rsidR="006C6C36" w:rsidRPr="000803D5">
        <w:rPr>
          <w:vertAlign w:val="superscript"/>
          <w:lang w:eastAsia="en-GB"/>
        </w:rPr>
        <w:t>2</w:t>
      </w:r>
      <w:r w:rsidR="006C6C36" w:rsidRPr="000803D5">
        <w:rPr>
          <w:lang w:eastAsia="en-GB"/>
        </w:rPr>
        <w:t xml:space="preserve"> </w:t>
      </w:r>
      <w:r w:rsidR="006C6C36" w:rsidRPr="000803D5">
        <w:rPr>
          <w:lang w:eastAsia="en-GB"/>
        </w:rPr>
        <w:tab/>
      </w:r>
      <w:r w:rsidR="006C6C36" w:rsidRPr="000803D5">
        <w:rPr>
          <w:strike/>
          <w:lang w:eastAsia="en-GB"/>
        </w:rPr>
        <w:t xml:space="preserve">Pendant une période s’achevant trois ans après les dates indiquées aux paragraphes 12.2.1 et 12.2.2 du présent Règlement pour les nouvelles homologations de type et les nouveaux véhicules respectivement, </w:t>
      </w:r>
      <w:proofErr w:type="spellStart"/>
      <w:r w:rsidR="006C6C36" w:rsidRPr="000803D5">
        <w:rPr>
          <w:strike/>
          <w:lang w:eastAsia="en-GB"/>
        </w:rPr>
        <w:t>u</w:t>
      </w:r>
      <w:r w:rsidR="006C6C36" w:rsidRPr="000803D5">
        <w:rPr>
          <w:b/>
          <w:lang w:eastAsia="en-GB"/>
        </w:rPr>
        <w:t>U</w:t>
      </w:r>
      <w:r w:rsidR="006C6C36" w:rsidRPr="000803D5">
        <w:rPr>
          <w:lang w:eastAsia="en-GB"/>
        </w:rPr>
        <w:t>ne</w:t>
      </w:r>
      <w:proofErr w:type="spellEnd"/>
      <w:r w:rsidR="006C6C36" w:rsidRPr="000803D5">
        <w:rPr>
          <w:lang w:eastAsia="en-GB"/>
        </w:rPr>
        <w:t xml:space="preserve"> limite de 6,0 x 10</w:t>
      </w:r>
      <w:r w:rsidR="006C6C36" w:rsidRPr="000803D5">
        <w:rPr>
          <w:vertAlign w:val="superscript"/>
          <w:lang w:eastAsia="en-GB"/>
        </w:rPr>
        <w:t>12</w:t>
      </w:r>
      <w:r w:rsidR="006C6C36" w:rsidRPr="000803D5">
        <w:rPr>
          <w:lang w:eastAsia="en-GB"/>
        </w:rPr>
        <w:t xml:space="preserve"> particules émises par km s’appliquera aux véhicules à allumage commandé à injection directe au choix du constructeur. </w:t>
      </w:r>
      <w:r w:rsidR="006C6C36" w:rsidRPr="000803D5">
        <w:rPr>
          <w:b/>
          <w:lang w:eastAsia="en-GB"/>
        </w:rPr>
        <w:t>Cette décision doit être indiquée, le cas échéant, par la lettre alphabétique correspondante tirée du tableau A3/1.</w:t>
      </w:r>
      <w:r w:rsidRPr="000803D5">
        <w:t> »</w:t>
      </w:r>
      <w:r w:rsidR="006C6C36" w:rsidRPr="000803D5">
        <w:t>.</w:t>
      </w:r>
    </w:p>
    <w:p w:rsidR="006C6C36" w:rsidRPr="000803D5" w:rsidRDefault="006C6C36" w:rsidP="000803D5">
      <w:pPr>
        <w:pStyle w:val="SingleTxtG"/>
        <w:keepNext/>
        <w:rPr>
          <w:i/>
        </w:rPr>
      </w:pPr>
      <w:r w:rsidRPr="000803D5">
        <w:rPr>
          <w:i/>
        </w:rPr>
        <w:t>Légendes du tableau A3/1 de l’annexe 3</w:t>
      </w:r>
      <w:r w:rsidRPr="000803D5">
        <w:t>,</w:t>
      </w:r>
      <w:r w:rsidRPr="000803D5">
        <w:rPr>
          <w:i/>
        </w:rPr>
        <w:t xml:space="preserve"> </w:t>
      </w:r>
      <w:r w:rsidRPr="000803D5">
        <w:t>lire</w:t>
      </w:r>
      <w:r w:rsidR="00754A6D" w:rsidRPr="000803D5">
        <w:t> :</w:t>
      </w:r>
    </w:p>
    <w:p w:rsidR="006C6C36" w:rsidRPr="000803D5" w:rsidRDefault="00814112" w:rsidP="000803D5">
      <w:pPr>
        <w:pStyle w:val="SingleTxtG"/>
      </w:pPr>
      <w:r w:rsidRPr="000803D5">
        <w:t>« </w:t>
      </w:r>
      <w:r w:rsidR="006C6C36" w:rsidRPr="000803D5">
        <w:t>Légendes pour les normes relatives aux émissions</w:t>
      </w:r>
    </w:p>
    <w:p w:rsidR="006C6C36" w:rsidRPr="000803D5" w:rsidRDefault="006C6C36" w:rsidP="000803D5">
      <w:pPr>
        <w:pStyle w:val="SingleTxtG"/>
        <w:ind w:left="2268" w:hanging="1134"/>
      </w:pPr>
      <w:r w:rsidRPr="000803D5">
        <w:t>A</w:t>
      </w:r>
      <w:r w:rsidRPr="000803D5">
        <w:tab/>
        <w:t xml:space="preserve">Prescriptions relatives aux émissions en fonction des limites du tableau 1 du paragraphe 5.3.1.4 du présent Règlement, </w:t>
      </w:r>
      <w:r w:rsidRPr="000803D5">
        <w:rPr>
          <w:strike/>
        </w:rPr>
        <w:t>mais avec autorisation</w:t>
      </w:r>
      <w:r w:rsidRPr="000803D5">
        <w:t xml:space="preserve"> </w:t>
      </w:r>
      <w:r w:rsidRPr="000803D5">
        <w:rPr>
          <w:b/>
        </w:rPr>
        <w:t>conformes aux</w:t>
      </w:r>
      <w:r w:rsidRPr="000803D5">
        <w:t xml:space="preserve"> </w:t>
      </w:r>
      <w:r w:rsidRPr="000803D5">
        <w:rPr>
          <w:strike/>
        </w:rPr>
        <w:t>des</w:t>
      </w:r>
      <w:r w:rsidRPr="000803D5">
        <w:t xml:space="preserve"> valeurs préliminaires pour les nombres de particules émises par les véhicules à moteur à allumage commandé, ainsi qu’il est précisé dans la note</w:t>
      </w:r>
      <w:r w:rsidR="009227FD">
        <w:t> </w:t>
      </w:r>
      <w:r w:rsidRPr="000803D5">
        <w:t xml:space="preserve">2 de ce tableau, </w:t>
      </w:r>
      <w:r w:rsidRPr="000803D5">
        <w:rPr>
          <w:b/>
        </w:rPr>
        <w:t>avec tout carburant de référence applicable</w:t>
      </w:r>
      <w:r w:rsidR="00754A6D" w:rsidRPr="000803D5">
        <w:t> ;</w:t>
      </w:r>
    </w:p>
    <w:p w:rsidR="006C6C36" w:rsidRPr="000803D5" w:rsidRDefault="00763032" w:rsidP="000803D5">
      <w:pPr>
        <w:pStyle w:val="SingleTxtG"/>
        <w:ind w:left="2268" w:hanging="1134"/>
        <w:rPr>
          <w:lang w:eastAsia="en-GB"/>
        </w:rPr>
      </w:pPr>
      <w:r w:rsidRPr="000803D5">
        <w:rPr>
          <w:lang w:eastAsia="en-GB"/>
        </w:rPr>
        <w:t>B</w:t>
      </w:r>
      <w:r w:rsidR="006C6C36" w:rsidRPr="000803D5">
        <w:rPr>
          <w:lang w:eastAsia="en-GB"/>
        </w:rPr>
        <w:tab/>
        <w:t xml:space="preserve">Prescriptions relatives aux émissions en fonction des limites du tableau 1 du paragraphe 5.3.1.4 du présent Règlement, </w:t>
      </w:r>
      <w:r w:rsidR="006C6C36" w:rsidRPr="000803D5">
        <w:rPr>
          <w:strike/>
          <w:lang w:eastAsia="en-GB"/>
        </w:rPr>
        <w:t>y compris</w:t>
      </w:r>
      <w:r w:rsidR="006C6C36" w:rsidRPr="000803D5">
        <w:rPr>
          <w:lang w:eastAsia="en-GB"/>
        </w:rPr>
        <w:t xml:space="preserve"> </w:t>
      </w:r>
      <w:r w:rsidR="006C6C36" w:rsidRPr="000803D5">
        <w:rPr>
          <w:b/>
        </w:rPr>
        <w:t>conformes aux</w:t>
      </w:r>
      <w:r w:rsidR="006C6C36" w:rsidRPr="000803D5">
        <w:t xml:space="preserve"> </w:t>
      </w:r>
      <w:r w:rsidR="006C6C36" w:rsidRPr="000803D5">
        <w:rPr>
          <w:strike/>
          <w:lang w:eastAsia="en-GB"/>
        </w:rPr>
        <w:t>les</w:t>
      </w:r>
      <w:r w:rsidR="006C6C36" w:rsidRPr="000803D5">
        <w:rPr>
          <w:lang w:eastAsia="en-GB"/>
        </w:rPr>
        <w:t xml:space="preserve"> normes </w:t>
      </w:r>
      <w:r w:rsidR="006C6C36" w:rsidRPr="000803D5">
        <w:rPr>
          <w:strike/>
          <w:lang w:eastAsia="en-GB"/>
        </w:rPr>
        <w:t>finales</w:t>
      </w:r>
      <w:r w:rsidR="006C6C36" w:rsidRPr="000803D5">
        <w:rPr>
          <w:lang w:eastAsia="en-GB"/>
        </w:rPr>
        <w:t xml:space="preserve"> relatives au nombre de particules pour les véhicules à moteur à allumage commandé </w:t>
      </w:r>
      <w:r w:rsidR="006C6C36" w:rsidRPr="000803D5">
        <w:rPr>
          <w:b/>
          <w:lang w:eastAsia="en-GB"/>
        </w:rPr>
        <w:t xml:space="preserve">figurant dans le tableau, sans renvoi à la note de bas de page 2, </w:t>
      </w:r>
      <w:r w:rsidR="006C6C36" w:rsidRPr="000803D5">
        <w:rPr>
          <w:lang w:eastAsia="en-GB"/>
        </w:rPr>
        <w:t>et à l’utilisation des carburants de référence E10 et B7 (le cas échéant)</w:t>
      </w:r>
      <w:r w:rsidR="00814112" w:rsidRPr="000803D5">
        <w:rPr>
          <w:lang w:eastAsia="en-GB"/>
        </w:rPr>
        <w:t> »</w:t>
      </w:r>
      <w:r w:rsidR="006C6C36" w:rsidRPr="000803D5">
        <w:t>.</w:t>
      </w:r>
    </w:p>
    <w:p w:rsidR="006C6C36" w:rsidRPr="000803D5" w:rsidRDefault="006C6C36" w:rsidP="000803D5">
      <w:pPr>
        <w:pStyle w:val="SingleTxtG"/>
        <w:keepNext/>
      </w:pPr>
      <w:r w:rsidRPr="000803D5">
        <w:rPr>
          <w:i/>
        </w:rPr>
        <w:t>Annexe 7, paragraphe 4.2.1</w:t>
      </w:r>
      <w:r w:rsidRPr="000803D5">
        <w:t>,</w:t>
      </w:r>
      <w:r w:rsidRPr="000803D5">
        <w:rPr>
          <w:i/>
        </w:rPr>
        <w:t xml:space="preserve"> </w:t>
      </w:r>
      <w:r w:rsidRPr="000803D5">
        <w:t>lire</w:t>
      </w:r>
      <w:r w:rsidR="00754A6D" w:rsidRPr="000803D5">
        <w:t> :</w:t>
      </w:r>
    </w:p>
    <w:p w:rsidR="006C6C36" w:rsidRPr="000803D5" w:rsidRDefault="00763032" w:rsidP="000803D5">
      <w:pPr>
        <w:pStyle w:val="SingleTxtG"/>
        <w:keepNext/>
        <w:ind w:left="2268" w:hanging="1134"/>
        <w:jc w:val="left"/>
      </w:pPr>
      <w:r w:rsidRPr="000803D5">
        <w:t>« </w:t>
      </w:r>
      <w:r w:rsidR="000904ED" w:rsidRPr="000803D5">
        <w:t>4.2.1</w:t>
      </w:r>
      <w:r w:rsidR="006C6C36" w:rsidRPr="000803D5">
        <w:tab/>
        <w:t>Enceinte à volume variable</w:t>
      </w:r>
    </w:p>
    <w:p w:rsidR="006C6C36" w:rsidRPr="000803D5" w:rsidRDefault="006C6C36" w:rsidP="000803D5">
      <w:pPr>
        <w:pStyle w:val="SingleTxtG"/>
        <w:ind w:left="2268"/>
      </w:pPr>
      <w:r w:rsidRPr="000803D5">
        <w:t>L’enceinte à volume variable se dilate et se contracte en réaction aux variations de température de la masse d’air qu’elle contient. Deux moyens possibles pour faire varier le volume intérieur consistent à utiliser des panneaux mobiles, ou un système de soufflets dans lequel des sacs imperméables placés à l’intérieur de l’enceinte se dilatent et se contractent en réaction aux variations de pression internes, par échange d’air avec l’extérieur de l’enceinte. Tout système de variation du volume doit respecter l’intégrité de l’enceinte conformément à l’appendice 1 de la présente annexe, sur la plage de températures spécifiée.</w:t>
      </w:r>
    </w:p>
    <w:p w:rsidR="006C6C36" w:rsidRPr="000803D5" w:rsidRDefault="006C6C36" w:rsidP="000803D5">
      <w:pPr>
        <w:pStyle w:val="SingleTxtG"/>
        <w:ind w:left="2268"/>
      </w:pPr>
      <w:r w:rsidRPr="000803D5">
        <w:t xml:space="preserve">Toute méthode de variation du volume doit limiter le différentiel entre la pression interne de l’enceinte et la pression barométrique à une valeur maximale de </w:t>
      </w:r>
      <w:r w:rsidRPr="000803D5">
        <w:sym w:font="Symbol" w:char="F0B1"/>
      </w:r>
      <w:r w:rsidRPr="000803D5">
        <w:t xml:space="preserve">5 </w:t>
      </w:r>
      <w:r w:rsidRPr="000803D5">
        <w:rPr>
          <w:strike/>
        </w:rPr>
        <w:t>kPa</w:t>
      </w:r>
      <w:r w:rsidRPr="000803D5">
        <w:rPr>
          <w:rFonts w:hint="eastAsia"/>
        </w:rPr>
        <w:t xml:space="preserve"> </w:t>
      </w:r>
      <w:r w:rsidRPr="000803D5">
        <w:rPr>
          <w:rFonts w:hint="eastAsia"/>
          <w:b/>
          <w:lang w:eastAsia="ja-JP"/>
        </w:rPr>
        <w:t>h</w:t>
      </w:r>
      <w:r w:rsidRPr="000803D5">
        <w:rPr>
          <w:b/>
        </w:rPr>
        <w:t>Pa</w:t>
      </w:r>
      <w:r w:rsidRPr="000803D5">
        <w:t>.</w:t>
      </w:r>
    </w:p>
    <w:p w:rsidR="006C6C36" w:rsidRPr="000803D5" w:rsidRDefault="006C6C36" w:rsidP="000803D5">
      <w:pPr>
        <w:pStyle w:val="SingleTxtG"/>
        <w:ind w:left="2268"/>
      </w:pPr>
      <w:r w:rsidRPr="000803D5">
        <w:t>L’enceinte doit pouvoir se verrouiller à un volume déterminé. Le volume d’une enceinte à volume variable doit pouvoir varier de +7 % par rapport à son « volume nominal » (par. 2.1.1 de l’appendice 1 de la présente annexe) en fonction du changement de température et de pression b</w:t>
      </w:r>
      <w:r w:rsidR="00763032" w:rsidRPr="000803D5">
        <w:t>arométrique au cours des essais. »</w:t>
      </w:r>
      <w:r w:rsidRPr="000803D5">
        <w:t>.</w:t>
      </w:r>
    </w:p>
    <w:p w:rsidR="006C6C36" w:rsidRPr="000803D5" w:rsidRDefault="006C6C36" w:rsidP="000803D5">
      <w:pPr>
        <w:pStyle w:val="SingleTxtG"/>
        <w:keepNext/>
      </w:pPr>
      <w:r w:rsidRPr="000803D5">
        <w:rPr>
          <w:i/>
        </w:rPr>
        <w:lastRenderedPageBreak/>
        <w:t xml:space="preserve">Annexe 7, paragraphe 4.6.2, </w:t>
      </w:r>
      <w:r w:rsidRPr="000803D5">
        <w:t>lire</w:t>
      </w:r>
      <w:r w:rsidR="00754A6D" w:rsidRPr="000803D5">
        <w:t> :</w:t>
      </w:r>
    </w:p>
    <w:p w:rsidR="006C6C36" w:rsidRPr="000803D5" w:rsidRDefault="009227FD" w:rsidP="000803D5">
      <w:pPr>
        <w:pStyle w:val="SingleTxtG"/>
        <w:ind w:left="2268" w:hanging="1134"/>
      </w:pPr>
      <w:r>
        <w:t>« 4.6.2</w:t>
      </w:r>
      <w:r w:rsidR="006C6C36" w:rsidRPr="000803D5">
        <w:tab/>
        <w:t xml:space="preserve">La précision du système d’enregistrement de la pression doit être comprise dans une fourchette de </w:t>
      </w:r>
      <w:r w:rsidR="006C6C36" w:rsidRPr="000803D5">
        <w:sym w:font="Symbol" w:char="F0B1"/>
      </w:r>
      <w:r w:rsidR="006C6C36" w:rsidRPr="000803D5">
        <w:rPr>
          <w:strike/>
        </w:rPr>
        <w:t>2</w:t>
      </w:r>
      <w:r w:rsidR="006C6C36" w:rsidRPr="000803D5">
        <w:rPr>
          <w:rFonts w:hint="eastAsia"/>
          <w:b/>
          <w:lang w:eastAsia="ja-JP"/>
        </w:rPr>
        <w:t>0</w:t>
      </w:r>
      <w:r w:rsidR="006C6C36" w:rsidRPr="000803D5">
        <w:rPr>
          <w:b/>
          <w:lang w:eastAsia="ja-JP"/>
        </w:rPr>
        <w:t>,</w:t>
      </w:r>
      <w:r w:rsidR="006C6C36" w:rsidRPr="000803D5">
        <w:rPr>
          <w:rFonts w:hint="eastAsia"/>
          <w:b/>
          <w:lang w:eastAsia="ja-JP"/>
        </w:rPr>
        <w:t>3</w:t>
      </w:r>
      <w:r w:rsidR="006C6C36" w:rsidRPr="000803D5">
        <w:t xml:space="preserve"> kPa et la valeur de la pression doit </w:t>
      </w:r>
      <w:r w:rsidR="006C6C36" w:rsidRPr="000803D5">
        <w:rPr>
          <w:strike/>
        </w:rPr>
        <w:t>pouvoir être connue à 0,2 kPa près</w:t>
      </w:r>
      <w:r w:rsidR="006C6C36" w:rsidRPr="000803D5">
        <w:t xml:space="preserve"> </w:t>
      </w:r>
      <w:r w:rsidR="006C6C36" w:rsidRPr="000803D5">
        <w:rPr>
          <w:b/>
          <w:lang w:eastAsia="ja-JP"/>
        </w:rPr>
        <w:t>avoir une résolution de</w:t>
      </w:r>
      <w:r w:rsidR="006C6C36" w:rsidRPr="000803D5">
        <w:rPr>
          <w:rFonts w:hint="eastAsia"/>
          <w:b/>
          <w:lang w:eastAsia="ja-JP"/>
        </w:rPr>
        <w:t xml:space="preserve"> 0</w:t>
      </w:r>
      <w:r w:rsidR="006C6C36" w:rsidRPr="000803D5">
        <w:rPr>
          <w:b/>
          <w:lang w:eastAsia="ja-JP"/>
        </w:rPr>
        <w:t>,</w:t>
      </w:r>
      <w:r w:rsidR="006C6C36" w:rsidRPr="000803D5">
        <w:rPr>
          <w:rFonts w:hint="eastAsia"/>
          <w:b/>
          <w:lang w:eastAsia="ja-JP"/>
        </w:rPr>
        <w:t>025</w:t>
      </w:r>
      <w:r>
        <w:t> kPa. »</w:t>
      </w:r>
      <w:r w:rsidR="006C6C36" w:rsidRPr="000803D5">
        <w:t>.</w:t>
      </w:r>
    </w:p>
    <w:p w:rsidR="006C6C36" w:rsidRPr="000803D5" w:rsidRDefault="006C6C36" w:rsidP="000803D5">
      <w:pPr>
        <w:pStyle w:val="SingleTxtG"/>
        <w:keepNext/>
      </w:pPr>
      <w:r w:rsidRPr="000803D5">
        <w:rPr>
          <w:i/>
        </w:rPr>
        <w:t>Supprimer les paragraphes 4.9 et 4.9.1. de l’annexe 7</w:t>
      </w:r>
      <w:r w:rsidR="00754A6D" w:rsidRPr="000803D5">
        <w:t> :</w:t>
      </w:r>
    </w:p>
    <w:p w:rsidR="006C6C36" w:rsidRPr="000803D5" w:rsidRDefault="00F02A2E" w:rsidP="000803D5">
      <w:pPr>
        <w:pStyle w:val="SingleTxtG"/>
        <w:ind w:left="2268" w:hanging="1134"/>
        <w:rPr>
          <w:strike/>
        </w:rPr>
      </w:pPr>
      <w:r w:rsidRPr="000803D5">
        <w:t>« </w:t>
      </w:r>
      <w:r w:rsidR="006C6C36" w:rsidRPr="000803D5">
        <w:rPr>
          <w:strike/>
        </w:rPr>
        <w:t>4.9</w:t>
      </w:r>
      <w:r w:rsidR="006C6C36" w:rsidRPr="000803D5">
        <w:rPr>
          <w:strike/>
        </w:rPr>
        <w:tab/>
        <w:t>Équipement complémentaire</w:t>
      </w:r>
    </w:p>
    <w:p w:rsidR="006C6C36" w:rsidRPr="000803D5" w:rsidRDefault="006C6C36" w:rsidP="000803D5">
      <w:pPr>
        <w:pStyle w:val="SingleTxtG"/>
        <w:ind w:left="2268" w:hanging="1134"/>
      </w:pPr>
      <w:r w:rsidRPr="000803D5">
        <w:rPr>
          <w:strike/>
        </w:rPr>
        <w:t>4.9.1</w:t>
      </w:r>
      <w:r w:rsidRPr="000803D5">
        <w:rPr>
          <w:strike/>
        </w:rPr>
        <w:tab/>
        <w:t>L’humidité absolue doit pouvoir être déterminée dans la zone d’essai à 5</w:t>
      </w:r>
      <w:r w:rsidR="00F02A2E" w:rsidRPr="000803D5">
        <w:rPr>
          <w:strike/>
        </w:rPr>
        <w:t> </w:t>
      </w:r>
      <w:r w:rsidRPr="000803D5">
        <w:rPr>
          <w:strike/>
        </w:rPr>
        <w:t>% près.</w:t>
      </w:r>
      <w:r w:rsidR="00F02A2E" w:rsidRPr="000803D5">
        <w:t> »</w:t>
      </w:r>
      <w:r w:rsidRPr="000803D5">
        <w:t>.</w:t>
      </w:r>
    </w:p>
    <w:p w:rsidR="006C6C36" w:rsidRPr="000803D5" w:rsidRDefault="006C6C36" w:rsidP="000803D5">
      <w:pPr>
        <w:pStyle w:val="SingleTxtG"/>
        <w:keepNext/>
      </w:pPr>
      <w:r w:rsidRPr="000803D5">
        <w:rPr>
          <w:i/>
        </w:rPr>
        <w:t>Dans l’annexe 7, le paragraphe 6.1 devient un titre, le texte du paragraphe 6.1 actuel devient le paragraphe</w:t>
      </w:r>
      <w:r w:rsidR="00A913DE" w:rsidRPr="000803D5">
        <w:rPr>
          <w:i/>
        </w:rPr>
        <w:t xml:space="preserve"> 6.1.1</w:t>
      </w:r>
      <w:r w:rsidRPr="000803D5">
        <w:rPr>
          <w:i/>
        </w:rPr>
        <w:t xml:space="preserve"> et le paragraphe</w:t>
      </w:r>
      <w:r w:rsidR="00A913DE" w:rsidRPr="000803D5">
        <w:rPr>
          <w:i/>
        </w:rPr>
        <w:t xml:space="preserve"> 6.1.2</w:t>
      </w:r>
      <w:r w:rsidRPr="000803D5">
        <w:rPr>
          <w:i/>
        </w:rPr>
        <w:t xml:space="preserve"> est ajouté</w:t>
      </w:r>
      <w:r w:rsidRPr="000803D5">
        <w:t>, comme suit</w:t>
      </w:r>
      <w:r w:rsidR="00754A6D" w:rsidRPr="000803D5">
        <w:t> :</w:t>
      </w:r>
    </w:p>
    <w:p w:rsidR="006C6C36" w:rsidRPr="000803D5" w:rsidRDefault="00FC35BC" w:rsidP="000803D5">
      <w:pPr>
        <w:pStyle w:val="SingleTxtG"/>
        <w:keepNext/>
        <w:ind w:left="2268" w:hanging="1134"/>
        <w:jc w:val="left"/>
        <w:rPr>
          <w:b/>
        </w:rPr>
      </w:pPr>
      <w:r w:rsidRPr="000803D5">
        <w:t>« </w:t>
      </w:r>
      <w:r w:rsidR="00F02A2E" w:rsidRPr="000803D5">
        <w:t>6.1</w:t>
      </w:r>
      <w:r w:rsidR="006C6C36" w:rsidRPr="000803D5">
        <w:t xml:space="preserve"> </w:t>
      </w:r>
      <w:r w:rsidR="006C6C36" w:rsidRPr="000803D5">
        <w:tab/>
      </w:r>
      <w:r w:rsidR="006C6C36" w:rsidRPr="000803D5">
        <w:rPr>
          <w:b/>
        </w:rPr>
        <w:t xml:space="preserve">Calcul des résultats des essais d’émission par évaporation </w:t>
      </w:r>
    </w:p>
    <w:p w:rsidR="00F02A2E" w:rsidRPr="000803D5" w:rsidRDefault="006C6C36" w:rsidP="000803D5">
      <w:pPr>
        <w:pStyle w:val="SingleTxtG"/>
        <w:ind w:left="2268" w:hanging="1134"/>
      </w:pPr>
      <w:r w:rsidRPr="000803D5">
        <w:rPr>
          <w:b/>
        </w:rPr>
        <w:t>6.1.1</w:t>
      </w:r>
      <w:r w:rsidRPr="000803D5">
        <w:tab/>
        <w:t>Les essais d’émissions par évaporation décrits au paragraphe 5 de la présente annexe permettent le calcul des émissions d’hydrocarbures par évaporation pendant les phases diurne et d’imprégnation à chaud. Pour chacune de ces phases, on calcule les pertes par évaporation à partir des valeurs initiales et finales de la concentration en hydrocarbures, de la température et de la pression dans l’enceinte et de la valeur nette du volume de l’enceinte. On utilise la formule suivante</w:t>
      </w:r>
      <w:r w:rsidR="00754A6D" w:rsidRPr="000803D5">
        <w:t> :</w:t>
      </w:r>
    </w:p>
    <w:p w:rsidR="006C6C36" w:rsidRPr="000803D5" w:rsidRDefault="00064C1E" w:rsidP="000803D5">
      <w:pPr>
        <w:pStyle w:val="SingleTxtG"/>
        <w:ind w:left="2268" w:hanging="1134"/>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m:t>
              </m:r>
            </m:sub>
          </m:sSub>
        </m:oMath>
      </m:oMathPara>
    </w:p>
    <w:p w:rsidR="006C6C36" w:rsidRPr="000803D5" w:rsidRDefault="00871E0D" w:rsidP="000803D5">
      <w:pPr>
        <w:pStyle w:val="SingleTxtG"/>
        <w:ind w:left="2268"/>
      </w:pPr>
      <w:r w:rsidRPr="000803D5">
        <w:t>O</w:t>
      </w:r>
      <w:r w:rsidR="006C6C36" w:rsidRPr="000803D5">
        <w:t>ù</w:t>
      </w:r>
      <w:r w:rsidR="00754A6D" w:rsidRPr="000803D5">
        <w:t> :</w:t>
      </w:r>
    </w:p>
    <w:p w:rsidR="006C6C36" w:rsidRPr="000803D5" w:rsidRDefault="006C6C36" w:rsidP="00C128D1">
      <w:pPr>
        <w:pStyle w:val="SingleTxtG"/>
        <w:tabs>
          <w:tab w:val="left" w:pos="2982"/>
        </w:tabs>
        <w:ind w:left="3402" w:hanging="1134"/>
      </w:pPr>
      <w:r w:rsidRPr="000803D5">
        <w:t>M</w:t>
      </w:r>
      <w:r w:rsidRPr="000803D5">
        <w:rPr>
          <w:vertAlign w:val="subscript"/>
        </w:rPr>
        <w:t>HC</w:t>
      </w:r>
      <w:r w:rsidRPr="000803D5">
        <w:tab/>
        <w:t>=</w:t>
      </w:r>
      <w:r w:rsidRPr="000803D5">
        <w:tab/>
        <w:t>masse d’hydrocarbures (g),</w:t>
      </w:r>
    </w:p>
    <w:p w:rsidR="006C6C36" w:rsidRPr="000803D5" w:rsidRDefault="006C6C36" w:rsidP="00C128D1">
      <w:pPr>
        <w:pStyle w:val="SingleTxtG"/>
        <w:tabs>
          <w:tab w:val="left" w:pos="2982"/>
        </w:tabs>
        <w:ind w:left="3402" w:hanging="1134"/>
      </w:pPr>
      <w:proofErr w:type="spellStart"/>
      <w:r w:rsidRPr="000803D5">
        <w:t>M</w:t>
      </w:r>
      <w:r w:rsidRPr="000803D5">
        <w:rPr>
          <w:vertAlign w:val="subscript"/>
        </w:rPr>
        <w:t>HC,out</w:t>
      </w:r>
      <w:proofErr w:type="spellEnd"/>
      <w:r w:rsidRPr="000803D5">
        <w:tab/>
        <w:t>=</w:t>
      </w:r>
      <w:r w:rsidRPr="000803D5">
        <w:tab/>
        <w:t>masse des hydrocarbures quittant l’enceinte, lorsqu’une enceinte à volume fixe est utilisée pour les essais d’émissions diurnes (g),</w:t>
      </w:r>
    </w:p>
    <w:p w:rsidR="006C6C36" w:rsidRPr="000803D5" w:rsidRDefault="006C6C36" w:rsidP="00C128D1">
      <w:pPr>
        <w:pStyle w:val="SingleTxtG"/>
        <w:tabs>
          <w:tab w:val="left" w:pos="2982"/>
        </w:tabs>
        <w:ind w:left="3402" w:hanging="1134"/>
      </w:pPr>
      <w:proofErr w:type="spellStart"/>
      <w:r w:rsidRPr="000803D5">
        <w:t>M</w:t>
      </w:r>
      <w:r w:rsidRPr="000803D5">
        <w:rPr>
          <w:vertAlign w:val="subscript"/>
        </w:rPr>
        <w:t>HC,i</w:t>
      </w:r>
      <w:proofErr w:type="spellEnd"/>
      <w:r w:rsidRPr="000803D5">
        <w:tab/>
        <w:t>=</w:t>
      </w:r>
      <w:r w:rsidRPr="000803D5">
        <w:tab/>
        <w:t>masse des hydrocarbures entrant dans l’enceinte, lorsqu’une enceinte à volume fixe est utilisée pour les essais d’émissions diurnes (g),</w:t>
      </w:r>
    </w:p>
    <w:p w:rsidR="006C6C36" w:rsidRPr="000803D5" w:rsidRDefault="006C6C36" w:rsidP="00C128D1">
      <w:pPr>
        <w:pStyle w:val="SingleTxtG"/>
        <w:tabs>
          <w:tab w:val="left" w:pos="2982"/>
        </w:tabs>
        <w:ind w:left="3402" w:hanging="1134"/>
      </w:pPr>
      <w:r w:rsidRPr="000803D5">
        <w:t>C</w:t>
      </w:r>
      <w:r w:rsidRPr="000803D5">
        <w:rPr>
          <w:vertAlign w:val="subscript"/>
        </w:rPr>
        <w:t>HC</w:t>
      </w:r>
      <w:r w:rsidRPr="000803D5">
        <w:tab/>
        <w:t>=</w:t>
      </w:r>
      <w:r w:rsidRPr="000803D5">
        <w:tab/>
        <w:t xml:space="preserve">valeur mesurée de la concentration en hydrocarbures dans l’enceinte </w:t>
      </w:r>
      <w:r w:rsidR="00D043D5">
        <w:t>(</w:t>
      </w:r>
      <w:r w:rsidRPr="000803D5">
        <w:t>ppm (volume) en équivalent C1</w:t>
      </w:r>
      <w:r w:rsidR="00D043D5">
        <w:t>)</w:t>
      </w:r>
      <w:r w:rsidRPr="000803D5">
        <w:t>,</w:t>
      </w:r>
    </w:p>
    <w:p w:rsidR="006C6C36" w:rsidRPr="000803D5" w:rsidRDefault="006C6C36" w:rsidP="00C128D1">
      <w:pPr>
        <w:pStyle w:val="SingleTxtG"/>
        <w:tabs>
          <w:tab w:val="left" w:pos="2982"/>
        </w:tabs>
        <w:ind w:left="3402" w:hanging="1134"/>
      </w:pPr>
      <w:r w:rsidRPr="000803D5">
        <w:t>V</w:t>
      </w:r>
      <w:r w:rsidRPr="000803D5">
        <w:tab/>
        <w:t>=</w:t>
      </w:r>
      <w:r w:rsidRPr="000803D5">
        <w:tab/>
        <w:t>volume net de l’enceinte en m</w:t>
      </w:r>
      <w:r w:rsidRPr="000803D5">
        <w:rPr>
          <w:vertAlign w:val="superscript"/>
        </w:rPr>
        <w:t>3</w:t>
      </w:r>
      <w:r w:rsidRPr="000803D5">
        <w:t>, déduction faite du volume du véhicule avec les fenêtres et le coffre à bagages ouverts. Si le volume du véhicule n’est pas déterminé, on retranche un volume de 1,42 m</w:t>
      </w:r>
      <w:r w:rsidRPr="000803D5">
        <w:rPr>
          <w:vertAlign w:val="superscript"/>
        </w:rPr>
        <w:t>3</w:t>
      </w:r>
      <w:r w:rsidRPr="000803D5">
        <w:t>,</w:t>
      </w:r>
    </w:p>
    <w:p w:rsidR="006C6C36" w:rsidRPr="000803D5" w:rsidRDefault="006C6C36" w:rsidP="00C128D1">
      <w:pPr>
        <w:pStyle w:val="SingleTxtG"/>
        <w:tabs>
          <w:tab w:val="left" w:pos="2982"/>
        </w:tabs>
        <w:ind w:left="3402" w:hanging="1134"/>
      </w:pPr>
      <w:r w:rsidRPr="000803D5">
        <w:t>T</w:t>
      </w:r>
      <w:r w:rsidRPr="000803D5">
        <w:tab/>
        <w:t>=</w:t>
      </w:r>
      <w:r w:rsidRPr="000803D5">
        <w:tab/>
        <w:t>température ambiante de la chambre (K),</w:t>
      </w:r>
    </w:p>
    <w:p w:rsidR="006C6C36" w:rsidRPr="000803D5" w:rsidRDefault="006C6C36" w:rsidP="00C128D1">
      <w:pPr>
        <w:pStyle w:val="SingleTxtG"/>
        <w:tabs>
          <w:tab w:val="left" w:pos="2982"/>
        </w:tabs>
        <w:ind w:left="3402" w:hanging="1134"/>
      </w:pPr>
      <w:r w:rsidRPr="000803D5">
        <w:t>P</w:t>
      </w:r>
      <w:r w:rsidRPr="000803D5">
        <w:tab/>
        <w:t>=</w:t>
      </w:r>
      <w:r w:rsidRPr="000803D5">
        <w:tab/>
        <w:t>pression absolue dans la chambre d’essai (kPa),</w:t>
      </w:r>
    </w:p>
    <w:p w:rsidR="006C6C36" w:rsidRPr="000803D5" w:rsidRDefault="006C6C36" w:rsidP="00C128D1">
      <w:pPr>
        <w:pStyle w:val="SingleTxtG"/>
        <w:tabs>
          <w:tab w:val="left" w:pos="2982"/>
        </w:tabs>
        <w:ind w:left="3402" w:hanging="1134"/>
      </w:pPr>
      <w:r w:rsidRPr="000803D5">
        <w:t>H/C</w:t>
      </w:r>
      <w:r w:rsidRPr="000803D5">
        <w:tab/>
        <w:t>=</w:t>
      </w:r>
      <w:r w:rsidRPr="000803D5">
        <w:tab/>
        <w:t>rapport hydrogène/carbone,</w:t>
      </w:r>
    </w:p>
    <w:p w:rsidR="006C6C36" w:rsidRPr="000803D5" w:rsidRDefault="006C6C36" w:rsidP="00C128D1">
      <w:pPr>
        <w:pStyle w:val="SingleTxtG"/>
        <w:tabs>
          <w:tab w:val="left" w:pos="2982"/>
        </w:tabs>
        <w:ind w:left="3402" w:hanging="1134"/>
      </w:pPr>
      <w:r w:rsidRPr="000803D5">
        <w:t>k</w:t>
      </w:r>
      <w:r w:rsidRPr="000803D5">
        <w:tab/>
        <w:t>=</w:t>
      </w:r>
      <w:r w:rsidRPr="000803D5">
        <w:tab/>
        <w:t xml:space="preserve">1,2 </w:t>
      </w:r>
      <w:r w:rsidRPr="00D043D5">
        <w:rPr>
          <w:sz w:val="16"/>
          <w:szCs w:val="16"/>
        </w:rPr>
        <w:t>•</w:t>
      </w:r>
      <w:r w:rsidRPr="000803D5">
        <w:t xml:space="preserve"> (12 + H/C)</w:t>
      </w:r>
      <w:r w:rsidR="00754A6D" w:rsidRPr="000803D5">
        <w:t> ;</w:t>
      </w:r>
    </w:p>
    <w:p w:rsidR="006C6C36" w:rsidRPr="000803D5" w:rsidRDefault="00871E0D" w:rsidP="00C128D1">
      <w:pPr>
        <w:pStyle w:val="SingleTxtG"/>
        <w:keepNext/>
        <w:tabs>
          <w:tab w:val="left" w:pos="2982"/>
        </w:tabs>
        <w:ind w:left="3402" w:hanging="1134"/>
      </w:pPr>
      <w:r w:rsidRPr="000803D5">
        <w:t>O</w:t>
      </w:r>
      <w:r w:rsidR="006C6C36" w:rsidRPr="000803D5">
        <w:t>ù</w:t>
      </w:r>
      <w:r w:rsidR="00754A6D" w:rsidRPr="000803D5">
        <w:t> :</w:t>
      </w:r>
    </w:p>
    <w:p w:rsidR="006C6C36" w:rsidRPr="000803D5" w:rsidRDefault="006C6C36" w:rsidP="00C128D1">
      <w:pPr>
        <w:pStyle w:val="SingleTxtG"/>
        <w:tabs>
          <w:tab w:val="left" w:pos="2982"/>
        </w:tabs>
        <w:ind w:left="3402" w:hanging="1134"/>
      </w:pPr>
      <w:r w:rsidRPr="000803D5">
        <w:t>i</w:t>
      </w:r>
      <w:r w:rsidRPr="000803D5">
        <w:tab/>
        <w:t>=</w:t>
      </w:r>
      <w:r w:rsidRPr="000803D5">
        <w:tab/>
        <w:t>indice de valeur initiale,</w:t>
      </w:r>
    </w:p>
    <w:p w:rsidR="006C6C36" w:rsidRPr="000803D5" w:rsidRDefault="006C6C36" w:rsidP="00C128D1">
      <w:pPr>
        <w:pStyle w:val="SingleTxtG"/>
        <w:tabs>
          <w:tab w:val="left" w:pos="2982"/>
        </w:tabs>
        <w:ind w:left="3402" w:hanging="1134"/>
      </w:pPr>
      <w:r w:rsidRPr="000803D5">
        <w:t>f</w:t>
      </w:r>
      <w:r w:rsidRPr="000803D5">
        <w:tab/>
        <w:t>=</w:t>
      </w:r>
      <w:r w:rsidRPr="000803D5">
        <w:tab/>
        <w:t>indice de valeur finale,</w:t>
      </w:r>
    </w:p>
    <w:p w:rsidR="006C6C36" w:rsidRPr="000803D5" w:rsidRDefault="006C6C36" w:rsidP="00C128D1">
      <w:pPr>
        <w:pStyle w:val="SingleTxtG"/>
        <w:tabs>
          <w:tab w:val="left" w:pos="2982"/>
        </w:tabs>
        <w:ind w:left="3402" w:hanging="1134"/>
      </w:pPr>
      <w:r w:rsidRPr="000803D5">
        <w:t>H/C</w:t>
      </w:r>
      <w:r w:rsidRPr="000803D5">
        <w:tab/>
        <w:t>=</w:t>
      </w:r>
      <w:r w:rsidRPr="000803D5">
        <w:tab/>
        <w:t>2,33 pour les pertes par essai diurne,</w:t>
      </w:r>
    </w:p>
    <w:p w:rsidR="006C6C36" w:rsidRPr="000803D5" w:rsidRDefault="006C6C36" w:rsidP="00C128D1">
      <w:pPr>
        <w:pStyle w:val="SingleTxtG"/>
        <w:tabs>
          <w:tab w:val="left" w:pos="2982"/>
        </w:tabs>
        <w:ind w:left="3402" w:hanging="1134"/>
      </w:pPr>
      <w:r w:rsidRPr="000803D5">
        <w:t>H/C</w:t>
      </w:r>
      <w:r w:rsidRPr="000803D5">
        <w:tab/>
        <w:t>=</w:t>
      </w:r>
      <w:r w:rsidRPr="000803D5">
        <w:tab/>
        <w:t>2,20 pour les pertes par imprégnation à chaud.</w:t>
      </w:r>
    </w:p>
    <w:p w:rsidR="006C6C36" w:rsidRPr="000803D5" w:rsidRDefault="00D043D5" w:rsidP="00D043D5">
      <w:pPr>
        <w:pStyle w:val="SingleTxtG"/>
        <w:keepNext/>
        <w:ind w:left="2268" w:hanging="1134"/>
        <w:rPr>
          <w:b/>
          <w:lang w:eastAsia="ja-JP"/>
        </w:rPr>
      </w:pPr>
      <w:r>
        <w:rPr>
          <w:b/>
          <w:lang w:eastAsia="ja-JP"/>
        </w:rPr>
        <w:lastRenderedPageBreak/>
        <w:t>6.1.2</w:t>
      </w:r>
      <w:r w:rsidR="006C6C36" w:rsidRPr="000803D5">
        <w:rPr>
          <w:b/>
          <w:lang w:eastAsia="ja-JP"/>
        </w:rPr>
        <w:tab/>
        <w:t>L’équation suivante peut être utilisée à la place de l’équation du paragraphe 6.1.1. de la présente annexe, pour une enceinte à volume variable, selon le choix du constructeur</w:t>
      </w:r>
      <w:r w:rsidR="00754A6D" w:rsidRPr="000803D5">
        <w:rPr>
          <w:b/>
          <w:lang w:eastAsia="ja-JP"/>
        </w:rPr>
        <w:t> :</w:t>
      </w:r>
    </w:p>
    <w:p w:rsidR="006C6C36" w:rsidRPr="000803D5" w:rsidRDefault="006C6C36" w:rsidP="000803D5">
      <w:pPr>
        <w:pStyle w:val="SingleTxtG"/>
        <w:ind w:left="3402" w:hanging="1134"/>
        <w:rPr>
          <w:b/>
          <w:lang w:val="pl-PL" w:eastAsia="ja-JP"/>
        </w:rPr>
      </w:pPr>
      <w:r w:rsidRPr="000803D5">
        <w:rPr>
          <w:b/>
          <w:lang w:val="pl-PL" w:eastAsia="ja-JP"/>
        </w:rPr>
        <w:t>M</w:t>
      </w:r>
      <w:r w:rsidRPr="000803D5">
        <w:rPr>
          <w:b/>
          <w:vertAlign w:val="subscript"/>
          <w:lang w:val="pl-PL" w:eastAsia="ja-JP"/>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rsidR="006C6C36" w:rsidRPr="000803D5" w:rsidRDefault="000803D5" w:rsidP="000803D5">
      <w:pPr>
        <w:pStyle w:val="SingleTxtG"/>
        <w:ind w:left="2268"/>
        <w:rPr>
          <w:b/>
          <w:lang w:eastAsia="ja-JP"/>
        </w:rPr>
      </w:pPr>
      <w:r>
        <w:rPr>
          <w:b/>
          <w:lang w:eastAsia="ja-JP"/>
        </w:rPr>
        <w:t>O</w:t>
      </w:r>
      <w:r w:rsidR="006C6C36" w:rsidRPr="000803D5">
        <w:rPr>
          <w:b/>
          <w:lang w:eastAsia="ja-JP"/>
        </w:rPr>
        <w:t>ù</w:t>
      </w:r>
      <w:r w:rsidR="00754A6D" w:rsidRPr="000803D5">
        <w:rPr>
          <w:b/>
          <w:lang w:eastAsia="ja-JP"/>
        </w:rPr>
        <w:t> :</w:t>
      </w:r>
    </w:p>
    <w:p w:rsidR="006C6C36" w:rsidRPr="000803D5" w:rsidRDefault="006C6C36" w:rsidP="00C128D1">
      <w:pPr>
        <w:pStyle w:val="SingleTxtG"/>
        <w:tabs>
          <w:tab w:val="left" w:pos="2982"/>
        </w:tabs>
        <w:ind w:left="3402" w:hanging="1134"/>
        <w:rPr>
          <w:b/>
          <w:lang w:eastAsia="ja-JP"/>
        </w:rPr>
      </w:pPr>
      <w:r w:rsidRPr="000803D5">
        <w:rPr>
          <w:b/>
          <w:lang w:eastAsia="ja-JP"/>
        </w:rPr>
        <w:t>M</w:t>
      </w:r>
      <w:r w:rsidRPr="000803D5">
        <w:rPr>
          <w:b/>
          <w:vertAlign w:val="subscript"/>
          <w:lang w:eastAsia="ja-JP"/>
        </w:rPr>
        <w:t>HC</w:t>
      </w:r>
      <w:r w:rsidRPr="000803D5">
        <w:rPr>
          <w:b/>
          <w:lang w:eastAsia="ja-JP"/>
        </w:rPr>
        <w:t xml:space="preserve"> </w:t>
      </w:r>
      <w:r w:rsidRPr="000803D5">
        <w:rPr>
          <w:b/>
          <w:lang w:eastAsia="ja-JP"/>
        </w:rPr>
        <w:tab/>
        <w:t>=</w:t>
      </w:r>
      <w:r w:rsidRPr="000803D5">
        <w:rPr>
          <w:b/>
          <w:lang w:eastAsia="ja-JP"/>
        </w:rPr>
        <w:tab/>
        <w:t>masse d’hydrocarbures (g),</w:t>
      </w:r>
    </w:p>
    <w:p w:rsidR="006C6C36" w:rsidRPr="000803D5" w:rsidRDefault="006C6C36" w:rsidP="00C128D1">
      <w:pPr>
        <w:pStyle w:val="SingleTxtG"/>
        <w:tabs>
          <w:tab w:val="left" w:pos="2982"/>
        </w:tabs>
        <w:ind w:left="3402" w:hanging="1134"/>
        <w:rPr>
          <w:b/>
          <w:lang w:eastAsia="ja-JP"/>
        </w:rPr>
      </w:pPr>
      <w:r w:rsidRPr="000803D5">
        <w:rPr>
          <w:b/>
          <w:lang w:eastAsia="ja-JP"/>
        </w:rPr>
        <w:t>C</w:t>
      </w:r>
      <w:r w:rsidRPr="000803D5">
        <w:rPr>
          <w:b/>
          <w:vertAlign w:val="subscript"/>
          <w:lang w:eastAsia="ja-JP"/>
        </w:rPr>
        <w:t>HC</w:t>
      </w:r>
      <w:r w:rsidRPr="000803D5">
        <w:rPr>
          <w:b/>
          <w:lang w:eastAsia="ja-JP"/>
        </w:rPr>
        <w:t xml:space="preserve"> </w:t>
      </w:r>
      <w:r w:rsidRPr="000803D5">
        <w:rPr>
          <w:b/>
          <w:lang w:eastAsia="ja-JP"/>
        </w:rPr>
        <w:tab/>
        <w:t>=</w:t>
      </w:r>
      <w:r w:rsidRPr="000803D5">
        <w:rPr>
          <w:b/>
          <w:lang w:eastAsia="ja-JP"/>
        </w:rPr>
        <w:tab/>
        <w:t xml:space="preserve">valeur mesurée de la concentration en hydrocarbures dans l’enceinte </w:t>
      </w:r>
      <w:r w:rsidR="00D043D5">
        <w:rPr>
          <w:b/>
          <w:lang w:eastAsia="ja-JP"/>
        </w:rPr>
        <w:t>(</w:t>
      </w:r>
      <w:r w:rsidRPr="000803D5">
        <w:rPr>
          <w:b/>
          <w:lang w:eastAsia="ja-JP"/>
        </w:rPr>
        <w:t>ppm (volume) en équivalent C</w:t>
      </w:r>
      <w:r w:rsidRPr="000803D5">
        <w:rPr>
          <w:b/>
          <w:vertAlign w:val="subscript"/>
          <w:lang w:eastAsia="ja-JP"/>
        </w:rPr>
        <w:t>1</w:t>
      </w:r>
      <w:r w:rsidR="00D043D5">
        <w:rPr>
          <w:b/>
          <w:lang w:eastAsia="ja-JP"/>
        </w:rPr>
        <w:t>)</w:t>
      </w:r>
      <w:r w:rsidRPr="000803D5">
        <w:rPr>
          <w:b/>
          <w:lang w:eastAsia="ja-JP"/>
        </w:rPr>
        <w:t>,</w:t>
      </w:r>
    </w:p>
    <w:p w:rsidR="006C6C36" w:rsidRPr="000803D5" w:rsidRDefault="006C6C36" w:rsidP="00C128D1">
      <w:pPr>
        <w:pStyle w:val="SingleTxtG"/>
        <w:tabs>
          <w:tab w:val="left" w:pos="2982"/>
        </w:tabs>
        <w:ind w:left="3402" w:hanging="1134"/>
        <w:rPr>
          <w:b/>
          <w:lang w:eastAsia="ja-JP"/>
        </w:rPr>
      </w:pPr>
      <w:r w:rsidRPr="000803D5">
        <w:rPr>
          <w:b/>
          <w:lang w:eastAsia="ja-JP"/>
        </w:rPr>
        <w:t xml:space="preserve">V </w:t>
      </w:r>
      <w:r w:rsidRPr="000803D5">
        <w:rPr>
          <w:b/>
          <w:lang w:eastAsia="ja-JP"/>
        </w:rPr>
        <w:tab/>
        <w:t>=</w:t>
      </w:r>
      <w:r w:rsidRPr="000803D5">
        <w:rPr>
          <w:b/>
          <w:lang w:eastAsia="ja-JP"/>
        </w:rPr>
        <w:tab/>
        <w:t>volume net de l’enceinte en m</w:t>
      </w:r>
      <w:r w:rsidRPr="000803D5">
        <w:rPr>
          <w:b/>
          <w:vertAlign w:val="superscript"/>
          <w:lang w:eastAsia="ja-JP"/>
        </w:rPr>
        <w:t>3</w:t>
      </w:r>
      <w:r w:rsidRPr="000803D5">
        <w:rPr>
          <w:b/>
          <w:lang w:eastAsia="ja-JP"/>
        </w:rPr>
        <w:t>, déduction faite du volume du véhicule avec les fenêtres et le coffre à bagages ouverts. Si le volume du véhicule n’est pas déterminé, on retranche un volume de 1,42 m3,</w:t>
      </w:r>
    </w:p>
    <w:p w:rsidR="006C6C36" w:rsidRPr="000803D5" w:rsidRDefault="006C6C36" w:rsidP="00C128D1">
      <w:pPr>
        <w:pStyle w:val="SingleTxtG"/>
        <w:tabs>
          <w:tab w:val="left" w:pos="2982"/>
        </w:tabs>
        <w:ind w:left="3402" w:hanging="1134"/>
        <w:rPr>
          <w:b/>
          <w:lang w:eastAsia="ja-JP"/>
        </w:rPr>
      </w:pPr>
      <w:r w:rsidRPr="000803D5">
        <w:rPr>
          <w:b/>
          <w:lang w:eastAsia="ja-JP"/>
        </w:rPr>
        <w:t>T</w:t>
      </w:r>
      <w:r w:rsidRPr="000803D5">
        <w:rPr>
          <w:b/>
          <w:vertAlign w:val="subscript"/>
          <w:lang w:eastAsia="ja-JP"/>
        </w:rPr>
        <w:t>i</w:t>
      </w:r>
      <w:r w:rsidRPr="000803D5">
        <w:rPr>
          <w:b/>
          <w:lang w:eastAsia="ja-JP"/>
        </w:rPr>
        <w:tab/>
        <w:t>=</w:t>
      </w:r>
      <w:r w:rsidRPr="000803D5">
        <w:rPr>
          <w:b/>
          <w:lang w:eastAsia="ja-JP"/>
        </w:rPr>
        <w:tab/>
        <w:t>température ambiante initiale de la chambre (K),</w:t>
      </w:r>
    </w:p>
    <w:p w:rsidR="006C6C36" w:rsidRPr="000803D5" w:rsidRDefault="006C6C36" w:rsidP="00C128D1">
      <w:pPr>
        <w:pStyle w:val="SingleTxtG"/>
        <w:tabs>
          <w:tab w:val="left" w:pos="2982"/>
        </w:tabs>
        <w:ind w:left="3402" w:hanging="1134"/>
        <w:rPr>
          <w:b/>
          <w:lang w:eastAsia="ja-JP"/>
        </w:rPr>
      </w:pPr>
      <w:r w:rsidRPr="000803D5">
        <w:rPr>
          <w:b/>
          <w:lang w:eastAsia="ja-JP"/>
        </w:rPr>
        <w:t>P</w:t>
      </w:r>
      <w:r w:rsidRPr="000803D5">
        <w:rPr>
          <w:b/>
          <w:vertAlign w:val="subscript"/>
          <w:lang w:eastAsia="ja-JP"/>
        </w:rPr>
        <w:t>i</w:t>
      </w:r>
      <w:r w:rsidRPr="000803D5">
        <w:rPr>
          <w:b/>
          <w:lang w:eastAsia="ja-JP"/>
        </w:rPr>
        <w:tab/>
        <w:t>=</w:t>
      </w:r>
      <w:r w:rsidRPr="000803D5">
        <w:rPr>
          <w:b/>
          <w:lang w:eastAsia="ja-JP"/>
        </w:rPr>
        <w:tab/>
        <w:t>pression absolue initiale dans la chambre d’essai (kPa),</w:t>
      </w:r>
    </w:p>
    <w:p w:rsidR="006C6C36" w:rsidRPr="000803D5" w:rsidRDefault="006C6C36" w:rsidP="00C128D1">
      <w:pPr>
        <w:pStyle w:val="SingleTxtG"/>
        <w:tabs>
          <w:tab w:val="left" w:pos="2982"/>
        </w:tabs>
        <w:ind w:left="3402" w:hanging="1134"/>
        <w:rPr>
          <w:b/>
        </w:rPr>
      </w:pPr>
      <w:r w:rsidRPr="000803D5">
        <w:rPr>
          <w:b/>
          <w:lang w:eastAsia="ja-JP"/>
        </w:rPr>
        <w:t xml:space="preserve">H/C </w:t>
      </w:r>
      <w:r w:rsidRPr="000803D5">
        <w:rPr>
          <w:b/>
          <w:lang w:eastAsia="ja-JP"/>
        </w:rPr>
        <w:tab/>
        <w:t>=</w:t>
      </w:r>
      <w:r w:rsidRPr="000803D5">
        <w:rPr>
          <w:b/>
          <w:lang w:eastAsia="ja-JP"/>
        </w:rPr>
        <w:tab/>
        <w:t>rapport hydrogène/carbone,</w:t>
      </w:r>
    </w:p>
    <w:p w:rsidR="006C6C36" w:rsidRPr="000803D5" w:rsidRDefault="006C6C36" w:rsidP="00C128D1">
      <w:pPr>
        <w:pStyle w:val="SingleTxtG"/>
        <w:tabs>
          <w:tab w:val="left" w:pos="2982"/>
        </w:tabs>
        <w:ind w:left="3402" w:hanging="1134"/>
        <w:rPr>
          <w:b/>
          <w:lang w:eastAsia="ja-JP"/>
        </w:rPr>
      </w:pPr>
      <w:r w:rsidRPr="000803D5">
        <w:rPr>
          <w:b/>
        </w:rPr>
        <w:t>H/C</w:t>
      </w:r>
      <w:r w:rsidRPr="000803D5">
        <w:rPr>
          <w:b/>
        </w:rPr>
        <w:tab/>
        <w:t>=</w:t>
      </w:r>
      <w:r w:rsidRPr="000803D5">
        <w:rPr>
          <w:b/>
        </w:rPr>
        <w:tab/>
        <w:t>2,33 pour les pertes par essai diurne</w:t>
      </w:r>
      <w:r w:rsidRPr="000803D5">
        <w:rPr>
          <w:b/>
          <w:lang w:eastAsia="ja-JP"/>
        </w:rPr>
        <w:t>,</w:t>
      </w:r>
      <w:r w:rsidRPr="000803D5">
        <w:rPr>
          <w:b/>
        </w:rPr>
        <w:t xml:space="preserve"> </w:t>
      </w:r>
    </w:p>
    <w:p w:rsidR="006C6C36" w:rsidRPr="000803D5" w:rsidRDefault="006C6C36" w:rsidP="00C128D1">
      <w:pPr>
        <w:pStyle w:val="SingleTxtG"/>
        <w:tabs>
          <w:tab w:val="left" w:pos="2982"/>
        </w:tabs>
        <w:ind w:left="3402" w:hanging="1134"/>
        <w:rPr>
          <w:b/>
          <w:lang w:eastAsia="ja-JP"/>
        </w:rPr>
      </w:pPr>
      <w:r w:rsidRPr="000803D5">
        <w:rPr>
          <w:b/>
          <w:lang w:eastAsia="ja-JP"/>
        </w:rPr>
        <w:t>H/C</w:t>
      </w:r>
      <w:r w:rsidRPr="000803D5">
        <w:rPr>
          <w:b/>
          <w:lang w:eastAsia="ja-JP"/>
        </w:rPr>
        <w:tab/>
        <w:t>=</w:t>
      </w:r>
      <w:r w:rsidRPr="000803D5">
        <w:rPr>
          <w:b/>
          <w:lang w:eastAsia="ja-JP"/>
        </w:rPr>
        <w:tab/>
        <w:t>2,20 pour les pertes par imprégnation à chaud,</w:t>
      </w:r>
    </w:p>
    <w:p w:rsidR="006C6C36" w:rsidRPr="000803D5" w:rsidRDefault="006C6C36" w:rsidP="00C128D1">
      <w:pPr>
        <w:pStyle w:val="SingleTxtG"/>
        <w:tabs>
          <w:tab w:val="left" w:pos="2982"/>
        </w:tabs>
        <w:ind w:left="3402" w:hanging="1134"/>
      </w:pPr>
      <w:r w:rsidRPr="000803D5">
        <w:rPr>
          <w:b/>
          <w:lang w:eastAsia="ja-JP"/>
        </w:rPr>
        <w:t xml:space="preserve">k </w:t>
      </w:r>
      <w:r w:rsidRPr="000803D5">
        <w:rPr>
          <w:b/>
          <w:lang w:eastAsia="ja-JP"/>
        </w:rPr>
        <w:tab/>
        <w:t>=</w:t>
      </w:r>
      <w:r w:rsidRPr="000803D5">
        <w:rPr>
          <w:b/>
          <w:lang w:eastAsia="ja-JP"/>
        </w:rPr>
        <w:tab/>
        <w:t>1,2 × 10</w:t>
      </w:r>
      <w:r w:rsidRPr="000803D5">
        <w:rPr>
          <w:b/>
          <w:vertAlign w:val="superscript"/>
          <w:lang w:eastAsia="ja-JP"/>
        </w:rPr>
        <w:t>-4</w:t>
      </w:r>
      <w:r w:rsidRPr="000803D5">
        <w:rPr>
          <w:b/>
          <w:lang w:eastAsia="ja-JP"/>
        </w:rPr>
        <w:t xml:space="preserve"> × (12 + H/C)</w:t>
      </w:r>
      <w:r w:rsidRPr="000803D5">
        <w:rPr>
          <w:rFonts w:hint="eastAsia"/>
          <w:b/>
          <w:lang w:eastAsia="ja-JP"/>
        </w:rPr>
        <w:t>,</w:t>
      </w:r>
      <w:r w:rsidRPr="000803D5">
        <w:rPr>
          <w:b/>
          <w:lang w:eastAsia="ja-JP"/>
        </w:rPr>
        <w:t xml:space="preserve"> en (g × K/(m³ × kPa)</w:t>
      </w:r>
      <w:r w:rsidRPr="000803D5">
        <w:rPr>
          <w:rFonts w:hint="eastAsia"/>
          <w:b/>
          <w:lang w:eastAsia="ja-JP"/>
        </w:rPr>
        <w:t>)</w:t>
      </w:r>
      <w:r w:rsidR="00754A6D" w:rsidRPr="000803D5">
        <w:rPr>
          <w:lang w:eastAsia="ja-JP"/>
        </w:rPr>
        <w:t> </w:t>
      </w:r>
      <w:r w:rsidR="00754A6D" w:rsidRPr="000803D5">
        <w:rPr>
          <w:rFonts w:hint="eastAsia"/>
          <w:lang w:eastAsia="ja-JP"/>
        </w:rPr>
        <w:t>;</w:t>
      </w:r>
      <w:r w:rsidR="00C128D1">
        <w:t> »</w:t>
      </w:r>
      <w:r w:rsidRPr="000803D5">
        <w:t>.</w:t>
      </w:r>
    </w:p>
    <w:p w:rsidR="006C6C36" w:rsidRPr="000803D5" w:rsidRDefault="006C6C36" w:rsidP="00C128D1">
      <w:pPr>
        <w:pStyle w:val="SingleTxtG"/>
        <w:keepNext/>
      </w:pPr>
      <w:r w:rsidRPr="00C128D1">
        <w:rPr>
          <w:i/>
        </w:rPr>
        <w:t>Dans l’appendice 1 de l’</w:t>
      </w:r>
      <w:r w:rsidR="00D043D5">
        <w:rPr>
          <w:i/>
        </w:rPr>
        <w:t>annexe 7, le paragraphe 2.4</w:t>
      </w:r>
      <w:r w:rsidRPr="00C128D1">
        <w:rPr>
          <w:i/>
        </w:rPr>
        <w:t xml:space="preserve"> devient un titre, le texte du paragraphe 2.4 actuel devient le paragraphe 2.4.1 et le paragraphe</w:t>
      </w:r>
      <w:r w:rsidR="00D043D5">
        <w:rPr>
          <w:i/>
        </w:rPr>
        <w:t xml:space="preserve"> 2.4.2</w:t>
      </w:r>
      <w:r w:rsidRPr="00C128D1">
        <w:rPr>
          <w:i/>
        </w:rPr>
        <w:t xml:space="preserve"> est ajouté</w:t>
      </w:r>
      <w:r w:rsidRPr="000803D5">
        <w:t>, comme suit</w:t>
      </w:r>
      <w:r w:rsidR="00754A6D" w:rsidRPr="000803D5">
        <w:t> :</w:t>
      </w:r>
    </w:p>
    <w:p w:rsidR="006C6C36" w:rsidRPr="000803D5" w:rsidRDefault="00B30433" w:rsidP="000803D5">
      <w:pPr>
        <w:pStyle w:val="SingleTxtG"/>
        <w:keepNext/>
        <w:ind w:left="2268" w:hanging="1134"/>
        <w:jc w:val="left"/>
        <w:rPr>
          <w:b/>
        </w:rPr>
      </w:pPr>
      <w:r>
        <w:t>« </w:t>
      </w:r>
      <w:r w:rsidR="006C6C36" w:rsidRPr="000803D5">
        <w:t xml:space="preserve">2.4 </w:t>
      </w:r>
      <w:r w:rsidR="006C6C36" w:rsidRPr="000803D5">
        <w:tab/>
      </w:r>
      <w:r w:rsidR="006C6C36" w:rsidRPr="000803D5">
        <w:rPr>
          <w:b/>
        </w:rPr>
        <w:t>Calcul des résultats des essais d’émission par évaporation</w:t>
      </w:r>
    </w:p>
    <w:p w:rsidR="006C6C36" w:rsidRPr="000803D5" w:rsidRDefault="006C6C36" w:rsidP="003B23CB">
      <w:pPr>
        <w:pStyle w:val="SingleTxtG"/>
        <w:ind w:left="2268" w:hanging="1134"/>
      </w:pPr>
      <w:r w:rsidRPr="000803D5">
        <w:rPr>
          <w:b/>
        </w:rPr>
        <w:t>2.4.1</w:t>
      </w:r>
      <w:r w:rsidRPr="000803D5">
        <w:tab/>
        <w:t>Le calcul de la valeur nette de la variation de la masse d’hydrocarbures contenue dans l’enceinte sert à déterminer le taux résiduel en hydrocarbures de l’enceinte et son taux de fuite. Les valeurs initiales et finales de la concentration d’hydrocarbures, de la température et de la pression barométrique sont utilisées dans la formule ci-après pour calculer la variation de la masse.</w:t>
      </w:r>
    </w:p>
    <w:p w:rsidR="006C6C36" w:rsidRPr="00B30433" w:rsidRDefault="00064C1E" w:rsidP="00B30433">
      <w:pPr>
        <w:pStyle w:val="SingleTxtG"/>
        <w:tabs>
          <w:tab w:val="left" w:pos="2982"/>
        </w:tabs>
        <w:ind w:left="2268" w:hanging="1134"/>
        <w:rPr>
          <w:lang w:val="en-GB"/>
        </w:rPr>
      </w:pPr>
      <m:oMathPara>
        <m:oMathParaPr>
          <m:jc m:val="left"/>
        </m:oMathParaPr>
        <m:oMath>
          <m:sSub>
            <m:sSubPr>
              <m:ctrlPr>
                <w:rPr>
                  <w:rFonts w:ascii="Cambria Math" w:hAnsi="Cambria Math"/>
                  <w:lang w:val="en-GB"/>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lang w:val="en-GB"/>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lang w:val="en-GB"/>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lang w:val="en-GB"/>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M</m:t>
              </m:r>
            </m:e>
            <m:sub>
              <m:r>
                <m:rPr>
                  <m:sty m:val="p"/>
                </m:rPr>
                <w:rPr>
                  <w:rFonts w:ascii="Cambria Math" w:hAnsi="Cambria Math"/>
                </w:rPr>
                <m:t>HC,i</m:t>
              </m:r>
            </m:sub>
          </m:sSub>
        </m:oMath>
      </m:oMathPara>
    </w:p>
    <w:p w:rsidR="006C6C36" w:rsidRPr="000803D5" w:rsidRDefault="00ED5FF4" w:rsidP="003B23CB">
      <w:pPr>
        <w:pStyle w:val="SingleTxtG"/>
        <w:tabs>
          <w:tab w:val="left" w:pos="2982"/>
        </w:tabs>
        <w:ind w:left="3402" w:hanging="1134"/>
      </w:pPr>
      <w:r>
        <w:t>O</w:t>
      </w:r>
      <w:r w:rsidR="006C6C36" w:rsidRPr="000803D5">
        <w:t>ù</w:t>
      </w:r>
      <w:r w:rsidR="00754A6D" w:rsidRPr="000803D5">
        <w:t> :</w:t>
      </w:r>
    </w:p>
    <w:p w:rsidR="006C6C36" w:rsidRPr="000803D5" w:rsidRDefault="006C6C36" w:rsidP="003B23CB">
      <w:pPr>
        <w:pStyle w:val="SingleTxtG"/>
        <w:tabs>
          <w:tab w:val="left" w:pos="2982"/>
        </w:tabs>
        <w:ind w:left="3402" w:hanging="1134"/>
      </w:pPr>
      <w:r w:rsidRPr="000803D5">
        <w:t>M</w:t>
      </w:r>
      <w:r w:rsidRPr="000803D5">
        <w:rPr>
          <w:vertAlign w:val="subscript"/>
        </w:rPr>
        <w:t>HC</w:t>
      </w:r>
      <w:r w:rsidRPr="000803D5">
        <w:tab/>
        <w:t>=</w:t>
      </w:r>
      <w:r w:rsidRPr="000803D5">
        <w:tab/>
        <w:t>masse d’hydrocarbures (g),</w:t>
      </w:r>
    </w:p>
    <w:p w:rsidR="006C6C36" w:rsidRPr="000803D5" w:rsidRDefault="006C6C36" w:rsidP="003B23CB">
      <w:pPr>
        <w:pStyle w:val="SingleTxtG"/>
        <w:tabs>
          <w:tab w:val="left" w:pos="2982"/>
        </w:tabs>
        <w:ind w:left="3402" w:hanging="1134"/>
      </w:pPr>
      <w:proofErr w:type="spellStart"/>
      <w:r w:rsidRPr="000803D5">
        <w:t>M</w:t>
      </w:r>
      <w:r w:rsidRPr="000803D5">
        <w:rPr>
          <w:vertAlign w:val="subscript"/>
        </w:rPr>
        <w:t>HC,out</w:t>
      </w:r>
      <w:proofErr w:type="spellEnd"/>
      <w:r w:rsidRPr="000803D5">
        <w:tab/>
        <w:t>=</w:t>
      </w:r>
      <w:r w:rsidRPr="000803D5">
        <w:tab/>
        <w:t>masse des hydrocarbures quittant l’enceinte, lorsqu’une enceinte à volume fixe est utilisée pour les essais d’émissions diurnes (g),</w:t>
      </w:r>
    </w:p>
    <w:p w:rsidR="006C6C36" w:rsidRPr="000803D5" w:rsidRDefault="006C6C36" w:rsidP="003B23CB">
      <w:pPr>
        <w:pStyle w:val="SingleTxtG"/>
        <w:tabs>
          <w:tab w:val="left" w:pos="2982"/>
        </w:tabs>
        <w:ind w:left="3402" w:hanging="1134"/>
      </w:pPr>
      <w:proofErr w:type="spellStart"/>
      <w:r w:rsidRPr="000803D5">
        <w:t>M</w:t>
      </w:r>
      <w:r w:rsidRPr="000803D5">
        <w:rPr>
          <w:vertAlign w:val="subscript"/>
        </w:rPr>
        <w:t>HC,i</w:t>
      </w:r>
      <w:proofErr w:type="spellEnd"/>
      <w:r w:rsidRPr="000803D5">
        <w:tab/>
        <w:t>=</w:t>
      </w:r>
      <w:r w:rsidRPr="000803D5">
        <w:tab/>
        <w:t>masse des hydrocarbures entrant dans l’enceinte, lorsqu’une enceinte à volume fixe est utilisée pour les essais d’émissions diurnes (g),</w:t>
      </w:r>
    </w:p>
    <w:p w:rsidR="006C6C36" w:rsidRPr="000803D5" w:rsidRDefault="006C6C36" w:rsidP="003B23CB">
      <w:pPr>
        <w:pStyle w:val="SingleTxtG"/>
        <w:tabs>
          <w:tab w:val="left" w:pos="2982"/>
        </w:tabs>
        <w:ind w:left="3402" w:hanging="1134"/>
      </w:pPr>
      <w:r w:rsidRPr="000803D5">
        <w:t>C</w:t>
      </w:r>
      <w:r w:rsidRPr="000803D5">
        <w:rPr>
          <w:vertAlign w:val="subscript"/>
        </w:rPr>
        <w:t>HC</w:t>
      </w:r>
      <w:r w:rsidRPr="000803D5">
        <w:tab/>
        <w:t>=</w:t>
      </w:r>
      <w:r w:rsidRPr="000803D5">
        <w:tab/>
        <w:t>concentration d’hydrocarbures dans l’enceinte, en équivalent-carbone (</w:t>
      </w:r>
      <w:r w:rsidR="0041395D" w:rsidRPr="0041395D">
        <w:rPr>
          <w:i/>
        </w:rPr>
        <w:t>n</w:t>
      </w:r>
      <w:r w:rsidRPr="0041395D">
        <w:rPr>
          <w:i/>
        </w:rPr>
        <w:t>ote</w:t>
      </w:r>
      <w:r w:rsidR="00754A6D" w:rsidRPr="000803D5">
        <w:t> :</w:t>
      </w:r>
      <w:r w:rsidRPr="000803D5">
        <w:t xml:space="preserve"> ppm carbone = ppm propane x 3),</w:t>
      </w:r>
    </w:p>
    <w:p w:rsidR="006C6C36" w:rsidRPr="000803D5" w:rsidRDefault="006C6C36" w:rsidP="003B23CB">
      <w:pPr>
        <w:pStyle w:val="SingleTxtG"/>
        <w:tabs>
          <w:tab w:val="left" w:pos="2982"/>
        </w:tabs>
        <w:ind w:left="3402" w:hanging="1134"/>
      </w:pPr>
      <w:r w:rsidRPr="000803D5">
        <w:t>V</w:t>
      </w:r>
      <w:r w:rsidRPr="000803D5">
        <w:tab/>
        <w:t>=</w:t>
      </w:r>
      <w:r w:rsidRPr="000803D5">
        <w:tab/>
        <w:t>volume de l’enceinte en m</w:t>
      </w:r>
      <w:r w:rsidRPr="000803D5">
        <w:rPr>
          <w:vertAlign w:val="superscript"/>
        </w:rPr>
        <w:t>3</w:t>
      </w:r>
      <w:r w:rsidRPr="000803D5">
        <w:t>,</w:t>
      </w:r>
    </w:p>
    <w:p w:rsidR="006C6C36" w:rsidRPr="000803D5" w:rsidRDefault="006C6C36" w:rsidP="003B23CB">
      <w:pPr>
        <w:pStyle w:val="SingleTxtG"/>
        <w:tabs>
          <w:tab w:val="left" w:pos="2982"/>
        </w:tabs>
        <w:ind w:left="3402" w:hanging="1134"/>
      </w:pPr>
      <w:r w:rsidRPr="000803D5">
        <w:t>T</w:t>
      </w:r>
      <w:r w:rsidRPr="000803D5">
        <w:tab/>
        <w:t>=</w:t>
      </w:r>
      <w:r w:rsidRPr="000803D5">
        <w:tab/>
        <w:t>température ambiante dans l’enceinte (K),</w:t>
      </w:r>
    </w:p>
    <w:p w:rsidR="006C6C36" w:rsidRPr="000803D5" w:rsidRDefault="006C6C36" w:rsidP="003B23CB">
      <w:pPr>
        <w:pStyle w:val="SingleTxtG"/>
        <w:tabs>
          <w:tab w:val="left" w:pos="2982"/>
        </w:tabs>
        <w:ind w:left="3402" w:hanging="1134"/>
      </w:pPr>
      <w:r w:rsidRPr="000803D5">
        <w:t>P</w:t>
      </w:r>
      <w:r w:rsidRPr="000803D5">
        <w:tab/>
        <w:t>=</w:t>
      </w:r>
      <w:r w:rsidRPr="000803D5">
        <w:tab/>
        <w:t>pression barométrique (kPa),</w:t>
      </w:r>
    </w:p>
    <w:p w:rsidR="006C6C36" w:rsidRPr="000803D5" w:rsidRDefault="006C6C36" w:rsidP="003B23CB">
      <w:pPr>
        <w:pStyle w:val="SingleTxtG"/>
        <w:tabs>
          <w:tab w:val="left" w:pos="2982"/>
        </w:tabs>
        <w:ind w:left="3402" w:hanging="1134"/>
      </w:pPr>
      <w:r w:rsidRPr="000803D5">
        <w:t>K</w:t>
      </w:r>
      <w:r w:rsidRPr="000803D5">
        <w:tab/>
        <w:t>=</w:t>
      </w:r>
      <w:r w:rsidRPr="000803D5">
        <w:tab/>
        <w:t>17,6,</w:t>
      </w:r>
    </w:p>
    <w:p w:rsidR="006C6C36" w:rsidRPr="000803D5" w:rsidRDefault="00ED5FF4" w:rsidP="00ED5FF4">
      <w:pPr>
        <w:pStyle w:val="SingleTxtG"/>
        <w:keepNext/>
        <w:tabs>
          <w:tab w:val="left" w:pos="2982"/>
        </w:tabs>
        <w:ind w:left="3402" w:hanging="1134"/>
      </w:pPr>
      <w:r>
        <w:lastRenderedPageBreak/>
        <w:t>O</w:t>
      </w:r>
      <w:r w:rsidR="006C6C36" w:rsidRPr="000803D5">
        <w:t>ù</w:t>
      </w:r>
      <w:r w:rsidR="00754A6D" w:rsidRPr="000803D5">
        <w:t> :</w:t>
      </w:r>
    </w:p>
    <w:p w:rsidR="006C6C36" w:rsidRPr="000803D5" w:rsidRDefault="006C6C36" w:rsidP="003B23CB">
      <w:pPr>
        <w:pStyle w:val="SingleTxtG"/>
        <w:tabs>
          <w:tab w:val="left" w:pos="2982"/>
        </w:tabs>
        <w:ind w:left="3402" w:hanging="1134"/>
      </w:pPr>
      <w:r w:rsidRPr="000803D5">
        <w:t>i</w:t>
      </w:r>
      <w:r w:rsidRPr="000803D5">
        <w:tab/>
        <w:t>est un indice de valeur initiale,</w:t>
      </w:r>
    </w:p>
    <w:p w:rsidR="006C6C36" w:rsidRPr="000803D5" w:rsidRDefault="006C6C36" w:rsidP="003B23CB">
      <w:pPr>
        <w:pStyle w:val="SingleTxtG"/>
        <w:tabs>
          <w:tab w:val="left" w:pos="2982"/>
        </w:tabs>
        <w:ind w:left="3402" w:hanging="1134"/>
      </w:pPr>
      <w:r w:rsidRPr="000803D5">
        <w:t>f</w:t>
      </w:r>
      <w:r w:rsidRPr="000803D5">
        <w:tab/>
        <w:t>est un indice de valeur finale.</w:t>
      </w:r>
    </w:p>
    <w:p w:rsidR="006C6C36" w:rsidRPr="000803D5" w:rsidRDefault="0041395D" w:rsidP="007C5A9C">
      <w:pPr>
        <w:pStyle w:val="SingleTxtG"/>
        <w:keepNext/>
        <w:ind w:left="2268" w:hanging="1134"/>
        <w:rPr>
          <w:b/>
          <w:lang w:eastAsia="ja-JP"/>
        </w:rPr>
      </w:pPr>
      <w:r>
        <w:rPr>
          <w:b/>
          <w:lang w:eastAsia="ja-JP"/>
        </w:rPr>
        <w:t>2.4.2</w:t>
      </w:r>
      <w:r w:rsidR="006C6C36" w:rsidRPr="000803D5">
        <w:rPr>
          <w:b/>
          <w:lang w:eastAsia="ja-JP"/>
        </w:rPr>
        <w:tab/>
        <w:t>L’équation suivante peut être utilisée à la place de l’</w:t>
      </w:r>
      <w:r>
        <w:rPr>
          <w:b/>
          <w:lang w:eastAsia="ja-JP"/>
        </w:rPr>
        <w:t>équation du paragraphe </w:t>
      </w:r>
      <w:r w:rsidR="006C6C36" w:rsidRPr="000803D5">
        <w:rPr>
          <w:b/>
          <w:lang w:eastAsia="ja-JP"/>
        </w:rPr>
        <w:t>2.4</w:t>
      </w:r>
      <w:r>
        <w:rPr>
          <w:b/>
          <w:lang w:eastAsia="ja-JP"/>
        </w:rPr>
        <w:t>.1</w:t>
      </w:r>
      <w:r w:rsidR="006C6C36" w:rsidRPr="000803D5">
        <w:rPr>
          <w:b/>
          <w:lang w:eastAsia="ja-JP"/>
        </w:rPr>
        <w:t xml:space="preserve"> de la présente annexe, pour une enceinte à volume variable, selon le choix du constructeur</w:t>
      </w:r>
      <w:r w:rsidR="00754A6D" w:rsidRPr="000803D5">
        <w:rPr>
          <w:b/>
          <w:lang w:eastAsia="ja-JP"/>
        </w:rPr>
        <w:t> :</w:t>
      </w:r>
    </w:p>
    <w:p w:rsidR="006C6C36" w:rsidRPr="000803D5" w:rsidRDefault="006C6C36" w:rsidP="003B23CB">
      <w:pPr>
        <w:pStyle w:val="SingleTxtG"/>
        <w:tabs>
          <w:tab w:val="left" w:pos="2982"/>
        </w:tabs>
        <w:ind w:left="3402" w:hanging="1134"/>
        <w:rPr>
          <w:b/>
          <w:lang w:val="pl-PL" w:eastAsia="ja-JP"/>
        </w:rPr>
      </w:pPr>
      <w:r w:rsidRPr="000803D5">
        <w:rPr>
          <w:b/>
          <w:lang w:val="pl-PL" w:eastAsia="ja-JP"/>
        </w:rPr>
        <w:t>M</w:t>
      </w:r>
      <w:r w:rsidRPr="000803D5">
        <w:rPr>
          <w:b/>
          <w:vertAlign w:val="subscript"/>
          <w:lang w:val="pl-PL" w:eastAsia="ja-JP"/>
        </w:rPr>
        <w:t>HC</w:t>
      </w:r>
      <m:oMath>
        <m:r>
          <m:rPr>
            <m:sty m:val="bi"/>
          </m:rPr>
          <w:rPr>
            <w:rFonts w:ascii="Cambria Math" w:hAnsi="Cambria Math"/>
            <w:vertAlign w:val="subscript"/>
            <w:lang w:val="pl-PL" w:eastAsia="ja-JP"/>
          </w:rPr>
          <m:t xml:space="preserve"> </m:t>
        </m:r>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rsidR="006C6C36" w:rsidRPr="000803D5" w:rsidRDefault="006C6C36" w:rsidP="007C5A9C">
      <w:pPr>
        <w:pStyle w:val="SingleTxtG"/>
        <w:keepNext/>
        <w:tabs>
          <w:tab w:val="left" w:pos="2982"/>
        </w:tabs>
        <w:ind w:left="3402" w:hanging="1134"/>
        <w:rPr>
          <w:b/>
          <w:lang w:eastAsia="ja-JP"/>
        </w:rPr>
      </w:pPr>
      <w:r w:rsidRPr="000803D5">
        <w:rPr>
          <w:b/>
          <w:lang w:eastAsia="ja-JP"/>
        </w:rPr>
        <w:t>où</w:t>
      </w:r>
      <w:r w:rsidR="00754A6D" w:rsidRPr="000803D5">
        <w:rPr>
          <w:b/>
          <w:lang w:eastAsia="ja-JP"/>
        </w:rPr>
        <w:t> :</w:t>
      </w:r>
    </w:p>
    <w:p w:rsidR="006C6C36" w:rsidRPr="000803D5" w:rsidRDefault="006C6C36" w:rsidP="003B23CB">
      <w:pPr>
        <w:pStyle w:val="SingleTxtG"/>
        <w:tabs>
          <w:tab w:val="left" w:pos="2982"/>
        </w:tabs>
        <w:ind w:left="3402" w:hanging="1134"/>
        <w:rPr>
          <w:b/>
          <w:lang w:eastAsia="ja-JP"/>
        </w:rPr>
      </w:pPr>
      <w:r w:rsidRPr="000803D5">
        <w:rPr>
          <w:b/>
          <w:lang w:eastAsia="ja-JP"/>
        </w:rPr>
        <w:t>M</w:t>
      </w:r>
      <w:r w:rsidRPr="000803D5">
        <w:rPr>
          <w:b/>
          <w:vertAlign w:val="subscript"/>
          <w:lang w:eastAsia="ja-JP"/>
        </w:rPr>
        <w:t>HC</w:t>
      </w:r>
      <w:r w:rsidRPr="000803D5">
        <w:rPr>
          <w:b/>
          <w:lang w:eastAsia="ja-JP"/>
        </w:rPr>
        <w:t xml:space="preserve"> </w:t>
      </w:r>
      <w:r w:rsidRPr="000803D5">
        <w:rPr>
          <w:b/>
          <w:lang w:eastAsia="ja-JP"/>
        </w:rPr>
        <w:tab/>
        <w:t>=</w:t>
      </w:r>
      <w:r w:rsidRPr="000803D5">
        <w:rPr>
          <w:b/>
          <w:lang w:eastAsia="ja-JP"/>
        </w:rPr>
        <w:tab/>
        <w:t>masse d’hydrocarbures (g),</w:t>
      </w:r>
    </w:p>
    <w:p w:rsidR="006C6C36" w:rsidRPr="000803D5" w:rsidRDefault="006C6C36" w:rsidP="003B23CB">
      <w:pPr>
        <w:pStyle w:val="SingleTxtG"/>
        <w:tabs>
          <w:tab w:val="left" w:pos="2982"/>
        </w:tabs>
        <w:ind w:left="3402" w:hanging="1134"/>
        <w:rPr>
          <w:b/>
          <w:lang w:eastAsia="ja-JP"/>
        </w:rPr>
      </w:pPr>
      <w:r w:rsidRPr="000803D5">
        <w:rPr>
          <w:b/>
          <w:lang w:eastAsia="ja-JP"/>
        </w:rPr>
        <w:t>C</w:t>
      </w:r>
      <w:r w:rsidRPr="000803D5">
        <w:rPr>
          <w:b/>
          <w:vertAlign w:val="subscript"/>
          <w:lang w:eastAsia="ja-JP"/>
        </w:rPr>
        <w:t>HC</w:t>
      </w:r>
      <w:r w:rsidRPr="000803D5">
        <w:rPr>
          <w:b/>
          <w:lang w:eastAsia="ja-JP"/>
        </w:rPr>
        <w:t xml:space="preserve"> </w:t>
      </w:r>
      <w:r w:rsidRPr="000803D5">
        <w:rPr>
          <w:b/>
          <w:lang w:eastAsia="ja-JP"/>
        </w:rPr>
        <w:tab/>
        <w:t>=</w:t>
      </w:r>
      <w:r w:rsidRPr="000803D5">
        <w:rPr>
          <w:b/>
          <w:lang w:eastAsia="ja-JP"/>
        </w:rPr>
        <w:tab/>
        <w:t xml:space="preserve">valeur mesurée de la concentration en hydrocarbures dans l’enceinte </w:t>
      </w:r>
      <w:r w:rsidR="0041395D">
        <w:rPr>
          <w:b/>
          <w:lang w:eastAsia="ja-JP"/>
        </w:rPr>
        <w:t>(</w:t>
      </w:r>
      <w:r w:rsidRPr="000803D5">
        <w:rPr>
          <w:b/>
          <w:lang w:eastAsia="ja-JP"/>
        </w:rPr>
        <w:t>ppm (volume) en équivalent C</w:t>
      </w:r>
      <w:r w:rsidRPr="000803D5">
        <w:rPr>
          <w:b/>
          <w:vertAlign w:val="subscript"/>
          <w:lang w:eastAsia="ja-JP"/>
        </w:rPr>
        <w:t>1</w:t>
      </w:r>
      <w:r w:rsidR="0041395D" w:rsidRPr="0041395D">
        <w:rPr>
          <w:b/>
          <w:lang w:eastAsia="ja-JP"/>
        </w:rPr>
        <w:t>)</w:t>
      </w:r>
      <w:r w:rsidRPr="000803D5">
        <w:rPr>
          <w:b/>
          <w:lang w:eastAsia="ja-JP"/>
        </w:rPr>
        <w:t>,</w:t>
      </w:r>
    </w:p>
    <w:p w:rsidR="006C6C36" w:rsidRPr="000803D5" w:rsidRDefault="006C6C36" w:rsidP="003B23CB">
      <w:pPr>
        <w:pStyle w:val="SingleTxtG"/>
        <w:tabs>
          <w:tab w:val="left" w:pos="2982"/>
        </w:tabs>
        <w:ind w:left="3402" w:hanging="1134"/>
        <w:rPr>
          <w:b/>
          <w:lang w:eastAsia="ja-JP"/>
        </w:rPr>
      </w:pPr>
      <w:r w:rsidRPr="000803D5">
        <w:rPr>
          <w:b/>
          <w:lang w:eastAsia="ja-JP"/>
        </w:rPr>
        <w:t xml:space="preserve">V </w:t>
      </w:r>
      <w:r w:rsidRPr="000803D5">
        <w:rPr>
          <w:b/>
          <w:lang w:eastAsia="ja-JP"/>
        </w:rPr>
        <w:tab/>
        <w:t>=</w:t>
      </w:r>
      <w:r w:rsidRPr="000803D5">
        <w:rPr>
          <w:b/>
          <w:lang w:eastAsia="ja-JP"/>
        </w:rPr>
        <w:tab/>
        <w:t>volume net de l’enceinte en m</w:t>
      </w:r>
      <w:r w:rsidRPr="000803D5">
        <w:rPr>
          <w:b/>
          <w:vertAlign w:val="superscript"/>
          <w:lang w:eastAsia="ja-JP"/>
        </w:rPr>
        <w:t>3</w:t>
      </w:r>
      <w:r w:rsidR="00754A6D" w:rsidRPr="000803D5">
        <w:rPr>
          <w:b/>
          <w:lang w:eastAsia="ja-JP"/>
        </w:rPr>
        <w:t> ;</w:t>
      </w:r>
    </w:p>
    <w:p w:rsidR="006C6C36" w:rsidRPr="000803D5" w:rsidRDefault="006C6C36" w:rsidP="003B23CB">
      <w:pPr>
        <w:pStyle w:val="SingleTxtG"/>
        <w:tabs>
          <w:tab w:val="left" w:pos="2982"/>
        </w:tabs>
        <w:ind w:left="3402" w:hanging="1134"/>
        <w:rPr>
          <w:b/>
          <w:lang w:eastAsia="ja-JP"/>
        </w:rPr>
      </w:pPr>
      <w:r w:rsidRPr="000803D5">
        <w:rPr>
          <w:b/>
          <w:lang w:eastAsia="ja-JP"/>
        </w:rPr>
        <w:t>T</w:t>
      </w:r>
      <w:r w:rsidRPr="000803D5">
        <w:rPr>
          <w:b/>
          <w:vertAlign w:val="subscript"/>
          <w:lang w:eastAsia="ja-JP"/>
        </w:rPr>
        <w:t>i</w:t>
      </w:r>
      <w:r w:rsidRPr="000803D5">
        <w:rPr>
          <w:b/>
          <w:lang w:eastAsia="ja-JP"/>
        </w:rPr>
        <w:tab/>
        <w:t>=</w:t>
      </w:r>
      <w:r w:rsidRPr="000803D5">
        <w:rPr>
          <w:b/>
          <w:lang w:eastAsia="ja-JP"/>
        </w:rPr>
        <w:tab/>
        <w:t>température ambiante initiale de la chambre (K),</w:t>
      </w:r>
    </w:p>
    <w:p w:rsidR="006C6C36" w:rsidRPr="000803D5" w:rsidRDefault="006C6C36" w:rsidP="003B23CB">
      <w:pPr>
        <w:pStyle w:val="SingleTxtG"/>
        <w:tabs>
          <w:tab w:val="left" w:pos="2982"/>
        </w:tabs>
        <w:ind w:left="3402" w:hanging="1134"/>
        <w:rPr>
          <w:b/>
          <w:lang w:eastAsia="ja-JP"/>
        </w:rPr>
      </w:pPr>
      <w:r w:rsidRPr="000803D5">
        <w:rPr>
          <w:b/>
          <w:lang w:eastAsia="ja-JP"/>
        </w:rPr>
        <w:t>P</w:t>
      </w:r>
      <w:r w:rsidRPr="000803D5">
        <w:rPr>
          <w:b/>
          <w:vertAlign w:val="subscript"/>
          <w:lang w:eastAsia="ja-JP"/>
        </w:rPr>
        <w:t>i</w:t>
      </w:r>
      <w:r w:rsidRPr="000803D5">
        <w:rPr>
          <w:b/>
          <w:lang w:eastAsia="ja-JP"/>
        </w:rPr>
        <w:tab/>
        <w:t>=</w:t>
      </w:r>
      <w:r w:rsidRPr="000803D5">
        <w:rPr>
          <w:b/>
          <w:lang w:eastAsia="ja-JP"/>
        </w:rPr>
        <w:tab/>
        <w:t>pression absolue initiale dans la chambre d’essai (kPa),</w:t>
      </w:r>
    </w:p>
    <w:p w:rsidR="006C6C36" w:rsidRPr="000803D5" w:rsidRDefault="006C6C36" w:rsidP="003B23CB">
      <w:pPr>
        <w:pStyle w:val="SingleTxtG"/>
        <w:tabs>
          <w:tab w:val="left" w:pos="2982"/>
        </w:tabs>
        <w:ind w:left="3402" w:hanging="1134"/>
      </w:pPr>
      <w:r w:rsidRPr="000803D5">
        <w:rPr>
          <w:b/>
          <w:lang w:eastAsia="ja-JP"/>
        </w:rPr>
        <w:t xml:space="preserve">k </w:t>
      </w:r>
      <w:r w:rsidRPr="000803D5">
        <w:rPr>
          <w:b/>
          <w:lang w:eastAsia="ja-JP"/>
        </w:rPr>
        <w:tab/>
        <w:t>=</w:t>
      </w:r>
      <w:r w:rsidRPr="000803D5">
        <w:rPr>
          <w:b/>
          <w:lang w:eastAsia="ja-JP"/>
        </w:rPr>
        <w:tab/>
        <w:t>17,6</w:t>
      </w:r>
      <w:r w:rsidR="0041395D">
        <w:rPr>
          <w:b/>
          <w:lang w:eastAsia="ja-JP"/>
        </w:rPr>
        <w:t>.</w:t>
      </w:r>
      <w:r w:rsidR="00A55B19">
        <w:t> »</w:t>
      </w:r>
      <w:r w:rsidRPr="000803D5">
        <w:t>.</w:t>
      </w:r>
    </w:p>
    <w:p w:rsidR="006C6C36" w:rsidRPr="000803D5" w:rsidRDefault="00A55B19" w:rsidP="00A55B19">
      <w:pPr>
        <w:pStyle w:val="HChG"/>
      </w:pPr>
      <w:r>
        <w:tab/>
      </w:r>
      <w:r w:rsidR="006C6C36" w:rsidRPr="000803D5">
        <w:t>II.</w:t>
      </w:r>
      <w:r w:rsidR="006C6C36" w:rsidRPr="000803D5">
        <w:tab/>
        <w:t>Justification</w:t>
      </w:r>
    </w:p>
    <w:p w:rsidR="006C6C36" w:rsidRPr="000803D5" w:rsidRDefault="006C6C36" w:rsidP="00A55B19">
      <w:pPr>
        <w:pStyle w:val="SingleTxtG"/>
      </w:pPr>
      <w:r w:rsidRPr="000803D5">
        <w:t>1.</w:t>
      </w:r>
      <w:r w:rsidRPr="000803D5">
        <w:tab/>
        <w:t>Les notes de bas de page du tableau des prescriptions d’essai et du tableau des limites d’émission sont responsables d’un manque de souplesse dans la reconnaissance de certains des niveaux d’homologation dans la série d’amendements 07.</w:t>
      </w:r>
    </w:p>
    <w:p w:rsidR="006C6C36" w:rsidRPr="000803D5" w:rsidRDefault="006C6C36" w:rsidP="00A55B19">
      <w:pPr>
        <w:pStyle w:val="SingleTxtG"/>
      </w:pPr>
      <w:r w:rsidRPr="000803D5">
        <w:t>2.</w:t>
      </w:r>
      <w:r w:rsidRPr="000803D5">
        <w:tab/>
        <w:t xml:space="preserve">Ces notes de bas de page ont été introduites à juste titre pour que l’UE n’ait pas à accepter l’homologation de véhicules non conformes à la réglementation locale.  </w:t>
      </w:r>
    </w:p>
    <w:p w:rsidR="006C6C36" w:rsidRPr="000803D5" w:rsidRDefault="006C6C36" w:rsidP="00A55B19">
      <w:pPr>
        <w:pStyle w:val="SingleTxtG"/>
        <w:keepNext/>
      </w:pPr>
      <w:r w:rsidRPr="000803D5">
        <w:t>3.</w:t>
      </w:r>
      <w:r w:rsidRPr="000803D5">
        <w:tab/>
        <w:t>Cependant</w:t>
      </w:r>
      <w:r w:rsidR="00754A6D" w:rsidRPr="000803D5">
        <w:t> :</w:t>
      </w:r>
    </w:p>
    <w:p w:rsidR="00A55B19" w:rsidRDefault="006C6C36" w:rsidP="00A55B19">
      <w:pPr>
        <w:pStyle w:val="SingleTxtG"/>
        <w:ind w:firstLine="567"/>
      </w:pPr>
      <w:r w:rsidRPr="000803D5">
        <w:t>a)</w:t>
      </w:r>
      <w:r w:rsidRPr="000803D5">
        <w:tab/>
        <w:t>L’UE n’est pas soumise actuellement à la reconnaissance mutuelle au titre du Règlement ONU n</w:t>
      </w:r>
      <w:r w:rsidRPr="000803D5">
        <w:rPr>
          <w:vertAlign w:val="superscript"/>
        </w:rPr>
        <w:t>o</w:t>
      </w:r>
      <w:r w:rsidR="00A55B19">
        <w:t> </w:t>
      </w:r>
      <w:r w:rsidRPr="000803D5">
        <w:t xml:space="preserve">83 en raison des dispositions transitoires de la procédure d’essai mondiale harmonisée pour les voitures particulières et véhicules utilitaires légers </w:t>
      </w:r>
      <w:r w:rsidR="00A55B19">
        <w:t>(WLTP) ;</w:t>
      </w:r>
    </w:p>
    <w:p w:rsidR="006C6C36" w:rsidRPr="000803D5" w:rsidRDefault="006C6C36" w:rsidP="00A55B19">
      <w:pPr>
        <w:pStyle w:val="SingleTxtG"/>
        <w:ind w:firstLine="567"/>
      </w:pPr>
      <w:r w:rsidRPr="000803D5">
        <w:t>b)</w:t>
      </w:r>
      <w:r w:rsidRPr="000803D5">
        <w:tab/>
        <w:t xml:space="preserve">S’il est adopté par le Groupe de travail de la pollution et de l’énergie (GRPE) à sa </w:t>
      </w:r>
      <w:r w:rsidR="0041395D">
        <w:t>soixante-dix-huitième</w:t>
      </w:r>
      <w:r w:rsidRPr="000803D5">
        <w:t xml:space="preserve"> session, le présent document sera examiné par le WP.29 en juin 2019 et les dispositions n’entreront pas en vigueur avant le 1</w:t>
      </w:r>
      <w:r w:rsidRPr="000803D5">
        <w:rPr>
          <w:vertAlign w:val="superscript"/>
        </w:rPr>
        <w:t>er</w:t>
      </w:r>
      <w:r w:rsidR="00A55B19">
        <w:t> </w:t>
      </w:r>
      <w:r w:rsidRPr="000803D5">
        <w:t>septembre 2019, date après laquelle les codes d’homologation faisant l’objet de modifications ne seront plus valables pour la première immatriculation d’un véhicule dans l’UE.</w:t>
      </w:r>
    </w:p>
    <w:p w:rsidR="006C6C36" w:rsidRPr="000803D5" w:rsidRDefault="006C6C36" w:rsidP="00A55B19">
      <w:pPr>
        <w:pStyle w:val="SingleTxtG"/>
      </w:pPr>
      <w:r w:rsidRPr="000803D5">
        <w:t>4.</w:t>
      </w:r>
      <w:r w:rsidRPr="000803D5">
        <w:tab/>
        <w:t>Lors de l’élaboration du RTM ONU n</w:t>
      </w:r>
      <w:r w:rsidRPr="000803D5">
        <w:rPr>
          <w:vertAlign w:val="superscript"/>
        </w:rPr>
        <w:t>o</w:t>
      </w:r>
      <w:r w:rsidRPr="000803D5">
        <w:t xml:space="preserve"> 19, une autre formule a été introduite pour le calcul des émissions d’hydrocarbures, qui peut être utilisée pour les installations servant à la détermination des pertes par évaporation en boîtier étanche à volume variable, selon le choix du constructeur.</w:t>
      </w:r>
    </w:p>
    <w:p w:rsidR="006C6C36" w:rsidRPr="000803D5" w:rsidRDefault="006C6C36" w:rsidP="00A55B19">
      <w:pPr>
        <w:pStyle w:val="SingleTxtG"/>
      </w:pPr>
      <w:r w:rsidRPr="000803D5">
        <w:t>5.</w:t>
      </w:r>
      <w:r w:rsidRPr="000803D5">
        <w:tab/>
        <w:t>L’introduction des modifications ci-dessus dans le Règlement ONU n</w:t>
      </w:r>
      <w:r w:rsidRPr="000803D5">
        <w:rPr>
          <w:vertAlign w:val="superscript"/>
        </w:rPr>
        <w:t>o</w:t>
      </w:r>
      <w:r w:rsidR="00A55B19">
        <w:t> </w:t>
      </w:r>
      <w:r w:rsidRPr="000803D5">
        <w:t>83 permettra d’éviter des ajouts au RTM ONU n</w:t>
      </w:r>
      <w:r w:rsidRPr="000803D5">
        <w:rPr>
          <w:vertAlign w:val="superscript"/>
        </w:rPr>
        <w:t>o</w:t>
      </w:r>
      <w:r w:rsidR="00943B1D" w:rsidRPr="00943B1D">
        <w:t> </w:t>
      </w:r>
      <w:r w:rsidRPr="000803D5">
        <w:t>19 dans la mesure où les références restent les mêmes tout en étant plus complètes.</w:t>
      </w:r>
    </w:p>
    <w:p w:rsidR="00F9573C" w:rsidRDefault="006C6C36" w:rsidP="00A55B19">
      <w:pPr>
        <w:pStyle w:val="SingleTxtG"/>
      </w:pPr>
      <w:r w:rsidRPr="000803D5">
        <w:t>6.</w:t>
      </w:r>
      <w:r w:rsidRPr="000803D5">
        <w:tab/>
        <w:t>D’autres amendements et corrections mineurs notés pendant l’élaboration du RTM ONU n</w:t>
      </w:r>
      <w:r w:rsidRPr="000803D5">
        <w:rPr>
          <w:vertAlign w:val="superscript"/>
        </w:rPr>
        <w:t>o</w:t>
      </w:r>
      <w:r w:rsidR="00A55B19">
        <w:t> </w:t>
      </w:r>
      <w:r w:rsidRPr="000803D5">
        <w:t>19 ont été pris en compte dans un souci de cohérence.</w:t>
      </w:r>
    </w:p>
    <w:p w:rsidR="00A55B19" w:rsidRPr="00A55B19" w:rsidRDefault="00A55B19" w:rsidP="00A55B19">
      <w:pPr>
        <w:pStyle w:val="SingleTxtG"/>
        <w:spacing w:before="240" w:after="0"/>
        <w:jc w:val="center"/>
        <w:rPr>
          <w:u w:val="single"/>
        </w:rPr>
      </w:pPr>
      <w:r>
        <w:rPr>
          <w:u w:val="single"/>
        </w:rPr>
        <w:tab/>
      </w:r>
      <w:r>
        <w:rPr>
          <w:u w:val="single"/>
        </w:rPr>
        <w:tab/>
      </w:r>
      <w:r>
        <w:rPr>
          <w:u w:val="single"/>
        </w:rPr>
        <w:tab/>
      </w:r>
    </w:p>
    <w:sectPr w:rsidR="00A55B19" w:rsidRPr="00A55B19" w:rsidSect="00B5147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2E" w:rsidRDefault="00F02A2E" w:rsidP="00F95C08">
      <w:pPr>
        <w:spacing w:line="240" w:lineRule="auto"/>
      </w:pPr>
    </w:p>
  </w:endnote>
  <w:endnote w:type="continuationSeparator" w:id="0">
    <w:p w:rsidR="00F02A2E" w:rsidRPr="00AC3823" w:rsidRDefault="00F02A2E" w:rsidP="00AC3823">
      <w:pPr>
        <w:pStyle w:val="Footer"/>
      </w:pPr>
    </w:p>
  </w:endnote>
  <w:endnote w:type="continuationNotice" w:id="1">
    <w:p w:rsidR="00F02A2E" w:rsidRDefault="00F02A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2E" w:rsidRPr="00B5147C" w:rsidRDefault="00F02A2E" w:rsidP="00B5147C">
    <w:pPr>
      <w:pStyle w:val="Footer"/>
      <w:tabs>
        <w:tab w:val="right" w:pos="9638"/>
      </w:tabs>
    </w:pPr>
    <w:r w:rsidRPr="00B5147C">
      <w:rPr>
        <w:b/>
        <w:sz w:val="18"/>
      </w:rPr>
      <w:fldChar w:fldCharType="begin"/>
    </w:r>
    <w:r w:rsidRPr="00B5147C">
      <w:rPr>
        <w:b/>
        <w:sz w:val="18"/>
      </w:rPr>
      <w:instrText xml:space="preserve"> PAGE  \* MERGEFORMAT </w:instrText>
    </w:r>
    <w:r w:rsidRPr="00B5147C">
      <w:rPr>
        <w:b/>
        <w:sz w:val="18"/>
      </w:rPr>
      <w:fldChar w:fldCharType="separate"/>
    </w:r>
    <w:r w:rsidR="00254898">
      <w:rPr>
        <w:b/>
        <w:noProof/>
        <w:sz w:val="18"/>
      </w:rPr>
      <w:t>4</w:t>
    </w:r>
    <w:r w:rsidRPr="00B5147C">
      <w:rPr>
        <w:b/>
        <w:sz w:val="18"/>
      </w:rPr>
      <w:fldChar w:fldCharType="end"/>
    </w:r>
    <w:r>
      <w:rPr>
        <w:b/>
        <w:sz w:val="18"/>
      </w:rPr>
      <w:tab/>
    </w:r>
    <w:r>
      <w:t>GE.18-17904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2E" w:rsidRPr="00B5147C" w:rsidRDefault="00F02A2E" w:rsidP="00B5147C">
    <w:pPr>
      <w:pStyle w:val="Footer"/>
      <w:tabs>
        <w:tab w:val="right" w:pos="9638"/>
      </w:tabs>
      <w:rPr>
        <w:b/>
        <w:sz w:val="18"/>
      </w:rPr>
    </w:pPr>
    <w:r>
      <w:t>GE.18-17904</w:t>
    </w:r>
    <w:r>
      <w:tab/>
    </w:r>
    <w:r w:rsidRPr="00B5147C">
      <w:rPr>
        <w:b/>
        <w:sz w:val="18"/>
      </w:rPr>
      <w:fldChar w:fldCharType="begin"/>
    </w:r>
    <w:r w:rsidRPr="00B5147C">
      <w:rPr>
        <w:b/>
        <w:sz w:val="18"/>
      </w:rPr>
      <w:instrText xml:space="preserve"> PAGE  \* MERGEFORMAT </w:instrText>
    </w:r>
    <w:r w:rsidRPr="00B5147C">
      <w:rPr>
        <w:b/>
        <w:sz w:val="18"/>
      </w:rPr>
      <w:fldChar w:fldCharType="separate"/>
    </w:r>
    <w:r w:rsidR="00254898">
      <w:rPr>
        <w:b/>
        <w:noProof/>
        <w:sz w:val="18"/>
      </w:rPr>
      <w:t>5</w:t>
    </w:r>
    <w:r w:rsidRPr="00B514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2E" w:rsidRPr="00B5147C" w:rsidRDefault="00F02A2E" w:rsidP="00B5147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18-17904  (F)    131118    221118</w:t>
    </w:r>
    <w:r>
      <w:rPr>
        <w:sz w:val="20"/>
      </w:rPr>
      <w:br/>
    </w:r>
    <w:r w:rsidRPr="00B5147C">
      <w:rPr>
        <w:rFonts w:ascii="C39T30Lfz" w:hAnsi="C39T30Lfz"/>
        <w:sz w:val="56"/>
      </w:rPr>
      <w:t></w:t>
    </w:r>
    <w:r w:rsidRPr="00B5147C">
      <w:rPr>
        <w:rFonts w:ascii="C39T30Lfz" w:hAnsi="C39T30Lfz"/>
        <w:sz w:val="56"/>
      </w:rPr>
      <w:t></w:t>
    </w:r>
    <w:r w:rsidRPr="00B5147C">
      <w:rPr>
        <w:rFonts w:ascii="C39T30Lfz" w:hAnsi="C39T30Lfz"/>
        <w:sz w:val="56"/>
      </w:rPr>
      <w:t></w:t>
    </w:r>
    <w:r w:rsidRPr="00B5147C">
      <w:rPr>
        <w:rFonts w:ascii="C39T30Lfz" w:hAnsi="C39T30Lfz"/>
        <w:sz w:val="56"/>
      </w:rPr>
      <w:t></w:t>
    </w:r>
    <w:r w:rsidRPr="00B5147C">
      <w:rPr>
        <w:rFonts w:ascii="C39T30Lfz" w:hAnsi="C39T30Lfz"/>
        <w:sz w:val="56"/>
      </w:rPr>
      <w:t></w:t>
    </w:r>
    <w:r w:rsidRPr="00B5147C">
      <w:rPr>
        <w:rFonts w:ascii="C39T30Lfz" w:hAnsi="C39T30Lfz"/>
        <w:sz w:val="56"/>
      </w:rPr>
      <w:t></w:t>
    </w:r>
    <w:r w:rsidRPr="00B5147C">
      <w:rPr>
        <w:rFonts w:ascii="C39T30Lfz" w:hAnsi="C39T30Lfz"/>
        <w:sz w:val="56"/>
      </w:rPr>
      <w:t></w:t>
    </w:r>
    <w:r w:rsidRPr="00B5147C">
      <w:rPr>
        <w:rFonts w:ascii="C39T30Lfz" w:hAnsi="C39T30Lfz"/>
        <w:sz w:val="56"/>
      </w:rPr>
      <w:t></w:t>
    </w:r>
    <w:r w:rsidRPr="00B5147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2E" w:rsidRPr="00AC3823" w:rsidRDefault="00F02A2E" w:rsidP="00AC3823">
      <w:pPr>
        <w:pStyle w:val="Footer"/>
        <w:tabs>
          <w:tab w:val="right" w:pos="2155"/>
        </w:tabs>
        <w:spacing w:after="80" w:line="240" w:lineRule="atLeast"/>
        <w:ind w:left="680"/>
        <w:rPr>
          <w:u w:val="single"/>
        </w:rPr>
      </w:pPr>
      <w:r>
        <w:rPr>
          <w:u w:val="single"/>
        </w:rPr>
        <w:tab/>
      </w:r>
    </w:p>
  </w:footnote>
  <w:footnote w:type="continuationSeparator" w:id="0">
    <w:p w:rsidR="00F02A2E" w:rsidRPr="00AC3823" w:rsidRDefault="00F02A2E" w:rsidP="00AC3823">
      <w:pPr>
        <w:pStyle w:val="Footer"/>
        <w:tabs>
          <w:tab w:val="right" w:pos="2155"/>
        </w:tabs>
        <w:spacing w:after="80" w:line="240" w:lineRule="atLeast"/>
        <w:ind w:left="680"/>
        <w:rPr>
          <w:u w:val="single"/>
        </w:rPr>
      </w:pPr>
      <w:r>
        <w:rPr>
          <w:u w:val="single"/>
        </w:rPr>
        <w:tab/>
      </w:r>
    </w:p>
  </w:footnote>
  <w:footnote w:type="continuationNotice" w:id="1">
    <w:p w:rsidR="00F02A2E" w:rsidRPr="00AC3823" w:rsidRDefault="00F02A2E">
      <w:pPr>
        <w:spacing w:line="240" w:lineRule="auto"/>
        <w:rPr>
          <w:sz w:val="2"/>
          <w:szCs w:val="2"/>
        </w:rPr>
      </w:pPr>
    </w:p>
  </w:footnote>
  <w:footnote w:id="2">
    <w:p w:rsidR="00F02A2E" w:rsidRPr="00334079" w:rsidRDefault="00F02A2E" w:rsidP="006C6C36">
      <w:pPr>
        <w:pStyle w:val="FootnoteText"/>
      </w:pPr>
      <w:r>
        <w:tab/>
      </w:r>
      <w:r w:rsidRPr="00334079">
        <w:rPr>
          <w:sz w:val="20"/>
        </w:rPr>
        <w:t>*</w:t>
      </w:r>
      <w:r w:rsidRPr="00334079">
        <w:rPr>
          <w:sz w:val="20"/>
        </w:rPr>
        <w:tab/>
      </w:r>
      <w:r w:rsidRPr="00334079">
        <w:t>Conformément au programme de travail du Comité des transports intérieurs pour la période 2018</w:t>
      </w:r>
      <w:r>
        <w:noBreakHyphen/>
      </w:r>
      <w:r w:rsidRPr="00334079">
        <w:t>2019 (ECE/TRANS/274, par. 123, et ECE/TRANS/2018/21</w:t>
      </w:r>
      <w:r>
        <w:t xml:space="preserve"> et </w:t>
      </w:r>
      <w:r w:rsidRPr="00334079">
        <w:t>Add.1, module 3), le Forum mondial a pour mission d’élaborer, d’harmoniser et de mettre à jour les Règlements en vue d’améliorer les caractéristiques fonctionnelles des véhicules.</w:t>
      </w:r>
      <w:r>
        <w:t xml:space="preserve"> Le présent document est soumis en</w:t>
      </w:r>
      <w:r w:rsidR="009227FD">
        <w:t> </w:t>
      </w:r>
      <w:r>
        <w:t>vertu</w:t>
      </w:r>
      <w:r w:rsidR="009227FD">
        <w:t> </w:t>
      </w:r>
      <w:r>
        <w:t>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2E" w:rsidRPr="00B5147C" w:rsidRDefault="00064C1E">
    <w:pPr>
      <w:pStyle w:val="Header"/>
    </w:pPr>
    <w:r>
      <w:fldChar w:fldCharType="begin"/>
    </w:r>
    <w:r>
      <w:instrText xml:space="preserve"> TITLE  \</w:instrText>
    </w:r>
    <w:r>
      <w:instrText xml:space="preserve">* MERGEFORMAT </w:instrText>
    </w:r>
    <w:r>
      <w:fldChar w:fldCharType="separate"/>
    </w:r>
    <w:r w:rsidR="00254898">
      <w:t>ECE/TRANS/WP.29/GRPE/2019/8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2E" w:rsidRPr="00B5147C" w:rsidRDefault="00064C1E" w:rsidP="00B5147C">
    <w:pPr>
      <w:pStyle w:val="Header"/>
      <w:jc w:val="right"/>
    </w:pPr>
    <w:r>
      <w:fldChar w:fldCharType="begin"/>
    </w:r>
    <w:r>
      <w:instrText xml:space="preserve"> TITLE  \* MERGEFORMAT </w:instrText>
    </w:r>
    <w:r>
      <w:fldChar w:fldCharType="separate"/>
    </w:r>
    <w:r w:rsidR="00254898">
      <w:t>ECE/TRANS/WP.29/GRPE/2019/8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3"/>
    <w:rsid w:val="00017F94"/>
    <w:rsid w:val="00023842"/>
    <w:rsid w:val="000334F9"/>
    <w:rsid w:val="00045FEB"/>
    <w:rsid w:val="00062378"/>
    <w:rsid w:val="00064C1E"/>
    <w:rsid w:val="0007796D"/>
    <w:rsid w:val="000803D5"/>
    <w:rsid w:val="000904ED"/>
    <w:rsid w:val="000B7790"/>
    <w:rsid w:val="00111F2F"/>
    <w:rsid w:val="0014365E"/>
    <w:rsid w:val="00143C66"/>
    <w:rsid w:val="00176178"/>
    <w:rsid w:val="001F525A"/>
    <w:rsid w:val="00223272"/>
    <w:rsid w:val="0024779E"/>
    <w:rsid w:val="00254898"/>
    <w:rsid w:val="00257168"/>
    <w:rsid w:val="002744B8"/>
    <w:rsid w:val="002832AC"/>
    <w:rsid w:val="002D7C93"/>
    <w:rsid w:val="00305801"/>
    <w:rsid w:val="003916DE"/>
    <w:rsid w:val="003B23CB"/>
    <w:rsid w:val="0041395D"/>
    <w:rsid w:val="00421996"/>
    <w:rsid w:val="00441C3B"/>
    <w:rsid w:val="00442533"/>
    <w:rsid w:val="00446FE5"/>
    <w:rsid w:val="00452396"/>
    <w:rsid w:val="004837D8"/>
    <w:rsid w:val="00493FCC"/>
    <w:rsid w:val="004E2EED"/>
    <w:rsid w:val="004E468C"/>
    <w:rsid w:val="005505B7"/>
    <w:rsid w:val="00573BE5"/>
    <w:rsid w:val="00586ED3"/>
    <w:rsid w:val="00596AA9"/>
    <w:rsid w:val="006C6C36"/>
    <w:rsid w:val="0071601D"/>
    <w:rsid w:val="00754A6D"/>
    <w:rsid w:val="00763032"/>
    <w:rsid w:val="007A62E6"/>
    <w:rsid w:val="007C5A9C"/>
    <w:rsid w:val="007F20FA"/>
    <w:rsid w:val="0080684C"/>
    <w:rsid w:val="00814112"/>
    <w:rsid w:val="00871C75"/>
    <w:rsid w:val="00871E0D"/>
    <w:rsid w:val="008776DC"/>
    <w:rsid w:val="009227FD"/>
    <w:rsid w:val="00943B1D"/>
    <w:rsid w:val="009446C0"/>
    <w:rsid w:val="009705C8"/>
    <w:rsid w:val="009C1CF4"/>
    <w:rsid w:val="009F6B74"/>
    <w:rsid w:val="00A3029F"/>
    <w:rsid w:val="00A30353"/>
    <w:rsid w:val="00A55B19"/>
    <w:rsid w:val="00A913DE"/>
    <w:rsid w:val="00A922AB"/>
    <w:rsid w:val="00AC3823"/>
    <w:rsid w:val="00AD6FED"/>
    <w:rsid w:val="00AE323C"/>
    <w:rsid w:val="00AF0CB5"/>
    <w:rsid w:val="00B00181"/>
    <w:rsid w:val="00B00B0D"/>
    <w:rsid w:val="00B30433"/>
    <w:rsid w:val="00B45D05"/>
    <w:rsid w:val="00B45F2E"/>
    <w:rsid w:val="00B5147C"/>
    <w:rsid w:val="00B765F7"/>
    <w:rsid w:val="00BA0CA9"/>
    <w:rsid w:val="00C02897"/>
    <w:rsid w:val="00C128D1"/>
    <w:rsid w:val="00C97039"/>
    <w:rsid w:val="00D043D5"/>
    <w:rsid w:val="00D3439C"/>
    <w:rsid w:val="00DB1831"/>
    <w:rsid w:val="00DC667F"/>
    <w:rsid w:val="00DD3BFD"/>
    <w:rsid w:val="00DF6678"/>
    <w:rsid w:val="00E0299A"/>
    <w:rsid w:val="00E85079"/>
    <w:rsid w:val="00E85C74"/>
    <w:rsid w:val="00EA6547"/>
    <w:rsid w:val="00ED5FF4"/>
    <w:rsid w:val="00EE4C04"/>
    <w:rsid w:val="00EF2E22"/>
    <w:rsid w:val="00F02A2E"/>
    <w:rsid w:val="00F35BAF"/>
    <w:rsid w:val="00F660DF"/>
    <w:rsid w:val="00F94664"/>
    <w:rsid w:val="00F9573C"/>
    <w:rsid w:val="00F95C08"/>
    <w:rsid w:val="00FC35BC"/>
    <w:rsid w:val="00FC606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9832F4-79C3-40C4-A562-DE3DCF68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C6C36"/>
    <w:rPr>
      <w:rFonts w:ascii="Times New Roman" w:eastAsiaTheme="minorHAnsi" w:hAnsi="Times New Roman" w:cs="Times New Roman"/>
      <w:sz w:val="20"/>
      <w:szCs w:val="20"/>
      <w:lang w:eastAsia="en-US"/>
    </w:rPr>
  </w:style>
  <w:style w:type="character" w:customStyle="1" w:styleId="HChGChar">
    <w:name w:val="_ H _Ch_G Char"/>
    <w:link w:val="HChG"/>
    <w:rsid w:val="006C6C36"/>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6C6C36"/>
    <w:pPr>
      <w:kinsoku/>
      <w:overflowPunct/>
      <w:autoSpaceDE/>
      <w:autoSpaceDN/>
      <w:adjustRightInd/>
      <w:snapToGrid/>
      <w:ind w:left="2268" w:hanging="1134"/>
    </w:pPr>
    <w:rPr>
      <w:rFonts w:eastAsia="Times New Roman"/>
    </w:rPr>
  </w:style>
  <w:style w:type="character" w:customStyle="1" w:styleId="paraChar">
    <w:name w:val="para Char"/>
    <w:link w:val="para"/>
    <w:rsid w:val="006C6C3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1F54-770F-4B65-A05A-33C085B0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9894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ECE/TRANS/WP.29/GRPE/2019/8</vt:lpstr>
      <vt:lpstr>ECE/TRANS/WP.29/GRPE/2019/8</vt:lpstr>
    </vt:vector>
  </TitlesOfParts>
  <Company>DCM</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ECE/TRANS/WP.29/GRPE/2019/8</dc:title>
  <dc:subject/>
  <dc:creator>Nathalie VITTOZ</dc:creator>
  <cp:keywords/>
  <cp:lastModifiedBy>Benedicte Boudol</cp:lastModifiedBy>
  <cp:revision>2</cp:revision>
  <cp:lastPrinted>2018-11-22T10:06:00Z</cp:lastPrinted>
  <dcterms:created xsi:type="dcterms:W3CDTF">2018-11-22T15:53:00Z</dcterms:created>
  <dcterms:modified xsi:type="dcterms:W3CDTF">2018-11-22T15:53:00Z</dcterms:modified>
</cp:coreProperties>
</file>