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10B1B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2310C3" w14:textId="77777777" w:rsidR="002D5AAC" w:rsidRDefault="002D5AAC" w:rsidP="00A059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470D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CB15D1" w14:textId="77777777" w:rsidR="002D5AAC" w:rsidRDefault="00A0595B" w:rsidP="00A0595B">
            <w:pPr>
              <w:jc w:val="right"/>
            </w:pPr>
            <w:r w:rsidRPr="00A0595B">
              <w:rPr>
                <w:sz w:val="40"/>
              </w:rPr>
              <w:t>ECE</w:t>
            </w:r>
            <w:r>
              <w:t>/TRANS/WP.29/GRPE/2019/11</w:t>
            </w:r>
          </w:p>
        </w:tc>
      </w:tr>
      <w:tr w:rsidR="002D5AAC" w:rsidRPr="008A54F0" w14:paraId="47D9148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7E9B8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54A0F1" wp14:editId="6CAF36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22B43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69423C" w14:textId="77777777" w:rsidR="002D5AAC" w:rsidRDefault="00A0595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1EA282" w14:textId="77777777" w:rsidR="00A0595B" w:rsidRDefault="00A0595B" w:rsidP="00A059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March 2019</w:t>
            </w:r>
          </w:p>
          <w:p w14:paraId="014D1D3D" w14:textId="77777777" w:rsidR="00A0595B" w:rsidRDefault="00A0595B" w:rsidP="00A059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6766A2" w14:textId="77777777" w:rsidR="00A0595B" w:rsidRPr="008D53B6" w:rsidRDefault="00A0595B" w:rsidP="00A059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F5E69A" w14:textId="77777777" w:rsidR="00A0595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9C9530" w14:textId="77777777" w:rsidR="00A0595B" w:rsidRPr="008A0E98" w:rsidRDefault="00A0595B" w:rsidP="00A0595B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r w:rsidRPr="008A0E98">
        <w:rPr>
          <w:sz w:val="28"/>
          <w:szCs w:val="28"/>
        </w:rPr>
        <w:t xml:space="preserve">Комитет по внутреннему транспорту </w:t>
      </w:r>
    </w:p>
    <w:p w14:paraId="4B141400" w14:textId="77777777" w:rsidR="00A0595B" w:rsidRPr="008A0E98" w:rsidRDefault="00A0595B" w:rsidP="00A0595B">
      <w:pPr>
        <w:tabs>
          <w:tab w:val="left" w:pos="567"/>
          <w:tab w:val="left" w:pos="1134"/>
        </w:tabs>
        <w:spacing w:before="120"/>
        <w:rPr>
          <w:b/>
          <w:bCs/>
          <w:sz w:val="24"/>
          <w:szCs w:val="24"/>
        </w:rPr>
      </w:pPr>
      <w:r w:rsidRPr="008A0E9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A0E98">
        <w:rPr>
          <w:b/>
          <w:bCs/>
          <w:sz w:val="24"/>
          <w:szCs w:val="24"/>
        </w:rPr>
        <w:t xml:space="preserve">в области транспортных средств </w:t>
      </w:r>
    </w:p>
    <w:p w14:paraId="5C501B5D" w14:textId="77777777" w:rsidR="00A0595B" w:rsidRPr="008A0E98" w:rsidRDefault="00A0595B" w:rsidP="00A0595B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8A0E98">
        <w:rPr>
          <w:b/>
          <w:bCs/>
        </w:rPr>
        <w:t xml:space="preserve">Рабочая группа по </w:t>
      </w:r>
      <w:r>
        <w:rPr>
          <w:b/>
          <w:bCs/>
        </w:rPr>
        <w:t xml:space="preserve">проблемам энергии </w:t>
      </w:r>
      <w:r>
        <w:rPr>
          <w:b/>
          <w:bCs/>
        </w:rPr>
        <w:br/>
        <w:t>и загрязнения</w:t>
      </w:r>
      <w:r w:rsidRPr="008A0E98">
        <w:rPr>
          <w:b/>
          <w:bCs/>
        </w:rPr>
        <w:t xml:space="preserve"> окружающей среды</w:t>
      </w:r>
    </w:p>
    <w:p w14:paraId="0836B70C" w14:textId="77777777" w:rsidR="00A0595B" w:rsidRPr="008A0E98" w:rsidRDefault="00A0595B" w:rsidP="00A0595B">
      <w:pPr>
        <w:rPr>
          <w:b/>
          <w:bCs/>
        </w:rPr>
      </w:pPr>
      <w:r w:rsidRPr="008A0E98">
        <w:rPr>
          <w:b/>
          <w:bCs/>
        </w:rPr>
        <w:t>Семьдесят девятая сессия</w:t>
      </w:r>
    </w:p>
    <w:p w14:paraId="36190F4B" w14:textId="77777777" w:rsidR="00A0595B" w:rsidRPr="00776AE7" w:rsidRDefault="00A0595B" w:rsidP="00A0595B">
      <w:pPr>
        <w:tabs>
          <w:tab w:val="left" w:pos="567"/>
          <w:tab w:val="left" w:pos="1134"/>
        </w:tabs>
        <w:rPr>
          <w:bCs/>
        </w:rPr>
      </w:pPr>
      <w:r>
        <w:t>Женева, 21–24 мая 2019 года</w:t>
      </w:r>
    </w:p>
    <w:p w14:paraId="7A6C721B" w14:textId="77777777" w:rsidR="00A0595B" w:rsidRPr="00776AE7" w:rsidRDefault="00A0595B" w:rsidP="00A0595B">
      <w:r>
        <w:t>Пункт 5 предварительной повестки дня</w:t>
      </w:r>
    </w:p>
    <w:p w14:paraId="2D62690D" w14:textId="77777777" w:rsidR="00A0595B" w:rsidRPr="008A0E98" w:rsidRDefault="00A0595B" w:rsidP="00A0595B">
      <w:pPr>
        <w:tabs>
          <w:tab w:val="left" w:pos="567"/>
          <w:tab w:val="left" w:pos="1134"/>
        </w:tabs>
        <w:rPr>
          <w:b/>
          <w:bCs/>
        </w:rPr>
      </w:pPr>
      <w:r w:rsidRPr="008A0E98">
        <w:rPr>
          <w:b/>
          <w:bCs/>
        </w:rPr>
        <w:t xml:space="preserve">Правила ООН № 24 (видимые загрязняющие </w:t>
      </w:r>
      <w:r>
        <w:rPr>
          <w:b/>
          <w:bCs/>
        </w:rPr>
        <w:br/>
      </w:r>
      <w:r w:rsidRPr="008A0E98">
        <w:rPr>
          <w:b/>
          <w:bCs/>
        </w:rPr>
        <w:t xml:space="preserve">вещества, измерение мощности двигателей </w:t>
      </w:r>
      <w:r>
        <w:rPr>
          <w:b/>
          <w:bCs/>
        </w:rPr>
        <w:br/>
      </w:r>
      <w:r w:rsidRPr="008A0E98">
        <w:rPr>
          <w:b/>
          <w:bCs/>
        </w:rPr>
        <w:t xml:space="preserve">с воспламенением от сжатия (дизельный дым)), </w:t>
      </w:r>
      <w:r>
        <w:rPr>
          <w:b/>
          <w:bCs/>
        </w:rPr>
        <w:br/>
      </w:r>
      <w:r w:rsidRPr="008A0E98">
        <w:rPr>
          <w:b/>
          <w:bCs/>
        </w:rPr>
        <w:t xml:space="preserve">№ 85 (измерение полезной мощности), </w:t>
      </w:r>
      <w:r>
        <w:rPr>
          <w:b/>
          <w:bCs/>
        </w:rPr>
        <w:br/>
      </w:r>
      <w:r w:rsidRPr="008A0E98">
        <w:rPr>
          <w:b/>
          <w:bCs/>
        </w:rPr>
        <w:t>№ 115 (модифицированные системы СНГ и КПГ),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8A0E98">
        <w:rPr>
          <w:b/>
          <w:bCs/>
        </w:rPr>
        <w:t>№ 133 (возможность утилизации автотранспортных средств)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8A0E98">
        <w:rPr>
          <w:b/>
          <w:bCs/>
        </w:rPr>
        <w:t>и № 143 (модифицированные системы двухтопливных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8A0E98">
        <w:rPr>
          <w:b/>
          <w:bCs/>
        </w:rPr>
        <w:t>двигателей большой мощности (МСД-ДТБМ))</w:t>
      </w:r>
    </w:p>
    <w:p w14:paraId="3364D949" w14:textId="77777777" w:rsidR="00A0595B" w:rsidRPr="00FD4196" w:rsidRDefault="00A0595B" w:rsidP="00A0595B">
      <w:pPr>
        <w:pStyle w:val="HChG"/>
      </w:pPr>
      <w:r>
        <w:tab/>
      </w:r>
      <w:r>
        <w:tab/>
        <w:t>Предложение по новому дополнению к Правилам № 85 ООН (измерение полезной мощности)</w:t>
      </w:r>
    </w:p>
    <w:p w14:paraId="3EF09CE3" w14:textId="77777777" w:rsidR="00A0595B" w:rsidRPr="0047706C" w:rsidRDefault="00A0595B" w:rsidP="00A0595B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A0595B">
        <w:rPr>
          <w:b w:val="0"/>
          <w:sz w:val="18"/>
        </w:rPr>
        <w:footnoteReference w:customMarkFollows="1" w:id="1"/>
        <w:t>*</w:t>
      </w:r>
    </w:p>
    <w:p w14:paraId="2FBF825D" w14:textId="77777777" w:rsidR="00A0595B" w:rsidRDefault="00A0595B" w:rsidP="00A0595B">
      <w:pPr>
        <w:pStyle w:val="SingleTxtG"/>
        <w:ind w:firstLine="567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изменить формулировку описания вспомогательных устройств, устанавливаемых для испытаний, с тем чтобы уменьшить потенциальный объем работы в ходе их проведения. Изменения к действующему тексту Правил выделены жирным шрифтом в случае новых положений и зачеркиванием в случае исключенных элементов.</w:t>
      </w:r>
    </w:p>
    <w:p w14:paraId="60F8F1B7" w14:textId="77777777" w:rsidR="00A0595B" w:rsidRDefault="00A0595B" w:rsidP="00A0595B">
      <w:pPr>
        <w:suppressAutoHyphens w:val="0"/>
        <w:spacing w:line="240" w:lineRule="auto"/>
      </w:pPr>
      <w:r>
        <w:br w:type="page"/>
      </w:r>
    </w:p>
    <w:p w14:paraId="495DE1B5" w14:textId="77777777" w:rsidR="00A0595B" w:rsidRDefault="00A0595B" w:rsidP="00A0595B">
      <w:pPr>
        <w:pStyle w:val="HChG"/>
        <w:tabs>
          <w:tab w:val="clear" w:pos="851"/>
        </w:tabs>
        <w:ind w:left="567" w:firstLine="0"/>
      </w:pPr>
      <w:r>
        <w:lastRenderedPageBreak/>
        <w:t>I.</w:t>
      </w:r>
      <w:r>
        <w:tab/>
      </w:r>
      <w:r>
        <w:rPr>
          <w:bCs/>
        </w:rPr>
        <w:t>Предложение</w:t>
      </w:r>
    </w:p>
    <w:p w14:paraId="31A8A9A2" w14:textId="77777777" w:rsidR="00A0595B" w:rsidRDefault="00A0595B" w:rsidP="00A0595B">
      <w:pPr>
        <w:spacing w:after="120"/>
        <w:ind w:left="2300" w:right="1134" w:hanging="1166"/>
        <w:jc w:val="both"/>
        <w:rPr>
          <w:i/>
        </w:rPr>
      </w:pPr>
      <w:r>
        <w:rPr>
          <w:i/>
          <w:iCs/>
        </w:rPr>
        <w:t>Приложение 5, таблица 1, примечание 1b</w:t>
      </w:r>
      <w:r>
        <w:t xml:space="preserve"> изменить следующим образом:</w:t>
      </w:r>
    </w:p>
    <w:p w14:paraId="2E806D44" w14:textId="77777777" w:rsidR="006A7E45" w:rsidRPr="006A7E45" w:rsidRDefault="00A0595B" w:rsidP="00A0595B">
      <w:pPr>
        <w:pStyle w:val="para"/>
        <w:ind w:left="1134" w:firstLine="0"/>
        <w:rPr>
          <w:lang w:val="ru-RU"/>
        </w:rPr>
      </w:pPr>
      <w:r>
        <w:rPr>
          <w:lang w:val="ru-RU"/>
        </w:rPr>
        <w:t>«</w:t>
      </w:r>
      <w:r w:rsidRPr="008A0E98">
        <w:rPr>
          <w:vertAlign w:val="superscript"/>
          <w:lang w:val="ru-RU"/>
        </w:rPr>
        <w:t>9</w:t>
      </w:r>
      <w:r>
        <w:rPr>
          <w:lang w:val="ru-RU"/>
        </w:rPr>
        <w:t xml:space="preserve"> Двигатели с принудительным воздушным охлаждением должны испытываться с устройствами воздушного охлаждения, которые могут быть воздушными или водяными, но по желанию изготовителя вместо охлаждающего устройства может быть использована испытательная стендовая установка. В любом случае измерение мощности при любой частоте вращения выполняют с учетом тех же перепадов температуры и давления воздуха в системе устройства воздушного охлаждения на испытательном стенде, которые определены изготовителем для системы, работающей на комплектном транспортном средстве</w:t>
      </w:r>
      <w:r w:rsidR="006A7E45" w:rsidRPr="006A7E45">
        <w:rPr>
          <w:lang w:val="ru-RU"/>
        </w:rPr>
        <w:t>.</w:t>
      </w:r>
    </w:p>
    <w:p w14:paraId="0FEC9323" w14:textId="77777777" w:rsidR="00A0595B" w:rsidRPr="00A0595B" w:rsidRDefault="00A0595B" w:rsidP="00A0595B">
      <w:pPr>
        <w:pStyle w:val="para"/>
        <w:ind w:left="1134" w:firstLine="0"/>
        <w:rPr>
          <w:b/>
          <w:color w:val="000000"/>
          <w:lang w:val="ru-RU"/>
        </w:rPr>
      </w:pPr>
      <w:r>
        <w:rPr>
          <w:b/>
          <w:bCs/>
          <w:lang w:val="ru-RU"/>
        </w:rPr>
        <w:t>В качестве альтернативы, по запросу изготовителя измерение мощности (при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 xml:space="preserve">каждом значении скорости) может производиться при температуре на выходе </w:t>
      </w:r>
      <w:r w:rsidRPr="005E1CAB">
        <w:rPr>
          <w:b/>
          <w:bCs/>
          <w:lang w:val="ru-RU"/>
        </w:rPr>
        <w:t>устройства воздушного охлаждения</w:t>
      </w:r>
      <w:r>
        <w:rPr>
          <w:b/>
          <w:bCs/>
          <w:lang w:val="ru-RU"/>
        </w:rPr>
        <w:t>, определенной следующим образом:</w:t>
      </w:r>
    </w:p>
    <w:p w14:paraId="01D5597F" w14:textId="77777777" w:rsidR="00A0595B" w:rsidRPr="008A54F0" w:rsidRDefault="00A0595B" w:rsidP="00A0595B">
      <w:pPr>
        <w:pStyle w:val="para"/>
        <w:ind w:left="1701" w:firstLine="0"/>
        <w:rPr>
          <w:color w:val="000000"/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T</w:t>
      </w:r>
      <w:r w:rsidRPr="008A0E98">
        <w:rPr>
          <w:vertAlign w:val="subscript"/>
          <w:lang w:val="ru-RU"/>
        </w:rPr>
        <w:t>outlet</w:t>
      </w:r>
      <w:proofErr w:type="spellEnd"/>
      <w:r w:rsidRPr="008A0E98">
        <w:rPr>
          <w:vertAlign w:val="subscript"/>
          <w:lang w:val="ru-RU"/>
        </w:rPr>
        <w:t xml:space="preserve">, </w:t>
      </w:r>
      <w:proofErr w:type="spellStart"/>
      <w:r w:rsidRPr="008A0E98">
        <w:rPr>
          <w:vertAlign w:val="subscript"/>
          <w:lang w:val="ru-RU"/>
        </w:rPr>
        <w:t>bench</w:t>
      </w:r>
      <w:proofErr w:type="spellEnd"/>
      <w:r w:rsidRPr="008A0E98">
        <w:rPr>
          <w:vertAlign w:val="subscript"/>
          <w:lang w:val="ru-RU"/>
        </w:rPr>
        <w:t>, N</w:t>
      </w:r>
      <w:r>
        <w:rPr>
          <w:lang w:val="ru-RU"/>
        </w:rPr>
        <w:t xml:space="preserve"> = </w:t>
      </w:r>
      <w:proofErr w:type="spellStart"/>
      <w:r>
        <w:rPr>
          <w:lang w:val="ru-RU"/>
        </w:rPr>
        <w:t>T</w:t>
      </w:r>
      <w:r w:rsidRPr="008A0E98">
        <w:rPr>
          <w:vertAlign w:val="subscript"/>
          <w:lang w:val="ru-RU"/>
        </w:rPr>
        <w:t>outlet</w:t>
      </w:r>
      <w:proofErr w:type="spellEnd"/>
      <w:r w:rsidRPr="008A0E98">
        <w:rPr>
          <w:vertAlign w:val="subscript"/>
          <w:lang w:val="ru-RU"/>
        </w:rPr>
        <w:t xml:space="preserve">, </w:t>
      </w:r>
      <w:proofErr w:type="spellStart"/>
      <w:r w:rsidRPr="008A0E98">
        <w:rPr>
          <w:vertAlign w:val="subscript"/>
          <w:lang w:val="ru-RU"/>
        </w:rPr>
        <w:t>vehicle</w:t>
      </w:r>
      <w:proofErr w:type="spellEnd"/>
      <w:r w:rsidRPr="008A0E98">
        <w:rPr>
          <w:vertAlign w:val="subscript"/>
          <w:lang w:val="ru-RU"/>
        </w:rPr>
        <w:t xml:space="preserve">, N </w:t>
      </w:r>
      <w:r>
        <w:rPr>
          <w:lang w:val="ru-RU"/>
        </w:rPr>
        <w:t>– (</w:t>
      </w:r>
      <w:proofErr w:type="spellStart"/>
      <w:r>
        <w:rPr>
          <w:lang w:val="ru-RU"/>
        </w:rPr>
        <w:t>T</w:t>
      </w:r>
      <w:r w:rsidRPr="008A0E98">
        <w:rPr>
          <w:vertAlign w:val="subscript"/>
          <w:lang w:val="ru-RU"/>
        </w:rPr>
        <w:t>amb</w:t>
      </w:r>
      <w:proofErr w:type="spellEnd"/>
      <w:r>
        <w:rPr>
          <w:lang w:val="ru-RU"/>
        </w:rPr>
        <w:t xml:space="preserve"> – 298),</w:t>
      </w:r>
    </w:p>
    <w:p w14:paraId="70D6FDF4" w14:textId="77777777" w:rsidR="00A0595B" w:rsidRPr="00A0595B" w:rsidRDefault="00A0595B" w:rsidP="00A0595B">
      <w:pPr>
        <w:pStyle w:val="para"/>
        <w:ind w:left="1701" w:firstLine="0"/>
        <w:rPr>
          <w:color w:val="000000"/>
          <w:lang w:val="ru-RU"/>
        </w:rPr>
      </w:pPr>
      <w:r>
        <w:rPr>
          <w:lang w:val="ru-RU"/>
        </w:rPr>
        <w:tab/>
        <w:t>где:</w:t>
      </w:r>
    </w:p>
    <w:p w14:paraId="02D968EA" w14:textId="77777777" w:rsidR="00A0595B" w:rsidRPr="00A0595B" w:rsidRDefault="00A0595B" w:rsidP="00A0595B">
      <w:pPr>
        <w:pStyle w:val="para"/>
        <w:ind w:left="1701" w:firstLine="0"/>
        <w:rPr>
          <w:color w:val="000000"/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T</w:t>
      </w:r>
      <w:r w:rsidRPr="008A0E98">
        <w:rPr>
          <w:vertAlign w:val="subscript"/>
          <w:lang w:val="ru-RU"/>
        </w:rPr>
        <w:t>outlet</w:t>
      </w:r>
      <w:proofErr w:type="spellEnd"/>
      <w:r w:rsidRPr="008A0E98">
        <w:rPr>
          <w:vertAlign w:val="subscript"/>
          <w:lang w:val="ru-RU"/>
        </w:rPr>
        <w:t xml:space="preserve">, </w:t>
      </w:r>
      <w:proofErr w:type="spellStart"/>
      <w:r w:rsidRPr="008A0E98">
        <w:rPr>
          <w:vertAlign w:val="subscript"/>
          <w:lang w:val="ru-RU"/>
        </w:rPr>
        <w:t>bench</w:t>
      </w:r>
      <w:proofErr w:type="spellEnd"/>
      <w:r w:rsidRPr="008A0E98">
        <w:rPr>
          <w:vertAlign w:val="subscript"/>
          <w:lang w:val="ru-RU"/>
        </w:rPr>
        <w:t xml:space="preserve">, N </w:t>
      </w:r>
      <w:r>
        <w:rPr>
          <w:lang w:val="ru-RU"/>
        </w:rPr>
        <w:t>– установленная температура при частоте вращения двигателя N во</w:t>
      </w:r>
      <w:r>
        <w:rPr>
          <w:lang w:val="en-US"/>
        </w:rPr>
        <w:t> </w:t>
      </w:r>
      <w:r>
        <w:rPr>
          <w:lang w:val="ru-RU"/>
        </w:rPr>
        <w:t xml:space="preserve">время проведения стендового испытания (K). </w:t>
      </w:r>
    </w:p>
    <w:p w14:paraId="699A995E" w14:textId="77777777" w:rsidR="00A0595B" w:rsidRPr="00A0595B" w:rsidRDefault="00A0595B" w:rsidP="00A0595B">
      <w:pPr>
        <w:pStyle w:val="para"/>
        <w:ind w:left="1701" w:firstLine="0"/>
        <w:rPr>
          <w:color w:val="000000"/>
          <w:lang w:val="ru-RU"/>
        </w:rPr>
      </w:pPr>
      <w:proofErr w:type="spellStart"/>
      <w:r>
        <w:rPr>
          <w:lang w:val="ru-RU"/>
        </w:rPr>
        <w:t>T</w:t>
      </w:r>
      <w:r w:rsidRPr="008A0E98">
        <w:rPr>
          <w:vertAlign w:val="subscript"/>
          <w:lang w:val="ru-RU"/>
        </w:rPr>
        <w:t>outlet</w:t>
      </w:r>
      <w:proofErr w:type="spellEnd"/>
      <w:r w:rsidRPr="008A0E98">
        <w:rPr>
          <w:vertAlign w:val="subscript"/>
          <w:lang w:val="ru-RU"/>
        </w:rPr>
        <w:t xml:space="preserve">, </w:t>
      </w:r>
      <w:proofErr w:type="spellStart"/>
      <w:r w:rsidRPr="008A0E98">
        <w:rPr>
          <w:vertAlign w:val="subscript"/>
          <w:lang w:val="ru-RU"/>
        </w:rPr>
        <w:t>vehicle</w:t>
      </w:r>
      <w:proofErr w:type="spellEnd"/>
      <w:r w:rsidRPr="008A0E98">
        <w:rPr>
          <w:vertAlign w:val="subscript"/>
          <w:lang w:val="ru-RU"/>
        </w:rPr>
        <w:t xml:space="preserve">, N </w:t>
      </w:r>
      <w:r>
        <w:rPr>
          <w:lang w:val="ru-RU"/>
        </w:rPr>
        <w:t>– измеренная температура при частоте вращения двигателя N во</w:t>
      </w:r>
      <w:r>
        <w:rPr>
          <w:lang w:val="en-US"/>
        </w:rPr>
        <w:t> </w:t>
      </w:r>
      <w:r>
        <w:rPr>
          <w:lang w:val="ru-RU"/>
        </w:rPr>
        <w:t>время испытания комплектного транспортного средства (K).</w:t>
      </w:r>
    </w:p>
    <w:p w14:paraId="6AFAAC7A" w14:textId="77777777" w:rsidR="00A0595B" w:rsidRPr="00A0595B" w:rsidRDefault="00A0595B" w:rsidP="00A0595B">
      <w:pPr>
        <w:pStyle w:val="para"/>
        <w:ind w:left="1701" w:firstLine="0"/>
        <w:rPr>
          <w:color w:val="000000"/>
          <w:lang w:val="ru-RU"/>
        </w:rPr>
      </w:pPr>
      <w:proofErr w:type="spellStart"/>
      <w:r>
        <w:rPr>
          <w:lang w:val="ru-RU"/>
        </w:rPr>
        <w:t>T</w:t>
      </w:r>
      <w:r w:rsidRPr="008A0E98">
        <w:rPr>
          <w:vertAlign w:val="subscript"/>
          <w:lang w:val="ru-RU"/>
        </w:rPr>
        <w:t>amb</w:t>
      </w:r>
      <w:proofErr w:type="spellEnd"/>
      <w:r>
        <w:rPr>
          <w:lang w:val="ru-RU"/>
        </w:rPr>
        <w:t xml:space="preserve"> – температура окружающей среды во время испытания комплектного транспортного средства (K)».</w:t>
      </w:r>
    </w:p>
    <w:p w14:paraId="2DB7A26F" w14:textId="77777777" w:rsidR="00A0595B" w:rsidRPr="00697A82" w:rsidRDefault="00A0595B" w:rsidP="00A0595B">
      <w:pPr>
        <w:pStyle w:val="HChG"/>
        <w:tabs>
          <w:tab w:val="clear" w:pos="851"/>
        </w:tabs>
        <w:ind w:hanging="567"/>
      </w:pPr>
      <w:r>
        <w:t>II.</w:t>
      </w:r>
      <w:r>
        <w:tab/>
      </w:r>
      <w:r>
        <w:rPr>
          <w:bCs/>
        </w:rPr>
        <w:t>Обоснование</w:t>
      </w:r>
    </w:p>
    <w:p w14:paraId="78DF3531" w14:textId="77777777" w:rsidR="00A0595B" w:rsidRDefault="00A0595B" w:rsidP="00A0595B">
      <w:pPr>
        <w:pStyle w:val="SingleTxtG"/>
      </w:pPr>
      <w:r>
        <w:t>1.</w:t>
      </w:r>
      <w:r>
        <w:tab/>
        <w:t>Нынешний метод испытания для измерения полезной мощности двигателей с принудительным воздушным охлаждением не подходит для двигателей большой мощности. За время, которое проходит в ожидании установления требуемых постоянных условий испытания (см. пункт 3.4 приложения 5), температура на выходе устройства воздушного охлаждения повышается, что не позволяет произвести точное измерение полезной мощности.</w:t>
      </w:r>
    </w:p>
    <w:p w14:paraId="260893D6" w14:textId="77777777" w:rsidR="00A0595B" w:rsidRDefault="00A0595B" w:rsidP="00A0595B">
      <w:pPr>
        <w:pStyle w:val="SingleTxtG"/>
        <w:rPr>
          <w:color w:val="000000"/>
        </w:rPr>
      </w:pPr>
      <w:r>
        <w:t>2.</w:t>
      </w:r>
      <w:r>
        <w:tab/>
        <w:t xml:space="preserve">Для решения этой проблемы мы предлагаем альтернативный метод испытания, предусматривающий «доведение температуры на выходе </w:t>
      </w:r>
      <w:r w:rsidRPr="005E1CAB">
        <w:t xml:space="preserve">устройства воздушного охлаждения </w:t>
      </w:r>
      <w:r>
        <w:t>в ходе стендовых испытаний до температуры, которая была отмечена в ходе испытания транспортного средства и скорректирована до контрольной температуры, указанной в пункте 5.2.1 настоящего приложения». Этот</w:t>
      </w:r>
      <w:r>
        <w:rPr>
          <w:lang w:val="en-US"/>
        </w:rPr>
        <w:t> </w:t>
      </w:r>
      <w:r>
        <w:t>альтернативный метод находит широкое признание на основании стандарта SAE</w:t>
      </w:r>
      <w:r>
        <w:rPr>
          <w:lang w:val="en-US"/>
        </w:rPr>
        <w:t> </w:t>
      </w:r>
      <w:r>
        <w:t>J1349.</w:t>
      </w:r>
      <w:bookmarkStart w:id="0" w:name="_GoBack"/>
      <w:bookmarkEnd w:id="0"/>
    </w:p>
    <w:p w14:paraId="321C361C" w14:textId="77777777" w:rsidR="00A0595B" w:rsidRPr="00A0595B" w:rsidRDefault="00A0595B" w:rsidP="00A0595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595B" w:rsidRPr="00A0595B" w:rsidSect="00A05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4B2E" w14:textId="77777777" w:rsidR="00443587" w:rsidRPr="00A312BC" w:rsidRDefault="00443587" w:rsidP="00A312BC"/>
  </w:endnote>
  <w:endnote w:type="continuationSeparator" w:id="0">
    <w:p w14:paraId="5F9E81A8" w14:textId="77777777" w:rsidR="00443587" w:rsidRPr="00A312BC" w:rsidRDefault="004435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A977" w14:textId="77777777" w:rsidR="00A0595B" w:rsidRPr="00A0595B" w:rsidRDefault="00A0595B">
    <w:pPr>
      <w:pStyle w:val="a8"/>
    </w:pPr>
    <w:r w:rsidRPr="00A0595B">
      <w:rPr>
        <w:b/>
        <w:sz w:val="18"/>
      </w:rPr>
      <w:fldChar w:fldCharType="begin"/>
    </w:r>
    <w:r w:rsidRPr="00A0595B">
      <w:rPr>
        <w:b/>
        <w:sz w:val="18"/>
      </w:rPr>
      <w:instrText xml:space="preserve"> PAGE  \* MERGEFORMAT </w:instrText>
    </w:r>
    <w:r w:rsidRPr="00A0595B">
      <w:rPr>
        <w:b/>
        <w:sz w:val="18"/>
      </w:rPr>
      <w:fldChar w:fldCharType="separate"/>
    </w:r>
    <w:r w:rsidRPr="00A0595B">
      <w:rPr>
        <w:b/>
        <w:noProof/>
        <w:sz w:val="18"/>
      </w:rPr>
      <w:t>2</w:t>
    </w:r>
    <w:r w:rsidRPr="00A0595B">
      <w:rPr>
        <w:b/>
        <w:sz w:val="18"/>
      </w:rPr>
      <w:fldChar w:fldCharType="end"/>
    </w:r>
    <w:r>
      <w:rPr>
        <w:b/>
        <w:sz w:val="18"/>
      </w:rPr>
      <w:tab/>
    </w:r>
    <w:r>
      <w:t>GE.19-04007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4ADA" w14:textId="77777777" w:rsidR="00A0595B" w:rsidRPr="00A0595B" w:rsidRDefault="00A0595B" w:rsidP="00A0595B">
    <w:pPr>
      <w:pStyle w:val="a8"/>
      <w:tabs>
        <w:tab w:val="clear" w:pos="9639"/>
        <w:tab w:val="right" w:pos="9638"/>
      </w:tabs>
      <w:rPr>
        <w:b/>
        <w:sz w:val="18"/>
      </w:rPr>
    </w:pPr>
    <w:r>
      <w:t>GE.19-04007</w:t>
    </w:r>
    <w:r>
      <w:tab/>
    </w:r>
    <w:r w:rsidRPr="00A0595B">
      <w:rPr>
        <w:b/>
        <w:sz w:val="18"/>
      </w:rPr>
      <w:fldChar w:fldCharType="begin"/>
    </w:r>
    <w:r w:rsidRPr="00A0595B">
      <w:rPr>
        <w:b/>
        <w:sz w:val="18"/>
      </w:rPr>
      <w:instrText xml:space="preserve"> PAGE  \* MERGEFORMAT </w:instrText>
    </w:r>
    <w:r w:rsidRPr="00A0595B">
      <w:rPr>
        <w:b/>
        <w:sz w:val="18"/>
      </w:rPr>
      <w:fldChar w:fldCharType="separate"/>
    </w:r>
    <w:r w:rsidRPr="00A0595B">
      <w:rPr>
        <w:b/>
        <w:noProof/>
        <w:sz w:val="18"/>
      </w:rPr>
      <w:t>3</w:t>
    </w:r>
    <w:r w:rsidRPr="00A05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156E" w14:textId="77777777" w:rsidR="00042B72" w:rsidRPr="00A0595B" w:rsidRDefault="00A0595B" w:rsidP="00A0595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0457DB" wp14:editId="34AB21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04007  (</w:t>
    </w:r>
    <w:proofErr w:type="gramEnd"/>
    <w:r>
      <w:t>R)</w:t>
    </w:r>
    <w:r>
      <w:rPr>
        <w:lang w:val="en-US"/>
      </w:rPr>
      <w:t xml:space="preserve">  030419  040419</w:t>
    </w:r>
    <w:r>
      <w:br/>
    </w:r>
    <w:r w:rsidRPr="00A0595B">
      <w:rPr>
        <w:rFonts w:ascii="C39T30Lfz" w:hAnsi="C39T30Lfz"/>
        <w:kern w:val="14"/>
        <w:sz w:val="56"/>
      </w:rPr>
      <w:t></w:t>
    </w:r>
    <w:r w:rsidRPr="00A0595B">
      <w:rPr>
        <w:rFonts w:ascii="C39T30Lfz" w:hAnsi="C39T30Lfz"/>
        <w:kern w:val="14"/>
        <w:sz w:val="56"/>
      </w:rPr>
      <w:t></w:t>
    </w:r>
    <w:r w:rsidRPr="00A0595B">
      <w:rPr>
        <w:rFonts w:ascii="C39T30Lfz" w:hAnsi="C39T30Lfz"/>
        <w:kern w:val="14"/>
        <w:sz w:val="56"/>
      </w:rPr>
      <w:t></w:t>
    </w:r>
    <w:r w:rsidRPr="00A0595B">
      <w:rPr>
        <w:rFonts w:ascii="C39T30Lfz" w:hAnsi="C39T30Lfz"/>
        <w:kern w:val="14"/>
        <w:sz w:val="56"/>
      </w:rPr>
      <w:t></w:t>
    </w:r>
    <w:r w:rsidRPr="00A0595B">
      <w:rPr>
        <w:rFonts w:ascii="C39T30Lfz" w:hAnsi="C39T30Lfz"/>
        <w:kern w:val="14"/>
        <w:sz w:val="56"/>
      </w:rPr>
      <w:t></w:t>
    </w:r>
    <w:r w:rsidRPr="00A0595B">
      <w:rPr>
        <w:rFonts w:ascii="C39T30Lfz" w:hAnsi="C39T30Lfz"/>
        <w:kern w:val="14"/>
        <w:sz w:val="56"/>
      </w:rPr>
      <w:t></w:t>
    </w:r>
    <w:r w:rsidRPr="00A0595B">
      <w:rPr>
        <w:rFonts w:ascii="C39T30Lfz" w:hAnsi="C39T30Lfz"/>
        <w:kern w:val="14"/>
        <w:sz w:val="56"/>
      </w:rPr>
      <w:t></w:t>
    </w:r>
    <w:r w:rsidRPr="00A0595B">
      <w:rPr>
        <w:rFonts w:ascii="C39T30Lfz" w:hAnsi="C39T30Lfz"/>
        <w:kern w:val="14"/>
        <w:sz w:val="56"/>
      </w:rPr>
      <w:t></w:t>
    </w:r>
    <w:r w:rsidRPr="00A0595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2C889E" wp14:editId="5B81CA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DD12" w14:textId="77777777" w:rsidR="00443587" w:rsidRPr="001075E9" w:rsidRDefault="004435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DEA831" w14:textId="77777777" w:rsidR="00443587" w:rsidRDefault="004435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54876E" w14:textId="77777777" w:rsidR="00A0595B" w:rsidRPr="007E5C8F" w:rsidRDefault="00A0595B" w:rsidP="00A0595B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6A7E45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DC25" w14:textId="1F7C8BD8" w:rsidR="00A0595B" w:rsidRPr="00A0595B" w:rsidRDefault="0076615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ECE/TRANS/WP.29/GRPE/2019/11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EBEE" w14:textId="0D8F4DCB" w:rsidR="00A0595B" w:rsidRPr="00A0595B" w:rsidRDefault="0076615C" w:rsidP="00A0595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ECE/TRANS/WP.29/GRPE/2019/11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CDFA" w14:textId="77777777" w:rsidR="00A0595B" w:rsidRDefault="00A0595B" w:rsidP="00A0595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87"/>
    <w:rsid w:val="00033EE1"/>
    <w:rsid w:val="00042B72"/>
    <w:rsid w:val="000558BD"/>
    <w:rsid w:val="000B57E7"/>
    <w:rsid w:val="000B6373"/>
    <w:rsid w:val="000C6BC1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3587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5C39"/>
    <w:rsid w:val="00680D03"/>
    <w:rsid w:val="00681A10"/>
    <w:rsid w:val="006A1ED8"/>
    <w:rsid w:val="006A7E45"/>
    <w:rsid w:val="006C2031"/>
    <w:rsid w:val="006D461A"/>
    <w:rsid w:val="006F35EE"/>
    <w:rsid w:val="007021FF"/>
    <w:rsid w:val="00712895"/>
    <w:rsid w:val="00734ACB"/>
    <w:rsid w:val="00757357"/>
    <w:rsid w:val="0076615C"/>
    <w:rsid w:val="00792497"/>
    <w:rsid w:val="00806737"/>
    <w:rsid w:val="00825F8D"/>
    <w:rsid w:val="00834B71"/>
    <w:rsid w:val="0086445C"/>
    <w:rsid w:val="00894693"/>
    <w:rsid w:val="008A08D7"/>
    <w:rsid w:val="008A37C8"/>
    <w:rsid w:val="008A54F0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595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2C84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2FBE7"/>
  <w15:docId w15:val="{5FF30312-A80B-4B35-974A-B393C08B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0595B"/>
    <w:rPr>
      <w:lang w:val="ru-RU" w:eastAsia="en-US"/>
    </w:rPr>
  </w:style>
  <w:style w:type="character" w:customStyle="1" w:styleId="HChGChar">
    <w:name w:val="_ H _Ch_G Char"/>
    <w:link w:val="HChG"/>
    <w:rsid w:val="00A0595B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A0595B"/>
    <w:pPr>
      <w:ind w:left="2268" w:hanging="1134"/>
    </w:pPr>
    <w:rPr>
      <w:rFonts w:eastAsia="MS Mincho"/>
      <w:lang w:val="fr-CH"/>
    </w:rPr>
  </w:style>
  <w:style w:type="character" w:customStyle="1" w:styleId="paraChar">
    <w:name w:val="para Char"/>
    <w:link w:val="para"/>
    <w:rsid w:val="00A0595B"/>
    <w:rPr>
      <w:rFonts w:eastAsia="MS Mincho"/>
      <w:lang w:val="fr-CH" w:eastAsia="en-US"/>
    </w:rPr>
  </w:style>
  <w:style w:type="paragraph" w:customStyle="1" w:styleId="ParaNo">
    <w:name w:val="ParaNo."/>
    <w:basedOn w:val="a"/>
    <w:rsid w:val="00A0595B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eastAsia="MS Mincho" w:cs="Times New Roman"/>
      <w:sz w:val="24"/>
      <w:szCs w:val="20"/>
      <w:lang w:val="fr-FR"/>
    </w:rPr>
  </w:style>
  <w:style w:type="character" w:customStyle="1" w:styleId="H1GChar">
    <w:name w:val="_ H_1_G Char"/>
    <w:link w:val="H1G"/>
    <w:rsid w:val="00A0595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436</Words>
  <Characters>3138</Characters>
  <Application>Microsoft Office Word</Application>
  <DocSecurity>0</DocSecurity>
  <Lines>75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ECE/TRANS/WP.29/GRPE/2019/11</vt:lpstr>
      <vt:lpstr>A/</vt:lpstr>
      <vt:lpstr>A/</vt:lpstr>
    </vt:vector>
  </TitlesOfParts>
  <Company>DCM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ECE/TRANS/WP.29/GRPE/2019/11</dc:title>
  <dc:subject/>
  <dc:creator>Shuvalova NATALIA</dc:creator>
  <cp:keywords/>
  <cp:lastModifiedBy>Natalia Shuvalova</cp:lastModifiedBy>
  <cp:revision>3</cp:revision>
  <cp:lastPrinted>2019-04-04T12:20:00Z</cp:lastPrinted>
  <dcterms:created xsi:type="dcterms:W3CDTF">2019-04-04T12:20:00Z</dcterms:created>
  <dcterms:modified xsi:type="dcterms:W3CDTF">2019-04-04T12:21:00Z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