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D44" w:rsidRPr="00E17320" w:rsidRDefault="00C3172E" w:rsidP="00644191">
      <w:pPr>
        <w:pStyle w:val="HChG"/>
      </w:pPr>
      <w:r>
        <w:tab/>
      </w:r>
      <w:r w:rsidR="00B44D44">
        <w:tab/>
      </w:r>
      <w:r w:rsidR="00A550A0">
        <w:t xml:space="preserve">Priority topics for </w:t>
      </w:r>
      <w:r w:rsidR="00E43A1B">
        <w:t>GRPE activities</w:t>
      </w:r>
    </w:p>
    <w:p w:rsidR="00D032FC" w:rsidRDefault="00D032FC" w:rsidP="00D032FC">
      <w:pPr>
        <w:pStyle w:val="H1G"/>
      </w:pPr>
      <w:r>
        <w:tab/>
      </w:r>
      <w:r>
        <w:tab/>
        <w:t xml:space="preserve">Note by the </w:t>
      </w:r>
      <w:r w:rsidR="004E5E55">
        <w:t xml:space="preserve">Chair and </w:t>
      </w:r>
      <w:r>
        <w:t>secretariat</w:t>
      </w:r>
    </w:p>
    <w:p w:rsidR="000B625D" w:rsidRDefault="00B44D44" w:rsidP="00EC5911">
      <w:pPr>
        <w:pStyle w:val="SingleTxtG"/>
        <w:ind w:firstLine="567"/>
      </w:pPr>
      <w:r w:rsidRPr="00BA22BA">
        <w:t>The text reproduced below was prepared by</w:t>
      </w:r>
      <w:r w:rsidR="00D032FC">
        <w:t xml:space="preserve"> </w:t>
      </w:r>
      <w:r w:rsidR="004E5E55">
        <w:t>the Chair</w:t>
      </w:r>
      <w:r w:rsidR="00B510A6">
        <w:t xml:space="preserve"> of GRPE</w:t>
      </w:r>
      <w:r w:rsidR="004E5E55">
        <w:t xml:space="preserve"> and the </w:t>
      </w:r>
      <w:r w:rsidR="00D032FC">
        <w:t>secretariat</w:t>
      </w:r>
      <w:r w:rsidR="00E43A1B">
        <w:t xml:space="preserve"> to initiate a reflection by GRPE</w:t>
      </w:r>
      <w:r w:rsidR="00B510A6">
        <w:t xml:space="preserve"> and WP.29</w:t>
      </w:r>
      <w:r w:rsidR="00E43A1B">
        <w:t xml:space="preserve"> stakeholders on the future activities that GRPE could sustain in the short</w:t>
      </w:r>
      <w:r w:rsidR="004E5E55">
        <w:t>,</w:t>
      </w:r>
      <w:r w:rsidR="00E43A1B">
        <w:t xml:space="preserve"> medium and long term</w:t>
      </w:r>
      <w:r w:rsidR="004E5E55">
        <w:t>s</w:t>
      </w:r>
      <w:r w:rsidR="00F70587">
        <w:rPr>
          <w:rStyle w:val="Appelnotedebasdep"/>
        </w:rPr>
        <w:footnoteReference w:id="2"/>
      </w:r>
      <w:r w:rsidR="00E43A1B">
        <w:t>.</w:t>
      </w:r>
      <w:r w:rsidR="00D032FC">
        <w:t xml:space="preserve"> It is </w:t>
      </w:r>
      <w:r w:rsidR="004E5E55">
        <w:t xml:space="preserve">expected to be </w:t>
      </w:r>
      <w:r w:rsidR="00D032FC">
        <w:t xml:space="preserve">submitted to the World Forum for Harmonization of Vehicle Regulations (WP.29) </w:t>
      </w:r>
      <w:r w:rsidR="00E43A1B">
        <w:t xml:space="preserve">as informal document </w:t>
      </w:r>
      <w:r w:rsidR="00D032FC">
        <w:t xml:space="preserve">for </w:t>
      </w:r>
      <w:r w:rsidR="00E43A1B">
        <w:t>discussion</w:t>
      </w:r>
      <w:r w:rsidR="00D032FC">
        <w:t xml:space="preserve"> at its 17</w:t>
      </w:r>
      <w:r w:rsidR="00E43A1B">
        <w:t>8</w:t>
      </w:r>
      <w:r w:rsidR="00D032FC" w:rsidRPr="00CC7ED1">
        <w:t>th</w:t>
      </w:r>
      <w:r w:rsidR="00D032FC">
        <w:t xml:space="preserve"> session in </w:t>
      </w:r>
      <w:r w:rsidR="00E43A1B">
        <w:t>June</w:t>
      </w:r>
      <w:r w:rsidR="00D032FC">
        <w:t xml:space="preserve"> 2019</w:t>
      </w:r>
      <w:r w:rsidRPr="00BA22BA">
        <w:t>.</w:t>
      </w:r>
      <w:r w:rsidR="00D032FC">
        <w:t xml:space="preserve"> It </w:t>
      </w:r>
      <w:r w:rsidR="00EE5AFC">
        <w:t>is</w:t>
      </w:r>
      <w:r w:rsidR="00D032FC">
        <w:t xml:space="preserve"> </w:t>
      </w:r>
      <w:r w:rsidR="00E43A1B">
        <w:t xml:space="preserve">also </w:t>
      </w:r>
      <w:r w:rsidR="00D032FC">
        <w:t xml:space="preserve">shared for </w:t>
      </w:r>
      <w:r w:rsidR="00E43A1B">
        <w:t>discussion</w:t>
      </w:r>
      <w:r w:rsidR="00D032FC">
        <w:t xml:space="preserve"> with the Working Party on </w:t>
      </w:r>
      <w:r w:rsidR="00E43A1B">
        <w:t>Pollution and Energy</w:t>
      </w:r>
      <w:r w:rsidR="00D032FC">
        <w:t xml:space="preserve"> (GR</w:t>
      </w:r>
      <w:r w:rsidR="00E43A1B">
        <w:t>PE</w:t>
      </w:r>
      <w:r w:rsidR="00D032FC">
        <w:t>)</w:t>
      </w:r>
      <w:r w:rsidR="00EE5AFC">
        <w:t xml:space="preserve"> for review at its </w:t>
      </w:r>
      <w:r w:rsidR="00E43A1B">
        <w:t>79th</w:t>
      </w:r>
      <w:r w:rsidR="00EE5AFC">
        <w:t xml:space="preserve"> </w:t>
      </w:r>
      <w:r w:rsidR="00E43A1B">
        <w:t>session</w:t>
      </w:r>
      <w:r w:rsidR="00D032FC">
        <w:t>.</w:t>
      </w:r>
      <w:bookmarkStart w:id="0" w:name="_GoBack"/>
      <w:bookmarkEnd w:id="0"/>
    </w:p>
    <w:p w:rsidR="00B44D44" w:rsidRDefault="00B44D44" w:rsidP="006E0FA4">
      <w:pPr>
        <w:pStyle w:val="HChG"/>
        <w:keepNext w:val="0"/>
        <w:keepLines w:val="0"/>
        <w:pageBreakBefore/>
        <w:rPr>
          <w:lang w:val="en-US"/>
        </w:rPr>
      </w:pPr>
      <w:r>
        <w:rPr>
          <w:lang w:val="en-US"/>
        </w:rPr>
        <w:lastRenderedPageBreak/>
        <w:tab/>
      </w:r>
      <w:r>
        <w:rPr>
          <w:lang w:val="en-US"/>
        </w:rPr>
        <w:tab/>
      </w:r>
      <w:r w:rsidR="006E0FA4">
        <w:rPr>
          <w:lang w:val="en-US"/>
        </w:rPr>
        <w:t>P</w:t>
      </w:r>
      <w:r w:rsidRPr="00CB051D">
        <w:rPr>
          <w:lang w:val="en-US"/>
        </w:rPr>
        <w:t xml:space="preserve">roposal for </w:t>
      </w:r>
      <w:r w:rsidR="00D032FC">
        <w:rPr>
          <w:lang w:val="en-US"/>
        </w:rPr>
        <w:t xml:space="preserve">the definition of </w:t>
      </w:r>
      <w:r w:rsidR="00EE5AFC">
        <w:rPr>
          <w:lang w:val="en-US"/>
        </w:rPr>
        <w:t xml:space="preserve">WP.29 </w:t>
      </w:r>
      <w:r w:rsidR="00D032FC">
        <w:rPr>
          <w:lang w:val="en-US"/>
        </w:rPr>
        <w:t xml:space="preserve">work priorities related to </w:t>
      </w:r>
      <w:r w:rsidR="00E43A1B">
        <w:rPr>
          <w:lang w:val="en-US"/>
        </w:rPr>
        <w:t>pollution and energy topics covered by GRPE</w:t>
      </w:r>
    </w:p>
    <w:p w:rsidR="00C313DC" w:rsidRDefault="009C1087" w:rsidP="00D032FC">
      <w:pPr>
        <w:pStyle w:val="SingleTxtG"/>
      </w:pPr>
      <w:r>
        <w:t>1</w:t>
      </w:r>
      <w:r w:rsidR="00D032FC">
        <w:t>.</w:t>
      </w:r>
      <w:r w:rsidR="00D032FC">
        <w:tab/>
      </w:r>
      <w:r w:rsidR="002B41F7">
        <w:t>The table</w:t>
      </w:r>
      <w:r w:rsidR="00F6190E">
        <w:t>s</w:t>
      </w:r>
      <w:r w:rsidR="002B41F7">
        <w:t xml:space="preserve"> below </w:t>
      </w:r>
      <w:r w:rsidR="00F6190E">
        <w:t>are</w:t>
      </w:r>
      <w:r w:rsidR="002B41F7">
        <w:t xml:space="preserve"> focusing on </w:t>
      </w:r>
      <w:r w:rsidR="00E43A1B">
        <w:t>pollution and energy</w:t>
      </w:r>
      <w:r w:rsidR="002B41F7">
        <w:t xml:space="preserve">. </w:t>
      </w:r>
      <w:r w:rsidR="002B41F7" w:rsidRPr="00733A68">
        <w:t>This document does</w:t>
      </w:r>
      <w:r w:rsidR="00733A68" w:rsidRPr="00733A68">
        <w:t xml:space="preserve"> </w:t>
      </w:r>
      <w:r w:rsidR="002B41F7" w:rsidRPr="00733A68">
        <w:t>n</w:t>
      </w:r>
      <w:r w:rsidR="00733A68" w:rsidRPr="00733A68">
        <w:t>o</w:t>
      </w:r>
      <w:r w:rsidR="002B41F7" w:rsidRPr="00733A68">
        <w:t>t address the delivery mechanisms under one or more Agreement</w:t>
      </w:r>
      <w:r w:rsidR="00824FAF">
        <w:t>s</w:t>
      </w:r>
      <w:r w:rsidR="002B41F7" w:rsidRPr="00733A68">
        <w:t xml:space="preserve"> managed by WP.29</w:t>
      </w:r>
      <w:r w:rsidR="00733A68" w:rsidRPr="00733A68">
        <w:t>. GR</w:t>
      </w:r>
      <w:r w:rsidR="00E43A1B">
        <w:t>PE</w:t>
      </w:r>
      <w:r w:rsidR="00733A68" w:rsidRPr="00733A68">
        <w:t xml:space="preserve"> is committed to deliver technical provisions suitable for all Contracting Parties.</w:t>
      </w:r>
    </w:p>
    <w:p w:rsidR="00F6190E" w:rsidRDefault="009C1087" w:rsidP="009C1087">
      <w:pPr>
        <w:pStyle w:val="SingleTxtG"/>
      </w:pPr>
      <w:r>
        <w:t>2.</w:t>
      </w:r>
      <w:r>
        <w:tab/>
        <w:t>T</w:t>
      </w:r>
      <w:r w:rsidR="00F6190E">
        <w:t>able 1</w:t>
      </w:r>
      <w:r>
        <w:t xml:space="preserve"> below </w:t>
      </w:r>
      <w:r w:rsidR="00F6190E">
        <w:t>is</w:t>
      </w:r>
      <w:r>
        <w:t xml:space="preserve"> containing </w:t>
      </w:r>
      <w:r w:rsidR="00F6190E">
        <w:t>the on-going work occurring at GRPE and its IWGs.</w:t>
      </w:r>
    </w:p>
    <w:p w:rsidR="00CC7ED1" w:rsidRDefault="00F6190E" w:rsidP="00F6190E">
      <w:pPr>
        <w:pStyle w:val="SingleTxtG"/>
      </w:pPr>
      <w:r>
        <w:t>3.</w:t>
      </w:r>
      <w:r>
        <w:tab/>
        <w:t xml:space="preserve">Table 2 contains medium and longer term </w:t>
      </w:r>
      <w:r w:rsidR="009C1087">
        <w:t>proposed work priorities for WP.29.</w:t>
      </w:r>
    </w:p>
    <w:p w:rsidR="00CC7ED1" w:rsidRDefault="00CC7ED1">
      <w:pPr>
        <w:suppressAutoHyphens w:val="0"/>
        <w:spacing w:line="240" w:lineRule="auto"/>
      </w:pPr>
    </w:p>
    <w:p w:rsidR="009C1087" w:rsidRDefault="009C1087" w:rsidP="00CC7ED1">
      <w:pPr>
        <w:pStyle w:val="Titre1"/>
      </w:pPr>
      <w:r>
        <w:t>Table 1</w:t>
      </w:r>
    </w:p>
    <w:p w:rsidR="009C1087" w:rsidRDefault="00C06244" w:rsidP="00CC7ED1">
      <w:pPr>
        <w:pStyle w:val="Titre1"/>
        <w:spacing w:after="120"/>
        <w:rPr>
          <w:b/>
          <w:bCs/>
        </w:rPr>
      </w:pPr>
      <w:r>
        <w:rPr>
          <w:b/>
          <w:bCs/>
        </w:rPr>
        <w:t>On-going w</w:t>
      </w:r>
      <w:r w:rsidR="009C1087" w:rsidRPr="00CC7ED1">
        <w:rPr>
          <w:b/>
          <w:bCs/>
        </w:rPr>
        <w:t xml:space="preserve">ork </w:t>
      </w:r>
      <w:r w:rsidR="00C22705">
        <w:rPr>
          <w:b/>
          <w:bCs/>
        </w:rPr>
        <w:t>activi</w:t>
      </w:r>
      <w:r w:rsidR="009C1087" w:rsidRPr="00CC7ED1">
        <w:rPr>
          <w:b/>
          <w:bCs/>
        </w:rPr>
        <w:t xml:space="preserve">ties related to </w:t>
      </w:r>
      <w:r w:rsidR="00E43A1B">
        <w:rPr>
          <w:b/>
          <w:bCs/>
        </w:rPr>
        <w:t>pollution and energy</w:t>
      </w:r>
    </w:p>
    <w:tbl>
      <w:tblPr>
        <w:tblW w:w="5015" w:type="pct"/>
        <w:jc w:val="center"/>
        <w:tblBorders>
          <w:top w:val="single" w:sz="4" w:space="0" w:color="auto"/>
          <w:bottom w:val="single" w:sz="12" w:space="0" w:color="auto"/>
        </w:tblBorders>
        <w:tblLayout w:type="fixed"/>
        <w:tblCellMar>
          <w:left w:w="0" w:type="dxa"/>
          <w:right w:w="0" w:type="dxa"/>
        </w:tblCellMar>
        <w:tblLook w:val="0620" w:firstRow="1" w:lastRow="0" w:firstColumn="0" w:lastColumn="0" w:noHBand="1" w:noVBand="1"/>
      </w:tblPr>
      <w:tblGrid>
        <w:gridCol w:w="1270"/>
        <w:gridCol w:w="1003"/>
        <w:gridCol w:w="798"/>
        <w:gridCol w:w="3554"/>
        <w:gridCol w:w="3033"/>
      </w:tblGrid>
      <w:tr w:rsidR="00F70587" w:rsidRPr="00FF47E4" w:rsidTr="005B5645">
        <w:trPr>
          <w:trHeight w:val="241"/>
          <w:jc w:val="center"/>
        </w:trPr>
        <w:tc>
          <w:tcPr>
            <w:tcW w:w="658" w:type="pct"/>
            <w:tcBorders>
              <w:top w:val="single" w:sz="4" w:space="0" w:color="auto"/>
              <w:left w:val="single" w:sz="4" w:space="0" w:color="auto"/>
              <w:bottom w:val="single" w:sz="12" w:space="0" w:color="auto"/>
              <w:right w:val="single" w:sz="4" w:space="0" w:color="auto"/>
            </w:tcBorders>
            <w:shd w:val="clear" w:color="auto" w:fill="auto"/>
            <w:tcMar>
              <w:top w:w="43" w:type="dxa"/>
              <w:left w:w="85" w:type="dxa"/>
              <w:bottom w:w="43" w:type="dxa"/>
              <w:right w:w="85" w:type="dxa"/>
            </w:tcMar>
          </w:tcPr>
          <w:p w:rsidR="00F70587" w:rsidRPr="00D54EF1" w:rsidRDefault="00F70587" w:rsidP="00B010B9">
            <w:pPr>
              <w:widowControl w:val="0"/>
              <w:suppressAutoHyphens w:val="0"/>
              <w:spacing w:before="80" w:after="80" w:line="200" w:lineRule="exact"/>
              <w:ind w:right="113"/>
              <w:rPr>
                <w:rFonts w:eastAsia="MS PGothic"/>
                <w:i/>
                <w:sz w:val="16"/>
                <w:szCs w:val="16"/>
              </w:rPr>
            </w:pPr>
            <w:r w:rsidRPr="00D54EF1">
              <w:rPr>
                <w:rFonts w:eastAsia="MS PGothic"/>
                <w:i/>
                <w:sz w:val="16"/>
                <w:szCs w:val="16"/>
              </w:rPr>
              <w:t>Title</w:t>
            </w:r>
          </w:p>
        </w:tc>
        <w:tc>
          <w:tcPr>
            <w:tcW w:w="519" w:type="pct"/>
            <w:tcBorders>
              <w:top w:val="single" w:sz="4" w:space="0" w:color="auto"/>
              <w:left w:val="single" w:sz="4" w:space="0" w:color="auto"/>
              <w:bottom w:val="single" w:sz="12" w:space="0" w:color="auto"/>
              <w:right w:val="single" w:sz="4" w:space="0" w:color="auto"/>
            </w:tcBorders>
            <w:shd w:val="clear" w:color="auto" w:fill="auto"/>
            <w:tcMar>
              <w:top w:w="43" w:type="dxa"/>
              <w:left w:w="43" w:type="dxa"/>
              <w:bottom w:w="43" w:type="dxa"/>
              <w:right w:w="43" w:type="dxa"/>
            </w:tcMar>
          </w:tcPr>
          <w:p w:rsidR="00F70587" w:rsidRPr="00D54EF1" w:rsidRDefault="00F70587" w:rsidP="00B010B9">
            <w:pPr>
              <w:widowControl w:val="0"/>
              <w:suppressAutoHyphens w:val="0"/>
              <w:spacing w:before="80" w:after="80" w:line="200" w:lineRule="exact"/>
              <w:ind w:right="113"/>
              <w:jc w:val="center"/>
              <w:rPr>
                <w:rFonts w:eastAsia="MS PGothic"/>
                <w:i/>
                <w:sz w:val="16"/>
                <w:szCs w:val="16"/>
              </w:rPr>
            </w:pPr>
            <w:r>
              <w:rPr>
                <w:rFonts w:eastAsia="MS PGothic"/>
                <w:i/>
                <w:sz w:val="16"/>
                <w:szCs w:val="16"/>
              </w:rPr>
              <w:t>Deadline for working document(s)</w:t>
            </w:r>
          </w:p>
        </w:tc>
        <w:tc>
          <w:tcPr>
            <w:tcW w:w="413" w:type="pct"/>
            <w:tcBorders>
              <w:top w:val="single" w:sz="4" w:space="0" w:color="auto"/>
              <w:left w:val="single" w:sz="4" w:space="0" w:color="auto"/>
              <w:bottom w:val="single" w:sz="12" w:space="0" w:color="auto"/>
              <w:right w:val="single" w:sz="4" w:space="0" w:color="auto"/>
            </w:tcBorders>
            <w:shd w:val="clear" w:color="auto" w:fill="auto"/>
            <w:tcMar>
              <w:top w:w="43" w:type="dxa"/>
              <w:left w:w="43" w:type="dxa"/>
              <w:bottom w:w="43" w:type="dxa"/>
              <w:right w:w="43" w:type="dxa"/>
            </w:tcMar>
          </w:tcPr>
          <w:p w:rsidR="00F70587" w:rsidRPr="00D54EF1" w:rsidRDefault="00F70587" w:rsidP="00B010B9">
            <w:pPr>
              <w:widowControl w:val="0"/>
              <w:suppressAutoHyphens w:val="0"/>
              <w:spacing w:before="80" w:after="80" w:line="200" w:lineRule="exact"/>
              <w:ind w:right="113"/>
              <w:jc w:val="center"/>
              <w:rPr>
                <w:rFonts w:eastAsia="MS PGothic"/>
                <w:i/>
                <w:sz w:val="16"/>
                <w:szCs w:val="16"/>
              </w:rPr>
            </w:pPr>
            <w:r>
              <w:rPr>
                <w:rFonts w:eastAsia="MS PGothic"/>
                <w:i/>
                <w:sz w:val="16"/>
                <w:szCs w:val="16"/>
              </w:rPr>
              <w:t>Lead</w:t>
            </w:r>
            <w:r w:rsidRPr="00D54EF1">
              <w:rPr>
                <w:rFonts w:eastAsia="MS PGothic"/>
                <w:i/>
                <w:sz w:val="16"/>
                <w:szCs w:val="16"/>
              </w:rPr>
              <w:t>s</w:t>
            </w:r>
          </w:p>
        </w:tc>
        <w:tc>
          <w:tcPr>
            <w:tcW w:w="1840" w:type="pct"/>
            <w:tcBorders>
              <w:top w:val="single" w:sz="4" w:space="0" w:color="auto"/>
              <w:left w:val="single" w:sz="4" w:space="0" w:color="auto"/>
              <w:bottom w:val="single" w:sz="12" w:space="0" w:color="auto"/>
              <w:right w:val="single" w:sz="4" w:space="0" w:color="auto"/>
            </w:tcBorders>
          </w:tcPr>
          <w:p w:rsidR="00F70587" w:rsidRPr="00D54EF1" w:rsidRDefault="00F70587" w:rsidP="00B010B9">
            <w:pPr>
              <w:widowControl w:val="0"/>
              <w:suppressAutoHyphens w:val="0"/>
              <w:spacing w:before="80" w:after="80" w:line="200" w:lineRule="exact"/>
              <w:ind w:right="113"/>
              <w:jc w:val="center"/>
              <w:rPr>
                <w:rFonts w:eastAsia="MS PGothic"/>
                <w:i/>
                <w:sz w:val="16"/>
                <w:szCs w:val="16"/>
              </w:rPr>
            </w:pPr>
            <w:r>
              <w:rPr>
                <w:rFonts w:eastAsia="MS PGothic"/>
                <w:i/>
                <w:sz w:val="16"/>
                <w:szCs w:val="16"/>
              </w:rPr>
              <w:t>Deliverables</w:t>
            </w:r>
          </w:p>
        </w:tc>
        <w:tc>
          <w:tcPr>
            <w:tcW w:w="1570" w:type="pct"/>
            <w:tcBorders>
              <w:top w:val="single" w:sz="4" w:space="0" w:color="auto"/>
              <w:left w:val="single" w:sz="4" w:space="0" w:color="auto"/>
              <w:bottom w:val="single" w:sz="12" w:space="0" w:color="auto"/>
              <w:right w:val="single" w:sz="4" w:space="0" w:color="auto"/>
            </w:tcBorders>
          </w:tcPr>
          <w:p w:rsidR="00F70587" w:rsidRPr="00D54EF1" w:rsidRDefault="00F70587" w:rsidP="00B010B9">
            <w:pPr>
              <w:widowControl w:val="0"/>
              <w:suppressAutoHyphens w:val="0"/>
              <w:spacing w:before="80" w:after="80" w:line="200" w:lineRule="exact"/>
              <w:ind w:right="113"/>
              <w:jc w:val="center"/>
              <w:rPr>
                <w:rFonts w:eastAsia="MS PGothic"/>
                <w:i/>
                <w:sz w:val="16"/>
                <w:szCs w:val="16"/>
              </w:rPr>
            </w:pPr>
            <w:r w:rsidRPr="00D54EF1">
              <w:rPr>
                <w:rFonts w:eastAsia="MS PGothic"/>
                <w:i/>
                <w:sz w:val="16"/>
                <w:szCs w:val="16"/>
              </w:rPr>
              <w:t>Comments</w:t>
            </w:r>
          </w:p>
        </w:tc>
      </w:tr>
      <w:tr w:rsidR="00F70587" w:rsidRPr="00FF47E4" w:rsidTr="005B5645">
        <w:trPr>
          <w:trHeight w:val="445"/>
          <w:jc w:val="center"/>
        </w:trPr>
        <w:tc>
          <w:tcPr>
            <w:tcW w:w="658" w:type="pct"/>
            <w:tcBorders>
              <w:top w:val="single" w:sz="12"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vAlign w:val="center"/>
          </w:tcPr>
          <w:p w:rsidR="00F70587" w:rsidRPr="00580629" w:rsidRDefault="00F70587" w:rsidP="00B010B9">
            <w:pPr>
              <w:widowControl w:val="0"/>
              <w:suppressAutoHyphens w:val="0"/>
              <w:snapToGrid w:val="0"/>
              <w:rPr>
                <w:sz w:val="18"/>
                <w:szCs w:val="18"/>
              </w:rPr>
            </w:pPr>
            <w:r>
              <w:rPr>
                <w:sz w:val="18"/>
                <w:szCs w:val="18"/>
              </w:rPr>
              <w:t>Global Real Driving Emissions (RDE)</w:t>
            </w:r>
            <w:r w:rsidRPr="00580629">
              <w:rPr>
                <w:sz w:val="18"/>
                <w:szCs w:val="18"/>
              </w:rPr>
              <w:t xml:space="preserve"> </w:t>
            </w:r>
          </w:p>
        </w:tc>
        <w:tc>
          <w:tcPr>
            <w:tcW w:w="519" w:type="pct"/>
            <w:tcBorders>
              <w:top w:val="single" w:sz="12"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F70587" w:rsidRPr="00580629" w:rsidRDefault="00F70587" w:rsidP="00B010B9">
            <w:pPr>
              <w:widowControl w:val="0"/>
              <w:suppressAutoHyphens w:val="0"/>
              <w:spacing w:before="40" w:after="120" w:line="220" w:lineRule="exact"/>
              <w:ind w:right="113"/>
              <w:rPr>
                <w:rFonts w:eastAsia="MS PGothic"/>
                <w:bCs/>
                <w:sz w:val="18"/>
                <w:szCs w:val="18"/>
              </w:rPr>
            </w:pPr>
            <w:r>
              <w:rPr>
                <w:rFonts w:eastAsia="MS PGothic"/>
                <w:bCs/>
                <w:sz w:val="18"/>
                <w:szCs w:val="18"/>
              </w:rPr>
              <w:t>Q4 2020</w:t>
            </w:r>
          </w:p>
        </w:tc>
        <w:tc>
          <w:tcPr>
            <w:tcW w:w="413" w:type="pct"/>
            <w:tcBorders>
              <w:top w:val="single" w:sz="12"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F70587" w:rsidRPr="00580629" w:rsidRDefault="00F70587" w:rsidP="00B010B9">
            <w:pPr>
              <w:widowControl w:val="0"/>
              <w:suppressAutoHyphens w:val="0"/>
              <w:spacing w:before="40" w:after="120" w:line="220" w:lineRule="exact"/>
              <w:ind w:right="113"/>
              <w:rPr>
                <w:rFonts w:eastAsia="MS PGothic"/>
                <w:bCs/>
                <w:sz w:val="18"/>
                <w:szCs w:val="18"/>
              </w:rPr>
            </w:pPr>
            <w:r>
              <w:rPr>
                <w:rFonts w:eastAsia="MS PGothic"/>
                <w:bCs/>
                <w:sz w:val="18"/>
                <w:szCs w:val="18"/>
              </w:rPr>
              <w:t>IWG on RDE</w:t>
            </w:r>
          </w:p>
        </w:tc>
        <w:tc>
          <w:tcPr>
            <w:tcW w:w="1840" w:type="pct"/>
            <w:tcBorders>
              <w:top w:val="single" w:sz="12" w:space="0" w:color="auto"/>
              <w:left w:val="single" w:sz="4" w:space="0" w:color="auto"/>
              <w:bottom w:val="single" w:sz="4" w:space="0" w:color="auto"/>
              <w:right w:val="single" w:sz="4" w:space="0" w:color="auto"/>
            </w:tcBorders>
          </w:tcPr>
          <w:p w:rsidR="00F70587" w:rsidRDefault="00F70587" w:rsidP="00B010B9">
            <w:pPr>
              <w:widowControl w:val="0"/>
              <w:suppressAutoHyphens w:val="0"/>
              <w:spacing w:before="40" w:after="120" w:line="220" w:lineRule="exact"/>
              <w:ind w:left="136" w:right="113"/>
              <w:rPr>
                <w:rFonts w:eastAsia="MS PGothic"/>
                <w:bCs/>
                <w:sz w:val="18"/>
                <w:szCs w:val="18"/>
              </w:rPr>
            </w:pPr>
            <w:r>
              <w:rPr>
                <w:rFonts w:eastAsia="MS PGothic"/>
                <w:bCs/>
                <w:sz w:val="18"/>
                <w:szCs w:val="18"/>
              </w:rPr>
              <w:t>Target UN GTR as working document Q4 2020.</w:t>
            </w:r>
          </w:p>
        </w:tc>
        <w:tc>
          <w:tcPr>
            <w:tcW w:w="1570" w:type="pct"/>
            <w:tcBorders>
              <w:top w:val="single" w:sz="12" w:space="0" w:color="auto"/>
              <w:left w:val="single" w:sz="4" w:space="0" w:color="auto"/>
              <w:bottom w:val="single" w:sz="4" w:space="0" w:color="auto"/>
              <w:right w:val="single" w:sz="4" w:space="0" w:color="auto"/>
            </w:tcBorders>
          </w:tcPr>
          <w:p w:rsidR="00F70587" w:rsidRPr="00580629" w:rsidRDefault="00F70587" w:rsidP="00B010B9">
            <w:pPr>
              <w:widowControl w:val="0"/>
              <w:suppressAutoHyphens w:val="0"/>
              <w:spacing w:before="40" w:after="120" w:line="220" w:lineRule="exact"/>
              <w:ind w:left="136" w:right="113"/>
              <w:rPr>
                <w:rFonts w:eastAsia="MS PGothic"/>
                <w:bCs/>
                <w:sz w:val="18"/>
                <w:szCs w:val="18"/>
              </w:rPr>
            </w:pPr>
          </w:p>
        </w:tc>
      </w:tr>
      <w:tr w:rsidR="00F70587" w:rsidRPr="00FF47E4" w:rsidTr="005B5645">
        <w:trPr>
          <w:trHeight w:val="445"/>
          <w:jc w:val="center"/>
        </w:trPr>
        <w:tc>
          <w:tcPr>
            <w:tcW w:w="658" w:type="pct"/>
            <w:tcBorders>
              <w:top w:val="single" w:sz="4"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tcPr>
          <w:p w:rsidR="00F70587" w:rsidRPr="00315086" w:rsidRDefault="00F70587" w:rsidP="00B010B9">
            <w:pPr>
              <w:widowControl w:val="0"/>
              <w:suppressAutoHyphens w:val="0"/>
              <w:spacing w:before="40" w:after="120" w:line="220" w:lineRule="exact"/>
              <w:ind w:right="113"/>
              <w:rPr>
                <w:rFonts w:eastAsia="MS PGothic"/>
                <w:sz w:val="18"/>
                <w:szCs w:val="18"/>
              </w:rPr>
            </w:pPr>
            <w:r>
              <w:rPr>
                <w:rFonts w:eastAsia="MS PGothic"/>
                <w:sz w:val="18"/>
                <w:szCs w:val="18"/>
              </w:rPr>
              <w:t>Worldwide light duty test procedure (WLTP)</w:t>
            </w:r>
          </w:p>
        </w:tc>
        <w:tc>
          <w:tcPr>
            <w:tcW w:w="519"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5B5645" w:rsidRDefault="00F70587" w:rsidP="00B010B9">
            <w:pPr>
              <w:widowControl w:val="0"/>
              <w:suppressAutoHyphens w:val="0"/>
              <w:spacing w:before="40" w:after="120" w:line="220" w:lineRule="exact"/>
              <w:ind w:right="113"/>
              <w:rPr>
                <w:rFonts w:eastAsia="MS PGothic"/>
                <w:bCs/>
                <w:sz w:val="18"/>
                <w:szCs w:val="18"/>
              </w:rPr>
            </w:pPr>
            <w:r>
              <w:rPr>
                <w:rFonts w:eastAsia="MS PGothic"/>
                <w:bCs/>
                <w:sz w:val="18"/>
                <w:szCs w:val="18"/>
              </w:rPr>
              <w:t>Q</w:t>
            </w:r>
            <w:r w:rsidR="005B5645">
              <w:rPr>
                <w:rFonts w:eastAsia="MS PGothic"/>
                <w:bCs/>
                <w:sz w:val="18"/>
                <w:szCs w:val="18"/>
              </w:rPr>
              <w:t>2</w:t>
            </w:r>
            <w:r>
              <w:rPr>
                <w:rFonts w:eastAsia="MS PGothic"/>
                <w:bCs/>
                <w:sz w:val="18"/>
                <w:szCs w:val="18"/>
              </w:rPr>
              <w:t xml:space="preserve"> 2020 </w:t>
            </w:r>
          </w:p>
          <w:p w:rsidR="005B5645" w:rsidRDefault="005B5645" w:rsidP="00B010B9">
            <w:pPr>
              <w:widowControl w:val="0"/>
              <w:suppressAutoHyphens w:val="0"/>
              <w:spacing w:before="40" w:after="120" w:line="220" w:lineRule="exact"/>
              <w:ind w:right="113"/>
              <w:rPr>
                <w:rFonts w:eastAsia="MS PGothic"/>
                <w:bCs/>
                <w:sz w:val="18"/>
                <w:szCs w:val="18"/>
              </w:rPr>
            </w:pPr>
          </w:p>
          <w:p w:rsidR="005B5645" w:rsidRDefault="005B5645" w:rsidP="00B010B9">
            <w:pPr>
              <w:widowControl w:val="0"/>
              <w:suppressAutoHyphens w:val="0"/>
              <w:spacing w:before="40" w:after="120" w:line="220" w:lineRule="exact"/>
              <w:ind w:right="113"/>
              <w:rPr>
                <w:rFonts w:eastAsia="MS PGothic"/>
                <w:bCs/>
                <w:sz w:val="18"/>
                <w:szCs w:val="18"/>
              </w:rPr>
            </w:pPr>
          </w:p>
          <w:p w:rsidR="005B5645" w:rsidRDefault="005B5645" w:rsidP="00B010B9">
            <w:pPr>
              <w:widowControl w:val="0"/>
              <w:suppressAutoHyphens w:val="0"/>
              <w:spacing w:before="40" w:after="120" w:line="220" w:lineRule="exact"/>
              <w:ind w:right="113"/>
              <w:rPr>
                <w:rFonts w:eastAsia="MS PGothic"/>
                <w:bCs/>
                <w:sz w:val="18"/>
                <w:szCs w:val="18"/>
              </w:rPr>
            </w:pPr>
          </w:p>
          <w:p w:rsidR="00F70587" w:rsidRPr="00315086" w:rsidRDefault="00F70587" w:rsidP="00B010B9">
            <w:pPr>
              <w:widowControl w:val="0"/>
              <w:suppressAutoHyphens w:val="0"/>
              <w:spacing w:before="40" w:after="120" w:line="220" w:lineRule="exact"/>
              <w:ind w:right="113"/>
              <w:rPr>
                <w:rFonts w:eastAsia="MS PGothic"/>
                <w:bCs/>
                <w:sz w:val="18"/>
                <w:szCs w:val="18"/>
              </w:rPr>
            </w:pPr>
            <w:r>
              <w:rPr>
                <w:rFonts w:eastAsia="MS PGothic"/>
                <w:bCs/>
                <w:sz w:val="18"/>
                <w:szCs w:val="18"/>
              </w:rPr>
              <w:t>Q</w:t>
            </w:r>
            <w:r w:rsidR="005B5645">
              <w:rPr>
                <w:rFonts w:eastAsia="MS PGothic"/>
                <w:bCs/>
                <w:sz w:val="18"/>
                <w:szCs w:val="18"/>
              </w:rPr>
              <w:t xml:space="preserve">1 </w:t>
            </w:r>
            <w:r>
              <w:rPr>
                <w:rFonts w:eastAsia="MS PGothic"/>
                <w:bCs/>
                <w:sz w:val="18"/>
                <w:szCs w:val="18"/>
              </w:rPr>
              <w:t>2020</w:t>
            </w:r>
          </w:p>
        </w:tc>
        <w:tc>
          <w:tcPr>
            <w:tcW w:w="413"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F70587" w:rsidRPr="00315086" w:rsidRDefault="00F70587" w:rsidP="00B010B9">
            <w:pPr>
              <w:widowControl w:val="0"/>
              <w:suppressAutoHyphens w:val="0"/>
              <w:spacing w:before="40" w:after="120" w:line="220" w:lineRule="exact"/>
              <w:ind w:right="113"/>
              <w:rPr>
                <w:rFonts w:eastAsia="MS PGothic"/>
                <w:bCs/>
                <w:sz w:val="18"/>
                <w:szCs w:val="18"/>
              </w:rPr>
            </w:pPr>
            <w:r>
              <w:rPr>
                <w:rFonts w:eastAsia="MS PGothic"/>
                <w:bCs/>
                <w:sz w:val="18"/>
                <w:szCs w:val="18"/>
              </w:rPr>
              <w:t>IWG on WLTP</w:t>
            </w:r>
          </w:p>
        </w:tc>
        <w:tc>
          <w:tcPr>
            <w:tcW w:w="1840" w:type="pct"/>
            <w:tcBorders>
              <w:top w:val="single" w:sz="4" w:space="0" w:color="auto"/>
              <w:left w:val="single" w:sz="4" w:space="0" w:color="auto"/>
              <w:bottom w:val="single" w:sz="4" w:space="0" w:color="auto"/>
              <w:right w:val="single" w:sz="4" w:space="0" w:color="auto"/>
            </w:tcBorders>
          </w:tcPr>
          <w:p w:rsidR="00F70587" w:rsidRDefault="00F70587" w:rsidP="005B5645">
            <w:pPr>
              <w:widowControl w:val="0"/>
              <w:suppressAutoHyphens w:val="0"/>
              <w:spacing w:before="40" w:after="120" w:line="220" w:lineRule="exact"/>
              <w:ind w:left="136" w:right="113"/>
              <w:rPr>
                <w:rFonts w:eastAsia="MS PGothic"/>
                <w:bCs/>
                <w:sz w:val="18"/>
                <w:szCs w:val="18"/>
              </w:rPr>
            </w:pPr>
            <w:r>
              <w:rPr>
                <w:rFonts w:eastAsia="MS PGothic"/>
                <w:bCs/>
                <w:sz w:val="18"/>
                <w:szCs w:val="18"/>
              </w:rPr>
              <w:t>Many UN GTR activities on going (Q2 2020):</w:t>
            </w:r>
            <w:r>
              <w:rPr>
                <w:rFonts w:eastAsia="MS PGothic"/>
                <w:bCs/>
                <w:sz w:val="18"/>
                <w:szCs w:val="18"/>
              </w:rPr>
              <w:br/>
              <w:t>- Low temperature test</w:t>
            </w:r>
            <w:r>
              <w:rPr>
                <w:rFonts w:eastAsia="MS PGothic"/>
                <w:bCs/>
                <w:sz w:val="18"/>
                <w:szCs w:val="18"/>
              </w:rPr>
              <w:br/>
              <w:t>- OBD</w:t>
            </w:r>
            <w:r>
              <w:rPr>
                <w:rFonts w:eastAsia="MS PGothic"/>
                <w:bCs/>
                <w:sz w:val="18"/>
                <w:szCs w:val="18"/>
              </w:rPr>
              <w:br/>
              <w:t>- other pending items</w:t>
            </w:r>
            <w:r>
              <w:rPr>
                <w:rFonts w:eastAsia="MS PGothic"/>
                <w:bCs/>
                <w:sz w:val="18"/>
                <w:szCs w:val="18"/>
              </w:rPr>
              <w:br/>
            </w:r>
            <w:r>
              <w:rPr>
                <w:rFonts w:eastAsia="MS PGothic"/>
                <w:bCs/>
                <w:sz w:val="18"/>
                <w:szCs w:val="18"/>
              </w:rPr>
              <w:br/>
              <w:t>as part of transposition to UN Regulation on WLTP (Q1 2020):</w:t>
            </w:r>
            <w:r>
              <w:rPr>
                <w:rFonts w:eastAsia="MS PGothic"/>
                <w:bCs/>
                <w:sz w:val="18"/>
                <w:szCs w:val="18"/>
              </w:rPr>
              <w:br/>
              <w:t>- Conformity of Production</w:t>
            </w:r>
            <w:r>
              <w:rPr>
                <w:rFonts w:eastAsia="MS PGothic"/>
                <w:bCs/>
                <w:sz w:val="18"/>
                <w:szCs w:val="18"/>
              </w:rPr>
              <w:br/>
              <w:t>- Reference Fuel</w:t>
            </w:r>
            <w:r>
              <w:rPr>
                <w:rFonts w:eastAsia="MS PGothic"/>
                <w:bCs/>
                <w:sz w:val="18"/>
                <w:szCs w:val="18"/>
              </w:rPr>
              <w:br/>
              <w:t>- Emission Limits</w:t>
            </w:r>
            <w:r>
              <w:rPr>
                <w:rFonts w:eastAsia="MS PGothic"/>
                <w:bCs/>
                <w:sz w:val="18"/>
                <w:szCs w:val="18"/>
              </w:rPr>
              <w:br/>
              <w:t>- Durability</w:t>
            </w:r>
          </w:p>
        </w:tc>
        <w:tc>
          <w:tcPr>
            <w:tcW w:w="1570" w:type="pct"/>
            <w:tcBorders>
              <w:top w:val="single" w:sz="4" w:space="0" w:color="auto"/>
              <w:left w:val="single" w:sz="4" w:space="0" w:color="auto"/>
              <w:bottom w:val="single" w:sz="4" w:space="0" w:color="auto"/>
              <w:right w:val="single" w:sz="4" w:space="0" w:color="auto"/>
            </w:tcBorders>
          </w:tcPr>
          <w:p w:rsidR="00F70587" w:rsidRPr="00315086" w:rsidRDefault="0094321D" w:rsidP="00B010B9">
            <w:pPr>
              <w:widowControl w:val="0"/>
              <w:suppressAutoHyphens w:val="0"/>
              <w:spacing w:before="40" w:after="120" w:line="220" w:lineRule="exact"/>
              <w:ind w:left="136" w:right="113"/>
              <w:rPr>
                <w:rFonts w:eastAsia="MS PGothic"/>
                <w:bCs/>
                <w:sz w:val="18"/>
                <w:szCs w:val="18"/>
              </w:rPr>
            </w:pPr>
            <w:r>
              <w:rPr>
                <w:rFonts w:eastAsia="MS PGothic"/>
                <w:bCs/>
                <w:sz w:val="18"/>
                <w:szCs w:val="18"/>
              </w:rPr>
              <w:t xml:space="preserve">IWG </w:t>
            </w:r>
            <w:r w:rsidR="005B5645">
              <w:rPr>
                <w:rFonts w:eastAsia="MS PGothic"/>
                <w:bCs/>
                <w:sz w:val="18"/>
                <w:szCs w:val="18"/>
              </w:rPr>
              <w:t>Mandate to be extended to June 2020</w:t>
            </w:r>
          </w:p>
        </w:tc>
      </w:tr>
      <w:tr w:rsidR="00F70587" w:rsidRPr="00FF47E4" w:rsidTr="005B5645">
        <w:trPr>
          <w:trHeight w:val="445"/>
          <w:jc w:val="center"/>
        </w:trPr>
        <w:tc>
          <w:tcPr>
            <w:tcW w:w="658" w:type="pct"/>
            <w:tcBorders>
              <w:top w:val="single" w:sz="4"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tcPr>
          <w:p w:rsidR="00F70587" w:rsidRPr="00D54EF1" w:rsidRDefault="00F70587" w:rsidP="00B010B9">
            <w:pPr>
              <w:widowControl w:val="0"/>
              <w:suppressAutoHyphens w:val="0"/>
              <w:spacing w:before="40" w:after="120" w:line="220" w:lineRule="exact"/>
              <w:ind w:right="54"/>
              <w:rPr>
                <w:rFonts w:eastAsia="MS PGothic"/>
                <w:sz w:val="18"/>
                <w:szCs w:val="18"/>
              </w:rPr>
            </w:pPr>
            <w:r>
              <w:rPr>
                <w:rFonts w:eastAsia="MS PGothic"/>
                <w:sz w:val="18"/>
                <w:szCs w:val="18"/>
              </w:rPr>
              <w:t>Determination of Electrified Vehicle Power (DEVP)</w:t>
            </w:r>
          </w:p>
        </w:tc>
        <w:tc>
          <w:tcPr>
            <w:tcW w:w="519"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F70587" w:rsidRDefault="00F70587" w:rsidP="00B010B9">
            <w:pPr>
              <w:widowControl w:val="0"/>
              <w:suppressAutoHyphens w:val="0"/>
              <w:spacing w:before="40" w:after="120" w:line="220" w:lineRule="exact"/>
              <w:ind w:right="113"/>
              <w:rPr>
                <w:rFonts w:eastAsia="MS PGothic"/>
                <w:bCs/>
                <w:sz w:val="18"/>
                <w:szCs w:val="18"/>
              </w:rPr>
            </w:pPr>
            <w:r>
              <w:rPr>
                <w:rFonts w:eastAsia="MS PGothic"/>
                <w:bCs/>
                <w:sz w:val="18"/>
                <w:szCs w:val="18"/>
              </w:rPr>
              <w:t xml:space="preserve">Q2 </w:t>
            </w:r>
            <w:proofErr w:type="gramStart"/>
            <w:r>
              <w:rPr>
                <w:rFonts w:eastAsia="MS PGothic"/>
                <w:bCs/>
                <w:sz w:val="18"/>
                <w:szCs w:val="18"/>
              </w:rPr>
              <w:t>2020 ?</w:t>
            </w:r>
            <w:proofErr w:type="gramEnd"/>
          </w:p>
        </w:tc>
        <w:tc>
          <w:tcPr>
            <w:tcW w:w="413"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F70587" w:rsidRDefault="00F70587" w:rsidP="00B010B9">
            <w:pPr>
              <w:widowControl w:val="0"/>
              <w:suppressAutoHyphens w:val="0"/>
              <w:spacing w:before="40" w:after="120" w:line="220" w:lineRule="exact"/>
              <w:ind w:right="113"/>
              <w:rPr>
                <w:rFonts w:eastAsia="MS PGothic"/>
                <w:bCs/>
                <w:sz w:val="18"/>
                <w:szCs w:val="18"/>
              </w:rPr>
            </w:pPr>
            <w:r>
              <w:rPr>
                <w:rFonts w:eastAsia="MS PGothic"/>
                <w:bCs/>
                <w:sz w:val="18"/>
                <w:szCs w:val="18"/>
              </w:rPr>
              <w:t>IWG on EVE</w:t>
            </w:r>
          </w:p>
        </w:tc>
        <w:tc>
          <w:tcPr>
            <w:tcW w:w="1840" w:type="pct"/>
            <w:tcBorders>
              <w:top w:val="single" w:sz="4" w:space="0" w:color="auto"/>
              <w:left w:val="single" w:sz="4" w:space="0" w:color="auto"/>
              <w:bottom w:val="single" w:sz="4" w:space="0" w:color="auto"/>
              <w:right w:val="single" w:sz="4" w:space="0" w:color="auto"/>
            </w:tcBorders>
          </w:tcPr>
          <w:p w:rsidR="00F70587" w:rsidRDefault="00F70587" w:rsidP="00B010B9">
            <w:pPr>
              <w:widowControl w:val="0"/>
              <w:suppressAutoHyphens w:val="0"/>
              <w:spacing w:before="40" w:after="120" w:line="220" w:lineRule="exact"/>
              <w:ind w:left="136" w:right="113"/>
              <w:rPr>
                <w:rFonts w:eastAsia="MS PGothic"/>
                <w:bCs/>
                <w:sz w:val="18"/>
                <w:szCs w:val="18"/>
              </w:rPr>
            </w:pPr>
            <w:r>
              <w:rPr>
                <w:rFonts w:eastAsia="MS PGothic"/>
                <w:bCs/>
                <w:sz w:val="18"/>
                <w:szCs w:val="18"/>
              </w:rPr>
              <w:t>UN GTR work under development</w:t>
            </w:r>
          </w:p>
          <w:p w:rsidR="00F70587" w:rsidRDefault="00F70587" w:rsidP="00B010B9">
            <w:pPr>
              <w:widowControl w:val="0"/>
              <w:suppressAutoHyphens w:val="0"/>
              <w:spacing w:before="40" w:after="120" w:line="220" w:lineRule="exact"/>
              <w:ind w:left="136" w:right="113"/>
              <w:rPr>
                <w:rFonts w:eastAsia="MS PGothic"/>
                <w:bCs/>
                <w:sz w:val="18"/>
                <w:szCs w:val="18"/>
              </w:rPr>
            </w:pPr>
          </w:p>
        </w:tc>
        <w:tc>
          <w:tcPr>
            <w:tcW w:w="1570" w:type="pct"/>
            <w:tcBorders>
              <w:top w:val="single" w:sz="4" w:space="0" w:color="auto"/>
              <w:left w:val="single" w:sz="4" w:space="0" w:color="auto"/>
              <w:bottom w:val="single" w:sz="4" w:space="0" w:color="auto"/>
              <w:right w:val="single" w:sz="4" w:space="0" w:color="auto"/>
            </w:tcBorders>
          </w:tcPr>
          <w:p w:rsidR="00F70587" w:rsidRDefault="00F70587" w:rsidP="00B010B9">
            <w:pPr>
              <w:widowControl w:val="0"/>
              <w:suppressAutoHyphens w:val="0"/>
              <w:spacing w:before="40" w:after="120" w:line="220" w:lineRule="exact"/>
              <w:ind w:left="136" w:right="113"/>
              <w:rPr>
                <w:rFonts w:eastAsia="MS PGothic"/>
                <w:bCs/>
                <w:sz w:val="18"/>
                <w:szCs w:val="18"/>
              </w:rPr>
            </w:pPr>
            <w:r>
              <w:rPr>
                <w:rFonts w:eastAsia="MS PGothic"/>
                <w:bCs/>
                <w:sz w:val="18"/>
                <w:szCs w:val="18"/>
              </w:rPr>
              <w:t>Delays expected with new timeline to be announced.</w:t>
            </w:r>
          </w:p>
          <w:p w:rsidR="0094321D" w:rsidRDefault="0094321D" w:rsidP="00B010B9">
            <w:pPr>
              <w:widowControl w:val="0"/>
              <w:suppressAutoHyphens w:val="0"/>
              <w:spacing w:before="40" w:after="120" w:line="220" w:lineRule="exact"/>
              <w:ind w:left="136" w:right="113"/>
              <w:rPr>
                <w:rFonts w:eastAsia="MS PGothic"/>
                <w:bCs/>
                <w:sz w:val="18"/>
                <w:szCs w:val="18"/>
              </w:rPr>
            </w:pPr>
            <w:r>
              <w:rPr>
                <w:rFonts w:eastAsia="MS PGothic"/>
                <w:bCs/>
                <w:sz w:val="18"/>
                <w:szCs w:val="18"/>
              </w:rPr>
              <w:t xml:space="preserve">IWG Mandate to be extended to </w:t>
            </w:r>
            <w:r w:rsidRPr="0094321D">
              <w:rPr>
                <w:rFonts w:eastAsia="MS PGothic"/>
                <w:bCs/>
                <w:sz w:val="18"/>
                <w:szCs w:val="18"/>
                <w:highlight w:val="yellow"/>
              </w:rPr>
              <w:t xml:space="preserve">June </w:t>
            </w:r>
            <w:proofErr w:type="gramStart"/>
            <w:r w:rsidRPr="0094321D">
              <w:rPr>
                <w:rFonts w:eastAsia="MS PGothic"/>
                <w:bCs/>
                <w:sz w:val="18"/>
                <w:szCs w:val="18"/>
                <w:highlight w:val="yellow"/>
              </w:rPr>
              <w:t>2021</w:t>
            </w:r>
            <w:r w:rsidR="00121347">
              <w:rPr>
                <w:rFonts w:eastAsia="MS PGothic"/>
                <w:bCs/>
                <w:sz w:val="18"/>
                <w:szCs w:val="18"/>
                <w:highlight w:val="yellow"/>
              </w:rPr>
              <w:t xml:space="preserve"> ?</w:t>
            </w:r>
            <w:proofErr w:type="gramEnd"/>
          </w:p>
        </w:tc>
      </w:tr>
      <w:tr w:rsidR="00BF6B8D" w:rsidRPr="00FF47E4" w:rsidTr="005B5645">
        <w:trPr>
          <w:trHeight w:val="445"/>
          <w:jc w:val="center"/>
        </w:trPr>
        <w:tc>
          <w:tcPr>
            <w:tcW w:w="658" w:type="pct"/>
            <w:tcBorders>
              <w:top w:val="single" w:sz="4"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tcPr>
          <w:p w:rsidR="00BF6B8D" w:rsidRDefault="00BF6B8D" w:rsidP="00B010B9">
            <w:pPr>
              <w:widowControl w:val="0"/>
              <w:suppressAutoHyphens w:val="0"/>
              <w:spacing w:before="40" w:after="120" w:line="220" w:lineRule="exact"/>
              <w:ind w:right="54"/>
              <w:rPr>
                <w:rFonts w:eastAsia="MS PGothic"/>
                <w:sz w:val="18"/>
                <w:szCs w:val="18"/>
              </w:rPr>
            </w:pPr>
            <w:r>
              <w:rPr>
                <w:rFonts w:eastAsia="MS PGothic"/>
                <w:sz w:val="18"/>
                <w:szCs w:val="18"/>
              </w:rPr>
              <w:t>Battery Durability</w:t>
            </w:r>
          </w:p>
        </w:tc>
        <w:tc>
          <w:tcPr>
            <w:tcW w:w="519"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BF6B8D" w:rsidRDefault="00BF6B8D" w:rsidP="00B010B9">
            <w:pPr>
              <w:widowControl w:val="0"/>
              <w:suppressAutoHyphens w:val="0"/>
              <w:spacing w:before="40" w:after="120" w:line="220" w:lineRule="exact"/>
              <w:ind w:right="113"/>
              <w:rPr>
                <w:rFonts w:eastAsia="MS PGothic"/>
                <w:bCs/>
                <w:sz w:val="18"/>
                <w:szCs w:val="18"/>
              </w:rPr>
            </w:pPr>
            <w:r w:rsidRPr="0094321D">
              <w:rPr>
                <w:rFonts w:eastAsia="MS PGothic"/>
                <w:bCs/>
                <w:sz w:val="18"/>
                <w:szCs w:val="18"/>
                <w:highlight w:val="yellow"/>
              </w:rPr>
              <w:t>?</w:t>
            </w:r>
          </w:p>
        </w:tc>
        <w:tc>
          <w:tcPr>
            <w:tcW w:w="413"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BF6B8D" w:rsidRDefault="00BF6B8D" w:rsidP="00B010B9">
            <w:pPr>
              <w:widowControl w:val="0"/>
              <w:suppressAutoHyphens w:val="0"/>
              <w:spacing w:before="40" w:after="120" w:line="220" w:lineRule="exact"/>
              <w:ind w:right="113"/>
              <w:rPr>
                <w:rFonts w:eastAsia="MS PGothic"/>
                <w:bCs/>
                <w:sz w:val="18"/>
                <w:szCs w:val="18"/>
              </w:rPr>
            </w:pPr>
            <w:r>
              <w:rPr>
                <w:rFonts w:eastAsia="MS PGothic"/>
                <w:bCs/>
                <w:sz w:val="18"/>
                <w:szCs w:val="18"/>
              </w:rPr>
              <w:t>IWG on EVE</w:t>
            </w:r>
          </w:p>
        </w:tc>
        <w:tc>
          <w:tcPr>
            <w:tcW w:w="1840" w:type="pct"/>
            <w:tcBorders>
              <w:top w:val="single" w:sz="4" w:space="0" w:color="auto"/>
              <w:left w:val="single" w:sz="4" w:space="0" w:color="auto"/>
              <w:bottom w:val="single" w:sz="4" w:space="0" w:color="auto"/>
              <w:right w:val="single" w:sz="4" w:space="0" w:color="auto"/>
            </w:tcBorders>
          </w:tcPr>
          <w:p w:rsidR="00BF6B8D" w:rsidRDefault="00BF6B8D" w:rsidP="00B010B9">
            <w:pPr>
              <w:widowControl w:val="0"/>
              <w:suppressAutoHyphens w:val="0"/>
              <w:spacing w:before="40" w:after="120" w:line="220" w:lineRule="exact"/>
              <w:ind w:left="136" w:right="113"/>
              <w:rPr>
                <w:rFonts w:eastAsia="MS PGothic"/>
                <w:bCs/>
                <w:sz w:val="18"/>
                <w:szCs w:val="18"/>
              </w:rPr>
            </w:pPr>
            <w:r>
              <w:rPr>
                <w:rFonts w:eastAsia="MS PGothic"/>
                <w:bCs/>
                <w:sz w:val="18"/>
                <w:szCs w:val="18"/>
              </w:rPr>
              <w:t>What deliverables (UNR / UN GTR?)</w:t>
            </w:r>
          </w:p>
        </w:tc>
        <w:tc>
          <w:tcPr>
            <w:tcW w:w="1570" w:type="pct"/>
            <w:tcBorders>
              <w:top w:val="single" w:sz="4" w:space="0" w:color="auto"/>
              <w:left w:val="single" w:sz="4" w:space="0" w:color="auto"/>
              <w:bottom w:val="single" w:sz="4" w:space="0" w:color="auto"/>
              <w:right w:val="single" w:sz="4" w:space="0" w:color="auto"/>
            </w:tcBorders>
          </w:tcPr>
          <w:p w:rsidR="00BF6B8D" w:rsidRDefault="00BF6B8D" w:rsidP="00B010B9">
            <w:pPr>
              <w:widowControl w:val="0"/>
              <w:suppressAutoHyphens w:val="0"/>
              <w:spacing w:before="40" w:after="120" w:line="220" w:lineRule="exact"/>
              <w:ind w:left="136" w:right="113"/>
              <w:rPr>
                <w:rFonts w:eastAsia="MS PGothic"/>
                <w:bCs/>
                <w:sz w:val="18"/>
                <w:szCs w:val="18"/>
              </w:rPr>
            </w:pPr>
            <w:r>
              <w:rPr>
                <w:rFonts w:eastAsia="MS PGothic"/>
                <w:bCs/>
                <w:sz w:val="18"/>
                <w:szCs w:val="18"/>
              </w:rPr>
              <w:t>Way forward still to be decided.</w:t>
            </w:r>
          </w:p>
          <w:p w:rsidR="00BF6B8D" w:rsidRDefault="00BF6B8D" w:rsidP="00B010B9">
            <w:pPr>
              <w:widowControl w:val="0"/>
              <w:suppressAutoHyphens w:val="0"/>
              <w:spacing w:before="40" w:after="120" w:line="220" w:lineRule="exact"/>
              <w:ind w:left="136" w:right="113"/>
              <w:rPr>
                <w:rFonts w:eastAsia="MS PGothic"/>
                <w:bCs/>
                <w:sz w:val="18"/>
                <w:szCs w:val="18"/>
              </w:rPr>
            </w:pPr>
            <w:r>
              <w:rPr>
                <w:rFonts w:eastAsia="MS PGothic"/>
                <w:bCs/>
                <w:sz w:val="18"/>
                <w:szCs w:val="18"/>
              </w:rPr>
              <w:t>Some CPs requested regulatory pr</w:t>
            </w:r>
            <w:r w:rsidR="00B010B9">
              <w:rPr>
                <w:rFonts w:eastAsia="MS PGothic"/>
                <w:bCs/>
                <w:sz w:val="18"/>
                <w:szCs w:val="18"/>
              </w:rPr>
              <w:t>o</w:t>
            </w:r>
            <w:r>
              <w:rPr>
                <w:rFonts w:eastAsia="MS PGothic"/>
                <w:bCs/>
                <w:sz w:val="18"/>
                <w:szCs w:val="18"/>
              </w:rPr>
              <w:t>visions.</w:t>
            </w:r>
          </w:p>
        </w:tc>
      </w:tr>
      <w:tr w:rsidR="00F70587" w:rsidRPr="00FF47E4" w:rsidTr="0094321D">
        <w:trPr>
          <w:trHeight w:val="851"/>
          <w:jc w:val="center"/>
        </w:trPr>
        <w:tc>
          <w:tcPr>
            <w:tcW w:w="658" w:type="pct"/>
            <w:tcBorders>
              <w:top w:val="single" w:sz="4"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tcPr>
          <w:p w:rsidR="00F70587" w:rsidRDefault="00F70587" w:rsidP="00B010B9">
            <w:pPr>
              <w:widowControl w:val="0"/>
              <w:suppressAutoHyphens w:val="0"/>
              <w:spacing w:before="40" w:after="120" w:line="220" w:lineRule="exact"/>
              <w:ind w:right="113"/>
              <w:rPr>
                <w:rFonts w:eastAsia="MS PGothic"/>
                <w:sz w:val="18"/>
                <w:szCs w:val="18"/>
              </w:rPr>
            </w:pPr>
            <w:r w:rsidRPr="00051D65">
              <w:rPr>
                <w:rFonts w:eastAsia="MS PGothic"/>
                <w:sz w:val="18"/>
                <w:szCs w:val="18"/>
              </w:rPr>
              <w:t>Sub-23 nm exhaust particles</w:t>
            </w:r>
          </w:p>
        </w:tc>
        <w:tc>
          <w:tcPr>
            <w:tcW w:w="519"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F70587" w:rsidRDefault="00F70587" w:rsidP="00B010B9">
            <w:pPr>
              <w:widowControl w:val="0"/>
              <w:suppressAutoHyphens w:val="0"/>
              <w:spacing w:before="40" w:after="120" w:line="220" w:lineRule="exact"/>
              <w:ind w:right="113"/>
              <w:rPr>
                <w:rFonts w:eastAsia="MS PGothic"/>
                <w:bCs/>
                <w:sz w:val="18"/>
                <w:szCs w:val="18"/>
              </w:rPr>
            </w:pPr>
            <w:r>
              <w:rPr>
                <w:rFonts w:eastAsia="MS PGothic"/>
                <w:bCs/>
                <w:sz w:val="18"/>
                <w:szCs w:val="18"/>
              </w:rPr>
              <w:t>Q2 2020</w:t>
            </w:r>
          </w:p>
        </w:tc>
        <w:tc>
          <w:tcPr>
            <w:tcW w:w="413"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F70587" w:rsidRDefault="00F70587" w:rsidP="00B010B9">
            <w:pPr>
              <w:widowControl w:val="0"/>
              <w:suppressAutoHyphens w:val="0"/>
              <w:spacing w:before="40" w:after="120" w:line="220" w:lineRule="exact"/>
              <w:ind w:right="113"/>
              <w:rPr>
                <w:rFonts w:eastAsia="MS PGothic"/>
                <w:bCs/>
                <w:sz w:val="18"/>
                <w:szCs w:val="18"/>
              </w:rPr>
            </w:pPr>
            <w:r>
              <w:rPr>
                <w:rFonts w:eastAsia="MS PGothic"/>
                <w:bCs/>
                <w:sz w:val="18"/>
                <w:szCs w:val="18"/>
              </w:rPr>
              <w:t>IWG on PMP</w:t>
            </w:r>
          </w:p>
        </w:tc>
        <w:tc>
          <w:tcPr>
            <w:tcW w:w="1840" w:type="pct"/>
            <w:tcBorders>
              <w:top w:val="single" w:sz="4" w:space="0" w:color="auto"/>
              <w:left w:val="single" w:sz="4" w:space="0" w:color="auto"/>
              <w:bottom w:val="single" w:sz="4" w:space="0" w:color="auto"/>
              <w:right w:val="single" w:sz="4" w:space="0" w:color="auto"/>
            </w:tcBorders>
          </w:tcPr>
          <w:p w:rsidR="00F70587" w:rsidRDefault="00BF6B8D" w:rsidP="00B010B9">
            <w:pPr>
              <w:widowControl w:val="0"/>
              <w:suppressAutoHyphens w:val="0"/>
              <w:spacing w:before="40" w:after="120" w:line="220" w:lineRule="exact"/>
              <w:ind w:left="136" w:right="113"/>
              <w:rPr>
                <w:rFonts w:eastAsia="MS PGothic"/>
                <w:bCs/>
                <w:sz w:val="18"/>
                <w:szCs w:val="18"/>
              </w:rPr>
            </w:pPr>
            <w:r>
              <w:rPr>
                <w:rFonts w:eastAsia="MS PGothic"/>
                <w:bCs/>
                <w:sz w:val="18"/>
                <w:szCs w:val="18"/>
              </w:rPr>
              <w:t>What deliverables (UNR / UN GTR?)</w:t>
            </w:r>
          </w:p>
        </w:tc>
        <w:tc>
          <w:tcPr>
            <w:tcW w:w="1570" w:type="pct"/>
            <w:tcBorders>
              <w:top w:val="single" w:sz="4" w:space="0" w:color="auto"/>
              <w:left w:val="single" w:sz="4" w:space="0" w:color="auto"/>
              <w:bottom w:val="single" w:sz="4" w:space="0" w:color="auto"/>
              <w:right w:val="single" w:sz="4" w:space="0" w:color="auto"/>
            </w:tcBorders>
          </w:tcPr>
          <w:p w:rsidR="00F70587" w:rsidRDefault="00F70587" w:rsidP="00B010B9">
            <w:pPr>
              <w:widowControl w:val="0"/>
              <w:suppressAutoHyphens w:val="0"/>
              <w:spacing w:before="40" w:after="120" w:line="220" w:lineRule="exact"/>
              <w:ind w:left="136" w:right="113"/>
              <w:rPr>
                <w:rFonts w:eastAsia="MS PGothic"/>
                <w:bCs/>
                <w:sz w:val="18"/>
                <w:szCs w:val="18"/>
              </w:rPr>
            </w:pPr>
            <w:r>
              <w:rPr>
                <w:rFonts w:eastAsia="MS PGothic"/>
                <w:bCs/>
                <w:sz w:val="18"/>
                <w:szCs w:val="18"/>
              </w:rPr>
              <w:t>Timeline shortened to fit post Euro6/VI EU requirements.</w:t>
            </w:r>
          </w:p>
          <w:p w:rsidR="0094321D" w:rsidRPr="00D54EF1" w:rsidRDefault="0094321D" w:rsidP="00B010B9">
            <w:pPr>
              <w:widowControl w:val="0"/>
              <w:suppressAutoHyphens w:val="0"/>
              <w:spacing w:before="40" w:after="120" w:line="220" w:lineRule="exact"/>
              <w:ind w:left="136" w:right="113"/>
              <w:rPr>
                <w:rFonts w:eastAsia="MS PGothic"/>
                <w:bCs/>
                <w:sz w:val="18"/>
                <w:szCs w:val="18"/>
              </w:rPr>
            </w:pPr>
            <w:r>
              <w:rPr>
                <w:rFonts w:eastAsia="MS PGothic"/>
                <w:bCs/>
                <w:sz w:val="18"/>
                <w:szCs w:val="18"/>
              </w:rPr>
              <w:t xml:space="preserve">IWG Mandate to be extended to </w:t>
            </w:r>
            <w:r w:rsidRPr="0094321D">
              <w:rPr>
                <w:rFonts w:eastAsia="MS PGothic"/>
                <w:bCs/>
                <w:sz w:val="18"/>
                <w:szCs w:val="18"/>
                <w:highlight w:val="yellow"/>
              </w:rPr>
              <w:t xml:space="preserve">June </w:t>
            </w:r>
            <w:proofErr w:type="gramStart"/>
            <w:r w:rsidRPr="0094321D">
              <w:rPr>
                <w:rFonts w:eastAsia="MS PGothic"/>
                <w:bCs/>
                <w:sz w:val="18"/>
                <w:szCs w:val="18"/>
                <w:highlight w:val="yellow"/>
              </w:rPr>
              <w:t>2021</w:t>
            </w:r>
            <w:r w:rsidR="00121347">
              <w:rPr>
                <w:rFonts w:eastAsia="MS PGothic"/>
                <w:bCs/>
                <w:sz w:val="18"/>
                <w:szCs w:val="18"/>
                <w:highlight w:val="yellow"/>
              </w:rPr>
              <w:t xml:space="preserve"> ?</w:t>
            </w:r>
            <w:proofErr w:type="gramEnd"/>
          </w:p>
        </w:tc>
      </w:tr>
      <w:tr w:rsidR="00F70587" w:rsidRPr="00FF47E4" w:rsidTr="005B5645">
        <w:trPr>
          <w:trHeight w:val="445"/>
          <w:jc w:val="center"/>
        </w:trPr>
        <w:tc>
          <w:tcPr>
            <w:tcW w:w="658" w:type="pct"/>
            <w:tcBorders>
              <w:top w:val="single" w:sz="4"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tcPr>
          <w:p w:rsidR="00F70587" w:rsidRDefault="00F70587" w:rsidP="00B010B9">
            <w:pPr>
              <w:widowControl w:val="0"/>
              <w:suppressAutoHyphens w:val="0"/>
              <w:spacing w:before="40" w:after="120" w:line="220" w:lineRule="exact"/>
              <w:ind w:right="113"/>
              <w:rPr>
                <w:rFonts w:eastAsia="MS PGothic"/>
                <w:sz w:val="18"/>
                <w:szCs w:val="18"/>
              </w:rPr>
            </w:pPr>
            <w:r>
              <w:rPr>
                <w:rFonts w:eastAsia="MS PGothic"/>
                <w:sz w:val="18"/>
                <w:szCs w:val="18"/>
              </w:rPr>
              <w:t>Brake emissions</w:t>
            </w:r>
          </w:p>
        </w:tc>
        <w:tc>
          <w:tcPr>
            <w:tcW w:w="519"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F70587" w:rsidRDefault="00F70587" w:rsidP="00B010B9">
            <w:pPr>
              <w:widowControl w:val="0"/>
              <w:suppressAutoHyphens w:val="0"/>
              <w:spacing w:before="40" w:after="120" w:line="220" w:lineRule="exact"/>
              <w:ind w:right="113"/>
              <w:rPr>
                <w:rFonts w:eastAsia="MS PGothic"/>
                <w:bCs/>
                <w:sz w:val="18"/>
                <w:szCs w:val="18"/>
              </w:rPr>
            </w:pPr>
            <w:r w:rsidRPr="0094321D">
              <w:rPr>
                <w:rFonts w:eastAsia="MS PGothic"/>
                <w:bCs/>
                <w:sz w:val="18"/>
                <w:szCs w:val="18"/>
                <w:highlight w:val="yellow"/>
              </w:rPr>
              <w:t>Q</w:t>
            </w:r>
            <w:r w:rsidR="00121347">
              <w:rPr>
                <w:rFonts w:eastAsia="MS PGothic"/>
                <w:bCs/>
                <w:sz w:val="18"/>
                <w:szCs w:val="18"/>
                <w:highlight w:val="yellow"/>
              </w:rPr>
              <w:t>2</w:t>
            </w:r>
            <w:r w:rsidRPr="0094321D">
              <w:rPr>
                <w:rFonts w:eastAsia="MS PGothic"/>
                <w:bCs/>
                <w:sz w:val="18"/>
                <w:szCs w:val="18"/>
                <w:highlight w:val="yellow"/>
              </w:rPr>
              <w:t xml:space="preserve"> 20</w:t>
            </w:r>
            <w:r w:rsidR="00121347">
              <w:rPr>
                <w:rFonts w:eastAsia="MS PGothic"/>
                <w:bCs/>
                <w:sz w:val="18"/>
                <w:szCs w:val="18"/>
                <w:highlight w:val="yellow"/>
              </w:rPr>
              <w:t>2</w:t>
            </w:r>
            <w:r w:rsidRPr="0094321D">
              <w:rPr>
                <w:rFonts w:eastAsia="MS PGothic"/>
                <w:bCs/>
                <w:sz w:val="18"/>
                <w:szCs w:val="18"/>
                <w:highlight w:val="yellow"/>
              </w:rPr>
              <w:t>1</w:t>
            </w:r>
          </w:p>
        </w:tc>
        <w:tc>
          <w:tcPr>
            <w:tcW w:w="413"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F70587" w:rsidRDefault="00F70587" w:rsidP="00B010B9">
            <w:pPr>
              <w:widowControl w:val="0"/>
              <w:suppressAutoHyphens w:val="0"/>
              <w:spacing w:before="40" w:after="120" w:line="220" w:lineRule="exact"/>
              <w:ind w:right="113"/>
              <w:rPr>
                <w:rFonts w:eastAsia="MS PGothic"/>
                <w:bCs/>
                <w:sz w:val="18"/>
                <w:szCs w:val="18"/>
              </w:rPr>
            </w:pPr>
            <w:r>
              <w:rPr>
                <w:rFonts w:eastAsia="MS PGothic"/>
                <w:bCs/>
                <w:sz w:val="18"/>
                <w:szCs w:val="18"/>
              </w:rPr>
              <w:t>IWG on PMP</w:t>
            </w:r>
          </w:p>
        </w:tc>
        <w:tc>
          <w:tcPr>
            <w:tcW w:w="1840" w:type="pct"/>
            <w:tcBorders>
              <w:top w:val="single" w:sz="4" w:space="0" w:color="auto"/>
              <w:left w:val="single" w:sz="4" w:space="0" w:color="auto"/>
              <w:bottom w:val="single" w:sz="4" w:space="0" w:color="auto"/>
              <w:right w:val="single" w:sz="4" w:space="0" w:color="auto"/>
            </w:tcBorders>
          </w:tcPr>
          <w:p w:rsidR="00F70587" w:rsidRDefault="00362A2A" w:rsidP="00B010B9">
            <w:pPr>
              <w:widowControl w:val="0"/>
              <w:suppressAutoHyphens w:val="0"/>
              <w:spacing w:before="40" w:after="120" w:line="220" w:lineRule="exact"/>
              <w:ind w:left="136" w:right="113"/>
              <w:rPr>
                <w:rFonts w:eastAsia="MS PGothic"/>
                <w:bCs/>
                <w:sz w:val="18"/>
                <w:szCs w:val="18"/>
              </w:rPr>
            </w:pPr>
            <w:r>
              <w:rPr>
                <w:rFonts w:eastAsia="MS PGothic"/>
                <w:bCs/>
                <w:sz w:val="18"/>
                <w:szCs w:val="18"/>
              </w:rPr>
              <w:t>What deliverables (UNR / UN GTR?)</w:t>
            </w:r>
          </w:p>
        </w:tc>
        <w:tc>
          <w:tcPr>
            <w:tcW w:w="1570" w:type="pct"/>
            <w:tcBorders>
              <w:top w:val="single" w:sz="4" w:space="0" w:color="auto"/>
              <w:left w:val="single" w:sz="4" w:space="0" w:color="auto"/>
              <w:bottom w:val="single" w:sz="4" w:space="0" w:color="auto"/>
              <w:right w:val="single" w:sz="4" w:space="0" w:color="auto"/>
            </w:tcBorders>
          </w:tcPr>
          <w:p w:rsidR="00F70587" w:rsidRPr="00D54EF1" w:rsidRDefault="00F70587" w:rsidP="00B010B9">
            <w:pPr>
              <w:widowControl w:val="0"/>
              <w:suppressAutoHyphens w:val="0"/>
              <w:spacing w:before="40" w:after="120" w:line="220" w:lineRule="exact"/>
              <w:ind w:left="136" w:right="113"/>
              <w:rPr>
                <w:rFonts w:eastAsia="MS PGothic"/>
                <w:bCs/>
                <w:sz w:val="18"/>
                <w:szCs w:val="18"/>
              </w:rPr>
            </w:pPr>
            <w:r>
              <w:rPr>
                <w:rFonts w:eastAsia="MS PGothic"/>
                <w:bCs/>
                <w:sz w:val="18"/>
                <w:szCs w:val="18"/>
              </w:rPr>
              <w:t>About half of the work concluded. Work progress according to schedule</w:t>
            </w:r>
          </w:p>
        </w:tc>
      </w:tr>
      <w:tr w:rsidR="00F70587" w:rsidRPr="00FF47E4" w:rsidTr="005B5645">
        <w:trPr>
          <w:trHeight w:val="1079"/>
          <w:jc w:val="center"/>
        </w:trPr>
        <w:tc>
          <w:tcPr>
            <w:tcW w:w="658" w:type="pct"/>
            <w:tcBorders>
              <w:top w:val="single" w:sz="4"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tcPr>
          <w:p w:rsidR="00F70587" w:rsidRDefault="00F70587" w:rsidP="00B010B9">
            <w:pPr>
              <w:widowControl w:val="0"/>
              <w:suppressAutoHyphens w:val="0"/>
              <w:spacing w:before="40" w:after="120" w:line="220" w:lineRule="exact"/>
              <w:ind w:right="113"/>
              <w:rPr>
                <w:rFonts w:eastAsia="MS PGothic"/>
                <w:sz w:val="18"/>
                <w:szCs w:val="18"/>
              </w:rPr>
            </w:pPr>
            <w:r>
              <w:rPr>
                <w:rFonts w:eastAsia="MS PGothic"/>
                <w:sz w:val="18"/>
                <w:szCs w:val="18"/>
              </w:rPr>
              <w:lastRenderedPageBreak/>
              <w:t>Method for stating energy consumption / emissions from EVs</w:t>
            </w:r>
          </w:p>
        </w:tc>
        <w:tc>
          <w:tcPr>
            <w:tcW w:w="519"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F70587" w:rsidRDefault="00F70587" w:rsidP="00B010B9">
            <w:pPr>
              <w:widowControl w:val="0"/>
              <w:suppressAutoHyphens w:val="0"/>
              <w:spacing w:before="40" w:after="120" w:line="220" w:lineRule="exact"/>
              <w:ind w:right="113"/>
              <w:rPr>
                <w:rFonts w:eastAsia="MS PGothic"/>
                <w:bCs/>
                <w:sz w:val="18"/>
                <w:szCs w:val="18"/>
              </w:rPr>
            </w:pPr>
            <w:proofErr w:type="spellStart"/>
            <w:r>
              <w:rPr>
                <w:rFonts w:eastAsia="MS PGothic"/>
                <w:bCs/>
                <w:sz w:val="18"/>
                <w:szCs w:val="18"/>
              </w:rPr>
              <w:t>tbd</w:t>
            </w:r>
            <w:proofErr w:type="spellEnd"/>
          </w:p>
        </w:tc>
        <w:tc>
          <w:tcPr>
            <w:tcW w:w="413"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F70587" w:rsidRDefault="00F70587" w:rsidP="00B010B9">
            <w:pPr>
              <w:widowControl w:val="0"/>
              <w:suppressAutoHyphens w:val="0"/>
              <w:spacing w:before="40" w:after="120" w:line="220" w:lineRule="exact"/>
              <w:ind w:right="113"/>
              <w:rPr>
                <w:rFonts w:eastAsia="MS PGothic"/>
                <w:bCs/>
                <w:sz w:val="18"/>
                <w:szCs w:val="18"/>
              </w:rPr>
            </w:pPr>
            <w:r>
              <w:rPr>
                <w:rFonts w:eastAsia="MS PGothic"/>
                <w:bCs/>
                <w:sz w:val="18"/>
                <w:szCs w:val="18"/>
              </w:rPr>
              <w:t>IWG on EVE</w:t>
            </w:r>
          </w:p>
        </w:tc>
        <w:tc>
          <w:tcPr>
            <w:tcW w:w="1840" w:type="pct"/>
            <w:tcBorders>
              <w:top w:val="single" w:sz="4" w:space="0" w:color="auto"/>
              <w:left w:val="single" w:sz="4" w:space="0" w:color="auto"/>
              <w:bottom w:val="single" w:sz="4" w:space="0" w:color="auto"/>
              <w:right w:val="single" w:sz="4" w:space="0" w:color="auto"/>
            </w:tcBorders>
          </w:tcPr>
          <w:p w:rsidR="00F70587" w:rsidRDefault="00362A2A" w:rsidP="00B010B9">
            <w:pPr>
              <w:widowControl w:val="0"/>
              <w:suppressAutoHyphens w:val="0"/>
              <w:spacing w:before="40" w:after="120" w:line="220" w:lineRule="exact"/>
              <w:ind w:left="136" w:right="113"/>
              <w:rPr>
                <w:rFonts w:eastAsia="MS PGothic"/>
                <w:bCs/>
                <w:sz w:val="18"/>
                <w:szCs w:val="18"/>
              </w:rPr>
            </w:pPr>
            <w:r>
              <w:rPr>
                <w:rFonts w:eastAsia="MS PGothic"/>
                <w:bCs/>
                <w:sz w:val="18"/>
                <w:szCs w:val="18"/>
              </w:rPr>
              <w:t>What deliverables (UNR / UN GTR?)</w:t>
            </w:r>
          </w:p>
        </w:tc>
        <w:tc>
          <w:tcPr>
            <w:tcW w:w="1570" w:type="pct"/>
            <w:tcBorders>
              <w:top w:val="single" w:sz="4" w:space="0" w:color="auto"/>
              <w:left w:val="single" w:sz="4" w:space="0" w:color="auto"/>
              <w:bottom w:val="single" w:sz="4" w:space="0" w:color="auto"/>
              <w:right w:val="single" w:sz="4" w:space="0" w:color="auto"/>
            </w:tcBorders>
          </w:tcPr>
          <w:p w:rsidR="00F70587" w:rsidRPr="00D54EF1" w:rsidRDefault="00F70587" w:rsidP="00B010B9">
            <w:pPr>
              <w:widowControl w:val="0"/>
              <w:suppressAutoHyphens w:val="0"/>
              <w:spacing w:before="40" w:after="120" w:line="220" w:lineRule="exact"/>
              <w:ind w:left="136" w:right="113"/>
              <w:rPr>
                <w:rFonts w:eastAsia="MS PGothic"/>
                <w:bCs/>
                <w:sz w:val="18"/>
                <w:szCs w:val="18"/>
              </w:rPr>
            </w:pPr>
            <w:r>
              <w:rPr>
                <w:rFonts w:eastAsia="MS PGothic"/>
                <w:bCs/>
                <w:sz w:val="18"/>
                <w:szCs w:val="18"/>
              </w:rPr>
              <w:t>Common project proposal with the Group of Expert on Energy Efficiency (GEEE) from the UNECE Sustainable Energy Division under development.</w:t>
            </w:r>
          </w:p>
        </w:tc>
      </w:tr>
      <w:tr w:rsidR="00F21D5B" w:rsidRPr="00FF47E4" w:rsidTr="00667467">
        <w:trPr>
          <w:trHeight w:val="1066"/>
          <w:jc w:val="center"/>
        </w:trPr>
        <w:tc>
          <w:tcPr>
            <w:tcW w:w="658" w:type="pct"/>
            <w:tcBorders>
              <w:top w:val="single" w:sz="4"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tcPr>
          <w:p w:rsidR="00F70587" w:rsidRPr="00733A68" w:rsidRDefault="00F70587" w:rsidP="00B010B9">
            <w:pPr>
              <w:widowControl w:val="0"/>
              <w:suppressAutoHyphens w:val="0"/>
              <w:spacing w:before="40" w:after="120" w:line="220" w:lineRule="exact"/>
              <w:ind w:right="113"/>
              <w:rPr>
                <w:rFonts w:eastAsia="MS PGothic"/>
                <w:sz w:val="18"/>
                <w:szCs w:val="18"/>
              </w:rPr>
            </w:pPr>
            <w:r>
              <w:rPr>
                <w:rFonts w:eastAsia="MS PGothic"/>
                <w:sz w:val="18"/>
                <w:szCs w:val="18"/>
              </w:rPr>
              <w:t>OBD-2 for L Category vehicles</w:t>
            </w:r>
          </w:p>
        </w:tc>
        <w:tc>
          <w:tcPr>
            <w:tcW w:w="519"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F70587" w:rsidRPr="00733A68" w:rsidRDefault="00F70587" w:rsidP="00B010B9">
            <w:pPr>
              <w:widowControl w:val="0"/>
              <w:suppressAutoHyphens w:val="0"/>
              <w:spacing w:before="40" w:after="120" w:line="220" w:lineRule="exact"/>
              <w:ind w:right="113"/>
              <w:rPr>
                <w:rFonts w:eastAsia="MS PGothic"/>
                <w:bCs/>
                <w:sz w:val="18"/>
                <w:szCs w:val="18"/>
              </w:rPr>
            </w:pPr>
            <w:r>
              <w:rPr>
                <w:rFonts w:eastAsia="MS PGothic"/>
                <w:bCs/>
                <w:sz w:val="18"/>
                <w:szCs w:val="18"/>
              </w:rPr>
              <w:t>Q1 2020</w:t>
            </w:r>
          </w:p>
        </w:tc>
        <w:tc>
          <w:tcPr>
            <w:tcW w:w="413"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F70587" w:rsidRPr="00733A68" w:rsidRDefault="00F70587" w:rsidP="00B010B9">
            <w:pPr>
              <w:widowControl w:val="0"/>
              <w:suppressAutoHyphens w:val="0"/>
              <w:spacing w:before="40" w:after="120" w:line="220" w:lineRule="exact"/>
              <w:ind w:right="113"/>
              <w:rPr>
                <w:rFonts w:eastAsia="MS PGothic"/>
                <w:bCs/>
                <w:sz w:val="18"/>
                <w:szCs w:val="18"/>
              </w:rPr>
            </w:pPr>
            <w:r>
              <w:rPr>
                <w:rFonts w:eastAsia="MS PGothic"/>
                <w:bCs/>
                <w:sz w:val="18"/>
                <w:szCs w:val="18"/>
              </w:rPr>
              <w:t>IWG on EPPR</w:t>
            </w:r>
          </w:p>
        </w:tc>
        <w:tc>
          <w:tcPr>
            <w:tcW w:w="1840" w:type="pct"/>
            <w:tcBorders>
              <w:top w:val="single" w:sz="4" w:space="0" w:color="auto"/>
              <w:left w:val="single" w:sz="4" w:space="0" w:color="auto"/>
              <w:bottom w:val="single" w:sz="4" w:space="0" w:color="auto"/>
              <w:right w:val="single" w:sz="4" w:space="0" w:color="auto"/>
            </w:tcBorders>
          </w:tcPr>
          <w:p w:rsidR="00F70587" w:rsidRDefault="00F70587" w:rsidP="00B010B9">
            <w:pPr>
              <w:widowControl w:val="0"/>
              <w:suppressAutoHyphens w:val="0"/>
              <w:spacing w:before="40" w:after="120" w:line="220" w:lineRule="exact"/>
              <w:ind w:left="136" w:right="113"/>
              <w:rPr>
                <w:rFonts w:eastAsia="MS PGothic"/>
                <w:bCs/>
                <w:sz w:val="18"/>
                <w:szCs w:val="18"/>
              </w:rPr>
            </w:pPr>
          </w:p>
        </w:tc>
        <w:tc>
          <w:tcPr>
            <w:tcW w:w="1570" w:type="pct"/>
            <w:tcBorders>
              <w:top w:val="single" w:sz="4" w:space="0" w:color="auto"/>
              <w:left w:val="single" w:sz="4" w:space="0" w:color="auto"/>
              <w:bottom w:val="single" w:sz="4" w:space="0" w:color="auto"/>
              <w:right w:val="single" w:sz="4" w:space="0" w:color="auto"/>
            </w:tcBorders>
          </w:tcPr>
          <w:p w:rsidR="00F70587" w:rsidRPr="00733A68" w:rsidRDefault="00F70587" w:rsidP="00B010B9">
            <w:pPr>
              <w:widowControl w:val="0"/>
              <w:suppressAutoHyphens w:val="0"/>
              <w:spacing w:before="40" w:after="120" w:line="220" w:lineRule="exact"/>
              <w:ind w:left="136" w:right="113"/>
              <w:rPr>
                <w:rFonts w:eastAsia="MS PGothic"/>
                <w:bCs/>
                <w:sz w:val="18"/>
                <w:szCs w:val="18"/>
              </w:rPr>
            </w:pPr>
            <w:r>
              <w:rPr>
                <w:rFonts w:eastAsia="MS PGothic"/>
                <w:bCs/>
                <w:sz w:val="18"/>
                <w:szCs w:val="18"/>
              </w:rPr>
              <w:t xml:space="preserve">UN GTR work under development. Working document for January 2020 GRPE session </w:t>
            </w:r>
          </w:p>
        </w:tc>
      </w:tr>
      <w:tr w:rsidR="005B5645" w:rsidRPr="00FF47E4" w:rsidTr="005B5645">
        <w:trPr>
          <w:trHeight w:val="1567"/>
          <w:jc w:val="center"/>
        </w:trPr>
        <w:tc>
          <w:tcPr>
            <w:tcW w:w="658" w:type="pct"/>
            <w:tcBorders>
              <w:top w:val="single" w:sz="4"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tcPr>
          <w:p w:rsidR="00F21D5B" w:rsidRDefault="00F21D5B" w:rsidP="00B010B9">
            <w:pPr>
              <w:widowControl w:val="0"/>
              <w:suppressAutoHyphens w:val="0"/>
              <w:spacing w:before="40" w:after="120" w:line="220" w:lineRule="exact"/>
              <w:ind w:right="113"/>
              <w:rPr>
                <w:rFonts w:eastAsia="MS PGothic"/>
                <w:sz w:val="18"/>
                <w:szCs w:val="18"/>
              </w:rPr>
            </w:pPr>
            <w:r>
              <w:rPr>
                <w:rFonts w:eastAsia="MS PGothic"/>
                <w:sz w:val="18"/>
                <w:szCs w:val="18"/>
              </w:rPr>
              <w:t>Revision on M.R.3 concerning VIAQ</w:t>
            </w:r>
          </w:p>
        </w:tc>
        <w:tc>
          <w:tcPr>
            <w:tcW w:w="519"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F21D5B" w:rsidRDefault="00F21D5B" w:rsidP="00B010B9">
            <w:pPr>
              <w:widowControl w:val="0"/>
              <w:suppressAutoHyphens w:val="0"/>
              <w:spacing w:before="40" w:after="120" w:line="220" w:lineRule="exact"/>
              <w:ind w:right="113"/>
              <w:rPr>
                <w:rFonts w:eastAsia="MS PGothic"/>
                <w:bCs/>
                <w:sz w:val="18"/>
                <w:szCs w:val="18"/>
              </w:rPr>
            </w:pPr>
            <w:r>
              <w:rPr>
                <w:rFonts w:eastAsia="MS PGothic"/>
                <w:bCs/>
                <w:sz w:val="18"/>
                <w:szCs w:val="18"/>
              </w:rPr>
              <w:t>Q2 2020</w:t>
            </w:r>
          </w:p>
        </w:tc>
        <w:tc>
          <w:tcPr>
            <w:tcW w:w="413"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F21D5B" w:rsidRDefault="00F21D5B" w:rsidP="00B010B9">
            <w:pPr>
              <w:widowControl w:val="0"/>
              <w:suppressAutoHyphens w:val="0"/>
              <w:spacing w:before="40" w:after="120" w:line="220" w:lineRule="exact"/>
              <w:ind w:right="113"/>
              <w:rPr>
                <w:rFonts w:eastAsia="MS PGothic"/>
                <w:bCs/>
                <w:sz w:val="18"/>
                <w:szCs w:val="18"/>
              </w:rPr>
            </w:pPr>
            <w:r>
              <w:rPr>
                <w:rFonts w:eastAsia="MS PGothic"/>
                <w:bCs/>
                <w:sz w:val="18"/>
                <w:szCs w:val="18"/>
              </w:rPr>
              <w:t>IWG on VIAQ</w:t>
            </w:r>
          </w:p>
        </w:tc>
        <w:tc>
          <w:tcPr>
            <w:tcW w:w="1840" w:type="pct"/>
            <w:tcBorders>
              <w:top w:val="single" w:sz="4" w:space="0" w:color="auto"/>
              <w:left w:val="single" w:sz="4" w:space="0" w:color="auto"/>
              <w:bottom w:val="single" w:sz="4" w:space="0" w:color="auto"/>
              <w:right w:val="single" w:sz="4" w:space="0" w:color="auto"/>
            </w:tcBorders>
          </w:tcPr>
          <w:p w:rsidR="00F21D5B" w:rsidRDefault="00F21D5B" w:rsidP="00B010B9">
            <w:pPr>
              <w:widowControl w:val="0"/>
              <w:suppressAutoHyphens w:val="0"/>
              <w:spacing w:before="40" w:after="120" w:line="220" w:lineRule="exact"/>
              <w:ind w:left="136" w:right="113"/>
              <w:rPr>
                <w:rFonts w:eastAsia="MS PGothic"/>
                <w:bCs/>
                <w:sz w:val="18"/>
                <w:szCs w:val="18"/>
              </w:rPr>
            </w:pPr>
            <w:r>
              <w:rPr>
                <w:rFonts w:eastAsia="MS PGothic"/>
                <w:bCs/>
                <w:sz w:val="18"/>
                <w:szCs w:val="18"/>
              </w:rPr>
              <w:t>Mutual Resolution revision</w:t>
            </w:r>
          </w:p>
        </w:tc>
        <w:tc>
          <w:tcPr>
            <w:tcW w:w="1570" w:type="pct"/>
            <w:tcBorders>
              <w:top w:val="single" w:sz="4" w:space="0" w:color="auto"/>
              <w:left w:val="single" w:sz="4" w:space="0" w:color="auto"/>
              <w:bottom w:val="single" w:sz="4" w:space="0" w:color="auto"/>
              <w:right w:val="single" w:sz="4" w:space="0" w:color="auto"/>
            </w:tcBorders>
          </w:tcPr>
          <w:p w:rsidR="00F21D5B" w:rsidRDefault="00F21D5B" w:rsidP="00B010B9">
            <w:pPr>
              <w:widowControl w:val="0"/>
              <w:suppressAutoHyphens w:val="0"/>
              <w:spacing w:before="40" w:after="120" w:line="220" w:lineRule="exact"/>
              <w:ind w:left="136" w:right="113"/>
              <w:rPr>
                <w:rFonts w:eastAsia="MS PGothic"/>
                <w:bCs/>
                <w:sz w:val="18"/>
                <w:szCs w:val="18"/>
              </w:rPr>
            </w:pPr>
          </w:p>
        </w:tc>
      </w:tr>
    </w:tbl>
    <w:p w:rsidR="00ED750F" w:rsidRDefault="00ED750F" w:rsidP="00CC7ED1">
      <w:pPr>
        <w:spacing w:before="240"/>
        <w:jc w:val="center"/>
        <w:rPr>
          <w:u w:val="single"/>
        </w:rPr>
      </w:pPr>
    </w:p>
    <w:p w:rsidR="00ED750F" w:rsidRDefault="00ED750F">
      <w:pPr>
        <w:suppressAutoHyphens w:val="0"/>
        <w:spacing w:line="240" w:lineRule="auto"/>
        <w:rPr>
          <w:u w:val="single"/>
        </w:rPr>
      </w:pPr>
      <w:r>
        <w:rPr>
          <w:u w:val="single"/>
        </w:rPr>
        <w:br w:type="page"/>
      </w:r>
    </w:p>
    <w:p w:rsidR="00051D65" w:rsidRDefault="00051D65" w:rsidP="00667467">
      <w:pPr>
        <w:pStyle w:val="Titre1"/>
      </w:pPr>
      <w:r>
        <w:lastRenderedPageBreak/>
        <w:t>Table 2</w:t>
      </w:r>
    </w:p>
    <w:p w:rsidR="00051D65" w:rsidRDefault="00C22705" w:rsidP="00667467">
      <w:pPr>
        <w:pStyle w:val="Titre1"/>
        <w:rPr>
          <w:b/>
          <w:bCs/>
        </w:rPr>
      </w:pPr>
      <w:r>
        <w:rPr>
          <w:b/>
          <w:bCs/>
        </w:rPr>
        <w:t>Potential future</w:t>
      </w:r>
      <w:r w:rsidR="00C06244">
        <w:rPr>
          <w:b/>
          <w:bCs/>
        </w:rPr>
        <w:t xml:space="preserve"> activi</w:t>
      </w:r>
      <w:r w:rsidR="00051D65" w:rsidRPr="00CC7ED1">
        <w:rPr>
          <w:b/>
          <w:bCs/>
        </w:rPr>
        <w:t xml:space="preserve">ties related to </w:t>
      </w:r>
      <w:r w:rsidR="00051D65">
        <w:rPr>
          <w:b/>
          <w:bCs/>
        </w:rPr>
        <w:t>pollution and energy</w:t>
      </w:r>
    </w:p>
    <w:tbl>
      <w:tblPr>
        <w:tblW w:w="5074" w:type="pct"/>
        <w:jc w:val="center"/>
        <w:tblBorders>
          <w:top w:val="single" w:sz="4" w:space="0" w:color="auto"/>
          <w:bottom w:val="single" w:sz="12" w:space="0" w:color="auto"/>
        </w:tblBorders>
        <w:tblLayout w:type="fixed"/>
        <w:tblCellMar>
          <w:left w:w="0" w:type="dxa"/>
          <w:right w:w="0" w:type="dxa"/>
        </w:tblCellMar>
        <w:tblLook w:val="0620" w:firstRow="1" w:lastRow="0" w:firstColumn="0" w:lastColumn="0" w:noHBand="1" w:noVBand="1"/>
      </w:tblPr>
      <w:tblGrid>
        <w:gridCol w:w="1553"/>
        <w:gridCol w:w="1417"/>
        <w:gridCol w:w="1136"/>
        <w:gridCol w:w="5666"/>
      </w:tblGrid>
      <w:tr w:rsidR="00667467" w:rsidRPr="00D54EF1" w:rsidTr="009755DC">
        <w:trPr>
          <w:trHeight w:val="241"/>
          <w:tblHeader/>
          <w:jc w:val="center"/>
        </w:trPr>
        <w:tc>
          <w:tcPr>
            <w:tcW w:w="795" w:type="pct"/>
            <w:tcBorders>
              <w:top w:val="single" w:sz="4" w:space="0" w:color="auto"/>
              <w:left w:val="single" w:sz="4" w:space="0" w:color="auto"/>
              <w:bottom w:val="single" w:sz="12" w:space="0" w:color="auto"/>
              <w:right w:val="single" w:sz="4" w:space="0" w:color="auto"/>
            </w:tcBorders>
            <w:shd w:val="clear" w:color="auto" w:fill="auto"/>
            <w:tcMar>
              <w:top w:w="43" w:type="dxa"/>
              <w:left w:w="85" w:type="dxa"/>
              <w:bottom w:w="43" w:type="dxa"/>
              <w:right w:w="85" w:type="dxa"/>
            </w:tcMar>
          </w:tcPr>
          <w:p w:rsidR="00667467" w:rsidRPr="00D54EF1" w:rsidRDefault="00667467" w:rsidP="009755DC">
            <w:pPr>
              <w:suppressAutoHyphens w:val="0"/>
              <w:spacing w:before="80" w:after="80" w:line="200" w:lineRule="exact"/>
              <w:ind w:right="113"/>
              <w:rPr>
                <w:rFonts w:eastAsia="MS PGothic"/>
                <w:i/>
                <w:sz w:val="16"/>
                <w:szCs w:val="16"/>
              </w:rPr>
            </w:pPr>
            <w:r w:rsidRPr="00D54EF1">
              <w:rPr>
                <w:rFonts w:eastAsia="MS PGothic"/>
                <w:i/>
                <w:sz w:val="16"/>
                <w:szCs w:val="16"/>
              </w:rPr>
              <w:t>Title</w:t>
            </w:r>
          </w:p>
        </w:tc>
        <w:tc>
          <w:tcPr>
            <w:tcW w:w="725" w:type="pct"/>
            <w:tcBorders>
              <w:top w:val="single" w:sz="4" w:space="0" w:color="auto"/>
              <w:left w:val="single" w:sz="4" w:space="0" w:color="auto"/>
              <w:bottom w:val="single" w:sz="12" w:space="0" w:color="auto"/>
              <w:right w:val="single" w:sz="4" w:space="0" w:color="auto"/>
            </w:tcBorders>
            <w:shd w:val="clear" w:color="auto" w:fill="auto"/>
            <w:tcMar>
              <w:top w:w="43" w:type="dxa"/>
              <w:left w:w="43" w:type="dxa"/>
              <w:bottom w:w="43" w:type="dxa"/>
              <w:right w:w="43" w:type="dxa"/>
            </w:tcMar>
          </w:tcPr>
          <w:p w:rsidR="00667467" w:rsidRPr="00D54EF1" w:rsidRDefault="00667467" w:rsidP="009755DC">
            <w:pPr>
              <w:suppressAutoHyphens w:val="0"/>
              <w:spacing w:before="80" w:after="80" w:line="200" w:lineRule="exact"/>
              <w:ind w:right="113"/>
              <w:jc w:val="center"/>
              <w:rPr>
                <w:rFonts w:eastAsia="MS PGothic"/>
                <w:i/>
                <w:sz w:val="16"/>
                <w:szCs w:val="16"/>
              </w:rPr>
            </w:pPr>
            <w:r>
              <w:rPr>
                <w:rFonts w:eastAsia="MS PGothic"/>
                <w:i/>
                <w:sz w:val="16"/>
                <w:szCs w:val="16"/>
              </w:rPr>
              <w:t>Time horizon</w:t>
            </w:r>
          </w:p>
        </w:tc>
        <w:tc>
          <w:tcPr>
            <w:tcW w:w="581" w:type="pct"/>
            <w:tcBorders>
              <w:top w:val="single" w:sz="4" w:space="0" w:color="auto"/>
              <w:left w:val="single" w:sz="4" w:space="0" w:color="auto"/>
              <w:bottom w:val="single" w:sz="12" w:space="0" w:color="auto"/>
              <w:right w:val="single" w:sz="4" w:space="0" w:color="auto"/>
            </w:tcBorders>
            <w:shd w:val="clear" w:color="auto" w:fill="auto"/>
            <w:tcMar>
              <w:top w:w="43" w:type="dxa"/>
              <w:left w:w="43" w:type="dxa"/>
              <w:bottom w:w="43" w:type="dxa"/>
              <w:right w:w="43" w:type="dxa"/>
            </w:tcMar>
          </w:tcPr>
          <w:p w:rsidR="00667467" w:rsidRPr="00D54EF1" w:rsidRDefault="00667467" w:rsidP="009755DC">
            <w:pPr>
              <w:suppressAutoHyphens w:val="0"/>
              <w:spacing w:before="80" w:after="80" w:line="200" w:lineRule="exact"/>
              <w:ind w:right="113"/>
              <w:jc w:val="center"/>
              <w:rPr>
                <w:rFonts w:eastAsia="MS PGothic"/>
                <w:i/>
                <w:sz w:val="16"/>
                <w:szCs w:val="16"/>
              </w:rPr>
            </w:pPr>
            <w:r>
              <w:rPr>
                <w:rFonts w:eastAsia="MS PGothic"/>
                <w:i/>
                <w:sz w:val="16"/>
                <w:szCs w:val="16"/>
              </w:rPr>
              <w:t>Lead</w:t>
            </w:r>
            <w:r w:rsidRPr="00D54EF1">
              <w:rPr>
                <w:rFonts w:eastAsia="MS PGothic"/>
                <w:i/>
                <w:sz w:val="16"/>
                <w:szCs w:val="16"/>
              </w:rPr>
              <w:t>s</w:t>
            </w:r>
          </w:p>
        </w:tc>
        <w:tc>
          <w:tcPr>
            <w:tcW w:w="2899" w:type="pct"/>
            <w:tcBorders>
              <w:top w:val="single" w:sz="4" w:space="0" w:color="auto"/>
              <w:left w:val="single" w:sz="4" w:space="0" w:color="auto"/>
              <w:bottom w:val="single" w:sz="12" w:space="0" w:color="auto"/>
              <w:right w:val="single" w:sz="4" w:space="0" w:color="auto"/>
            </w:tcBorders>
          </w:tcPr>
          <w:p w:rsidR="00667467" w:rsidRPr="00D54EF1" w:rsidRDefault="00667467" w:rsidP="009755DC">
            <w:pPr>
              <w:suppressAutoHyphens w:val="0"/>
              <w:spacing w:before="80" w:after="80" w:line="200" w:lineRule="exact"/>
              <w:ind w:right="113"/>
              <w:jc w:val="center"/>
              <w:rPr>
                <w:rFonts w:eastAsia="MS PGothic"/>
                <w:i/>
                <w:sz w:val="16"/>
                <w:szCs w:val="16"/>
              </w:rPr>
            </w:pPr>
            <w:r>
              <w:rPr>
                <w:rFonts w:eastAsia="MS PGothic"/>
                <w:i/>
                <w:sz w:val="16"/>
                <w:szCs w:val="16"/>
              </w:rPr>
              <w:t>Objectives</w:t>
            </w:r>
          </w:p>
        </w:tc>
      </w:tr>
      <w:tr w:rsidR="00667467" w:rsidRPr="00580629" w:rsidTr="009755DC">
        <w:trPr>
          <w:trHeight w:val="445"/>
          <w:tblHeader/>
          <w:jc w:val="center"/>
        </w:trPr>
        <w:tc>
          <w:tcPr>
            <w:tcW w:w="795" w:type="pct"/>
            <w:tcBorders>
              <w:top w:val="single" w:sz="12"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vAlign w:val="center"/>
          </w:tcPr>
          <w:p w:rsidR="00667467" w:rsidRPr="00580629" w:rsidRDefault="00667467" w:rsidP="009755DC">
            <w:pPr>
              <w:snapToGrid w:val="0"/>
              <w:rPr>
                <w:sz w:val="18"/>
                <w:szCs w:val="18"/>
              </w:rPr>
            </w:pPr>
            <w:r>
              <w:rPr>
                <w:sz w:val="18"/>
                <w:szCs w:val="18"/>
              </w:rPr>
              <w:t>Lifetime compliance: In-Service Conformity, in use compliance and beyond</w:t>
            </w:r>
            <w:r w:rsidRPr="00580629">
              <w:rPr>
                <w:sz w:val="18"/>
                <w:szCs w:val="18"/>
              </w:rPr>
              <w:t xml:space="preserve"> </w:t>
            </w:r>
          </w:p>
        </w:tc>
        <w:tc>
          <w:tcPr>
            <w:tcW w:w="725" w:type="pct"/>
            <w:tcBorders>
              <w:top w:val="single" w:sz="12"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667467" w:rsidRPr="00580629" w:rsidRDefault="00667467" w:rsidP="009755DC">
            <w:pPr>
              <w:suppressAutoHyphens w:val="0"/>
              <w:spacing w:before="40" w:after="120" w:line="220" w:lineRule="exact"/>
              <w:ind w:right="113"/>
              <w:rPr>
                <w:rFonts w:eastAsia="MS PGothic"/>
                <w:bCs/>
                <w:sz w:val="18"/>
                <w:szCs w:val="18"/>
              </w:rPr>
            </w:pPr>
            <w:r>
              <w:rPr>
                <w:rFonts w:eastAsia="MS PGothic"/>
                <w:bCs/>
                <w:sz w:val="18"/>
                <w:szCs w:val="18"/>
              </w:rPr>
              <w:t>Medium term</w:t>
            </w:r>
          </w:p>
        </w:tc>
        <w:tc>
          <w:tcPr>
            <w:tcW w:w="581" w:type="pct"/>
            <w:tcBorders>
              <w:top w:val="single" w:sz="12"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667467" w:rsidRPr="00580629" w:rsidRDefault="00667467" w:rsidP="009755DC">
            <w:pPr>
              <w:suppressAutoHyphens w:val="0"/>
              <w:spacing w:before="40" w:after="120" w:line="220" w:lineRule="exact"/>
              <w:ind w:right="113"/>
              <w:rPr>
                <w:rFonts w:eastAsia="MS PGothic"/>
                <w:bCs/>
                <w:sz w:val="18"/>
                <w:szCs w:val="18"/>
              </w:rPr>
            </w:pPr>
            <w:r>
              <w:rPr>
                <w:rFonts w:eastAsia="MS PGothic"/>
                <w:bCs/>
                <w:sz w:val="18"/>
                <w:szCs w:val="18"/>
              </w:rPr>
              <w:t xml:space="preserve">GRPE / </w:t>
            </w:r>
            <w:r>
              <w:rPr>
                <w:rFonts w:eastAsia="MS PGothic"/>
                <w:bCs/>
                <w:sz w:val="18"/>
                <w:szCs w:val="18"/>
              </w:rPr>
              <w:br/>
              <w:t>IWG on PTI</w:t>
            </w:r>
          </w:p>
        </w:tc>
        <w:tc>
          <w:tcPr>
            <w:tcW w:w="2899" w:type="pct"/>
            <w:tcBorders>
              <w:top w:val="single" w:sz="12" w:space="0" w:color="auto"/>
              <w:left w:val="single" w:sz="4" w:space="0" w:color="auto"/>
              <w:bottom w:val="single" w:sz="4" w:space="0" w:color="auto"/>
              <w:right w:val="single" w:sz="4" w:space="0" w:color="auto"/>
            </w:tcBorders>
          </w:tcPr>
          <w:p w:rsidR="00667467" w:rsidRPr="00580629" w:rsidRDefault="00667467" w:rsidP="009755DC">
            <w:pPr>
              <w:suppressAutoHyphens w:val="0"/>
              <w:spacing w:before="40" w:after="120" w:line="220" w:lineRule="exact"/>
              <w:ind w:left="136" w:right="113"/>
              <w:rPr>
                <w:rFonts w:eastAsia="MS PGothic"/>
                <w:bCs/>
                <w:sz w:val="18"/>
                <w:szCs w:val="18"/>
              </w:rPr>
            </w:pPr>
            <w:r>
              <w:rPr>
                <w:rFonts w:eastAsia="MS PGothic"/>
                <w:bCs/>
                <w:sz w:val="18"/>
                <w:szCs w:val="18"/>
              </w:rPr>
              <w:t>Ensure adequate and long-lasting environmental performance of vehicles:</w:t>
            </w:r>
            <w:r>
              <w:rPr>
                <w:rFonts w:eastAsia="MS PGothic"/>
                <w:bCs/>
                <w:sz w:val="18"/>
                <w:szCs w:val="18"/>
              </w:rPr>
              <w:br/>
              <w:t>- In-Service Conformity / durability provisions</w:t>
            </w:r>
            <w:r>
              <w:rPr>
                <w:rFonts w:eastAsia="MS PGothic"/>
                <w:bCs/>
                <w:sz w:val="18"/>
                <w:szCs w:val="18"/>
              </w:rPr>
              <w:br/>
              <w:t>- PTI tests</w:t>
            </w:r>
            <w:r>
              <w:rPr>
                <w:rFonts w:eastAsia="MS PGothic"/>
                <w:bCs/>
                <w:sz w:val="18"/>
                <w:szCs w:val="18"/>
              </w:rPr>
              <w:br/>
              <w:t>- On-Board Measurements and monitoring</w:t>
            </w:r>
            <w:r>
              <w:rPr>
                <w:rFonts w:eastAsia="MS PGothic"/>
                <w:bCs/>
                <w:sz w:val="18"/>
                <w:szCs w:val="18"/>
              </w:rPr>
              <w:br/>
              <w:t>- Tampering prevention (e.g. NOx emulator, DPF removal…)</w:t>
            </w:r>
          </w:p>
        </w:tc>
      </w:tr>
      <w:tr w:rsidR="00667467" w:rsidRPr="00315086" w:rsidTr="009755DC">
        <w:trPr>
          <w:trHeight w:val="445"/>
          <w:tblHeader/>
          <w:jc w:val="center"/>
        </w:trPr>
        <w:tc>
          <w:tcPr>
            <w:tcW w:w="795" w:type="pct"/>
            <w:tcBorders>
              <w:top w:val="single" w:sz="4"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tcPr>
          <w:p w:rsidR="00667467" w:rsidRPr="00315086" w:rsidRDefault="00667467" w:rsidP="009755DC">
            <w:pPr>
              <w:suppressAutoHyphens w:val="0"/>
              <w:spacing w:before="40" w:after="120" w:line="220" w:lineRule="exact"/>
              <w:ind w:right="113"/>
              <w:rPr>
                <w:rFonts w:eastAsia="MS PGothic"/>
                <w:sz w:val="18"/>
                <w:szCs w:val="18"/>
              </w:rPr>
            </w:pPr>
            <w:r>
              <w:rPr>
                <w:rFonts w:eastAsia="MS PGothic"/>
                <w:sz w:val="18"/>
                <w:szCs w:val="18"/>
              </w:rPr>
              <w:t>Lifecycle emissions</w:t>
            </w:r>
          </w:p>
        </w:tc>
        <w:tc>
          <w:tcPr>
            <w:tcW w:w="725"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667467" w:rsidRPr="00315086" w:rsidRDefault="00667467" w:rsidP="009755DC">
            <w:pPr>
              <w:suppressAutoHyphens w:val="0"/>
              <w:spacing w:before="40" w:after="120" w:line="220" w:lineRule="exact"/>
              <w:ind w:right="113"/>
              <w:rPr>
                <w:rFonts w:eastAsia="MS PGothic"/>
                <w:bCs/>
                <w:sz w:val="18"/>
                <w:szCs w:val="18"/>
              </w:rPr>
            </w:pPr>
            <w:r>
              <w:rPr>
                <w:rFonts w:eastAsia="MS PGothic"/>
                <w:bCs/>
                <w:sz w:val="18"/>
                <w:szCs w:val="18"/>
              </w:rPr>
              <w:t>Medium term</w:t>
            </w:r>
          </w:p>
        </w:tc>
        <w:tc>
          <w:tcPr>
            <w:tcW w:w="581"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667467" w:rsidRPr="00315086" w:rsidRDefault="00667467" w:rsidP="009755DC">
            <w:pPr>
              <w:suppressAutoHyphens w:val="0"/>
              <w:spacing w:before="40" w:after="120" w:line="220" w:lineRule="exact"/>
              <w:ind w:right="113"/>
              <w:rPr>
                <w:rFonts w:eastAsia="MS PGothic"/>
                <w:bCs/>
                <w:sz w:val="18"/>
                <w:szCs w:val="18"/>
              </w:rPr>
            </w:pPr>
            <w:r>
              <w:rPr>
                <w:rFonts w:eastAsia="MS PGothic"/>
                <w:bCs/>
                <w:sz w:val="18"/>
                <w:szCs w:val="18"/>
              </w:rPr>
              <w:t>GRPE</w:t>
            </w:r>
          </w:p>
        </w:tc>
        <w:tc>
          <w:tcPr>
            <w:tcW w:w="2899" w:type="pct"/>
            <w:tcBorders>
              <w:top w:val="single" w:sz="4" w:space="0" w:color="auto"/>
              <w:left w:val="single" w:sz="4" w:space="0" w:color="auto"/>
              <w:bottom w:val="single" w:sz="4" w:space="0" w:color="auto"/>
              <w:right w:val="single" w:sz="4" w:space="0" w:color="auto"/>
            </w:tcBorders>
          </w:tcPr>
          <w:p w:rsidR="00667467" w:rsidRPr="00315086" w:rsidRDefault="00667467" w:rsidP="009755DC">
            <w:pPr>
              <w:suppressAutoHyphens w:val="0"/>
              <w:spacing w:before="40" w:after="120" w:line="220" w:lineRule="exact"/>
              <w:ind w:left="136" w:right="113"/>
              <w:rPr>
                <w:rFonts w:eastAsia="MS PGothic"/>
                <w:bCs/>
                <w:sz w:val="18"/>
                <w:szCs w:val="18"/>
              </w:rPr>
            </w:pPr>
            <w:r>
              <w:rPr>
                <w:rFonts w:eastAsia="MS PGothic"/>
                <w:bCs/>
                <w:sz w:val="18"/>
                <w:szCs w:val="18"/>
              </w:rPr>
              <w:t>Tackling overall emissions from vehicles manufacture and its use:</w:t>
            </w:r>
            <w:r>
              <w:rPr>
                <w:rFonts w:eastAsia="MS PGothic"/>
                <w:bCs/>
                <w:sz w:val="18"/>
                <w:szCs w:val="18"/>
              </w:rPr>
              <w:br/>
              <w:t>- WTW emissions of energy to power the vehicles,</w:t>
            </w:r>
            <w:r>
              <w:rPr>
                <w:rFonts w:eastAsia="MS PGothic"/>
                <w:bCs/>
                <w:sz w:val="18"/>
                <w:szCs w:val="18"/>
              </w:rPr>
              <w:br/>
              <w:t>- Emissions during production of vehicles</w:t>
            </w:r>
            <w:r>
              <w:rPr>
                <w:rFonts w:eastAsia="MS PGothic"/>
                <w:bCs/>
                <w:sz w:val="18"/>
                <w:szCs w:val="18"/>
              </w:rPr>
              <w:br/>
              <w:t>- Recyclability / Emissions during disposal of the vehicle</w:t>
            </w:r>
          </w:p>
        </w:tc>
      </w:tr>
      <w:tr w:rsidR="00667467" w:rsidTr="009755DC">
        <w:trPr>
          <w:trHeight w:val="445"/>
          <w:tblHeader/>
          <w:jc w:val="center"/>
        </w:trPr>
        <w:tc>
          <w:tcPr>
            <w:tcW w:w="795" w:type="pct"/>
            <w:tcBorders>
              <w:top w:val="single" w:sz="4"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tcPr>
          <w:p w:rsidR="00667467" w:rsidRDefault="00667467" w:rsidP="009755DC">
            <w:pPr>
              <w:suppressAutoHyphens w:val="0"/>
              <w:spacing w:before="40" w:after="120" w:line="220" w:lineRule="exact"/>
              <w:ind w:right="113"/>
              <w:rPr>
                <w:rFonts w:eastAsia="MS PGothic"/>
                <w:sz w:val="18"/>
                <w:szCs w:val="18"/>
              </w:rPr>
            </w:pPr>
            <w:r>
              <w:rPr>
                <w:rFonts w:eastAsia="MS PGothic"/>
                <w:sz w:val="18"/>
                <w:szCs w:val="18"/>
              </w:rPr>
              <w:t>Non-regulated Emissions</w:t>
            </w:r>
          </w:p>
        </w:tc>
        <w:tc>
          <w:tcPr>
            <w:tcW w:w="725"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667467" w:rsidRDefault="00667467" w:rsidP="009755DC">
            <w:pPr>
              <w:suppressAutoHyphens w:val="0"/>
              <w:spacing w:before="40" w:after="120" w:line="220" w:lineRule="exact"/>
              <w:ind w:right="113"/>
              <w:rPr>
                <w:rFonts w:eastAsia="MS PGothic"/>
                <w:bCs/>
                <w:sz w:val="18"/>
                <w:szCs w:val="18"/>
              </w:rPr>
            </w:pPr>
            <w:r>
              <w:rPr>
                <w:rFonts w:eastAsia="MS PGothic"/>
                <w:bCs/>
                <w:sz w:val="18"/>
                <w:szCs w:val="18"/>
              </w:rPr>
              <w:t>Medium term</w:t>
            </w:r>
            <w:r>
              <w:rPr>
                <w:rFonts w:eastAsia="MS PGothic"/>
                <w:bCs/>
                <w:sz w:val="18"/>
                <w:szCs w:val="18"/>
              </w:rPr>
              <w:br/>
            </w:r>
          </w:p>
        </w:tc>
        <w:tc>
          <w:tcPr>
            <w:tcW w:w="581"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667467" w:rsidRDefault="00667467" w:rsidP="009755DC">
            <w:pPr>
              <w:suppressAutoHyphens w:val="0"/>
              <w:spacing w:before="40" w:after="120" w:line="220" w:lineRule="exact"/>
              <w:ind w:right="113"/>
              <w:rPr>
                <w:rFonts w:eastAsia="MS PGothic"/>
                <w:bCs/>
                <w:sz w:val="18"/>
                <w:szCs w:val="18"/>
              </w:rPr>
            </w:pPr>
            <w:r>
              <w:rPr>
                <w:rFonts w:eastAsia="MS PGothic"/>
                <w:bCs/>
                <w:sz w:val="18"/>
                <w:szCs w:val="18"/>
              </w:rPr>
              <w:t>GRPE</w:t>
            </w:r>
          </w:p>
        </w:tc>
        <w:tc>
          <w:tcPr>
            <w:tcW w:w="2899" w:type="pct"/>
            <w:tcBorders>
              <w:top w:val="single" w:sz="4" w:space="0" w:color="auto"/>
              <w:left w:val="single" w:sz="4" w:space="0" w:color="auto"/>
              <w:bottom w:val="single" w:sz="4" w:space="0" w:color="auto"/>
              <w:right w:val="single" w:sz="4" w:space="0" w:color="auto"/>
            </w:tcBorders>
          </w:tcPr>
          <w:p w:rsidR="00667467" w:rsidRDefault="00667467" w:rsidP="009755DC">
            <w:pPr>
              <w:suppressAutoHyphens w:val="0"/>
              <w:spacing w:before="40" w:after="120" w:line="220" w:lineRule="exact"/>
              <w:ind w:left="136" w:right="113"/>
              <w:rPr>
                <w:rFonts w:eastAsia="MS PGothic"/>
                <w:bCs/>
                <w:sz w:val="18"/>
                <w:szCs w:val="18"/>
              </w:rPr>
            </w:pPr>
            <w:r>
              <w:rPr>
                <w:rFonts w:eastAsia="MS PGothic"/>
                <w:bCs/>
                <w:sz w:val="18"/>
                <w:szCs w:val="18"/>
              </w:rPr>
              <w:t xml:space="preserve">Include non-regulated pollutant into emissions regulations, if appropriate </w:t>
            </w:r>
            <w:r>
              <w:rPr>
                <w:rFonts w:eastAsia="MS PGothic"/>
                <w:bCs/>
                <w:sz w:val="18"/>
                <w:szCs w:val="18"/>
              </w:rPr>
              <w:br/>
            </w:r>
          </w:p>
        </w:tc>
      </w:tr>
      <w:tr w:rsidR="00667467" w:rsidTr="009755DC">
        <w:trPr>
          <w:trHeight w:val="445"/>
          <w:tblHeader/>
          <w:jc w:val="center"/>
        </w:trPr>
        <w:tc>
          <w:tcPr>
            <w:tcW w:w="795" w:type="pct"/>
            <w:tcBorders>
              <w:top w:val="single" w:sz="4"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tcPr>
          <w:p w:rsidR="00667467" w:rsidRDefault="00667467" w:rsidP="009755DC">
            <w:pPr>
              <w:suppressAutoHyphens w:val="0"/>
              <w:spacing w:before="40" w:after="120" w:line="220" w:lineRule="exact"/>
              <w:ind w:right="113"/>
              <w:rPr>
                <w:rFonts w:eastAsia="MS PGothic"/>
                <w:sz w:val="18"/>
                <w:szCs w:val="18"/>
              </w:rPr>
            </w:pPr>
            <w:r>
              <w:rPr>
                <w:rFonts w:eastAsia="MS PGothic"/>
                <w:sz w:val="18"/>
                <w:szCs w:val="18"/>
              </w:rPr>
              <w:t>Technology-neutral test procedure and emission limits</w:t>
            </w:r>
          </w:p>
        </w:tc>
        <w:tc>
          <w:tcPr>
            <w:tcW w:w="725"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667467" w:rsidRDefault="00667467" w:rsidP="009755DC">
            <w:pPr>
              <w:suppressAutoHyphens w:val="0"/>
              <w:spacing w:before="40" w:after="120" w:line="220" w:lineRule="exact"/>
              <w:ind w:right="113"/>
              <w:rPr>
                <w:rFonts w:eastAsia="MS PGothic"/>
                <w:bCs/>
                <w:sz w:val="18"/>
                <w:szCs w:val="18"/>
              </w:rPr>
            </w:pPr>
            <w:r>
              <w:rPr>
                <w:rFonts w:eastAsia="MS PGothic"/>
                <w:bCs/>
                <w:sz w:val="18"/>
                <w:szCs w:val="18"/>
              </w:rPr>
              <w:t>Medium term</w:t>
            </w:r>
            <w:r>
              <w:rPr>
                <w:rFonts w:eastAsia="MS PGothic"/>
                <w:bCs/>
                <w:sz w:val="18"/>
                <w:szCs w:val="18"/>
              </w:rPr>
              <w:br/>
            </w:r>
          </w:p>
        </w:tc>
        <w:tc>
          <w:tcPr>
            <w:tcW w:w="581"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667467" w:rsidRDefault="00667467" w:rsidP="009755DC">
            <w:pPr>
              <w:suppressAutoHyphens w:val="0"/>
              <w:spacing w:before="40" w:after="120" w:line="220" w:lineRule="exact"/>
              <w:ind w:right="113"/>
              <w:rPr>
                <w:rFonts w:eastAsia="MS PGothic"/>
                <w:bCs/>
                <w:sz w:val="18"/>
                <w:szCs w:val="18"/>
              </w:rPr>
            </w:pPr>
            <w:r>
              <w:rPr>
                <w:rFonts w:eastAsia="MS PGothic"/>
                <w:bCs/>
                <w:sz w:val="18"/>
                <w:szCs w:val="18"/>
              </w:rPr>
              <w:t>GRPE</w:t>
            </w:r>
          </w:p>
        </w:tc>
        <w:tc>
          <w:tcPr>
            <w:tcW w:w="2899" w:type="pct"/>
            <w:tcBorders>
              <w:top w:val="single" w:sz="4" w:space="0" w:color="auto"/>
              <w:left w:val="single" w:sz="4" w:space="0" w:color="auto"/>
              <w:bottom w:val="single" w:sz="4" w:space="0" w:color="auto"/>
              <w:right w:val="single" w:sz="4" w:space="0" w:color="auto"/>
            </w:tcBorders>
          </w:tcPr>
          <w:p w:rsidR="00667467" w:rsidRDefault="00667467" w:rsidP="009755DC">
            <w:pPr>
              <w:suppressAutoHyphens w:val="0"/>
              <w:spacing w:before="40" w:after="120" w:line="220" w:lineRule="exact"/>
              <w:ind w:left="136" w:right="113"/>
              <w:rPr>
                <w:rFonts w:eastAsia="MS PGothic"/>
                <w:bCs/>
                <w:sz w:val="18"/>
                <w:szCs w:val="18"/>
              </w:rPr>
            </w:pPr>
            <w:r>
              <w:rPr>
                <w:rFonts w:eastAsia="MS PGothic"/>
                <w:bCs/>
                <w:sz w:val="18"/>
                <w:szCs w:val="18"/>
              </w:rPr>
              <w:t>Harmonize test procedures and emission limits for all fuel types</w:t>
            </w:r>
          </w:p>
        </w:tc>
      </w:tr>
      <w:tr w:rsidR="00667467" w:rsidTr="00667467">
        <w:trPr>
          <w:trHeight w:val="445"/>
          <w:tblHeader/>
          <w:jc w:val="center"/>
        </w:trPr>
        <w:tc>
          <w:tcPr>
            <w:tcW w:w="795" w:type="pct"/>
            <w:tcBorders>
              <w:top w:val="single" w:sz="4"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tcPr>
          <w:p w:rsidR="00667467" w:rsidRDefault="00667467" w:rsidP="009755DC">
            <w:pPr>
              <w:suppressAutoHyphens w:val="0"/>
              <w:spacing w:before="40" w:after="120" w:line="220" w:lineRule="exact"/>
              <w:ind w:right="113"/>
              <w:rPr>
                <w:rFonts w:eastAsia="MS PGothic"/>
                <w:sz w:val="18"/>
                <w:szCs w:val="18"/>
              </w:rPr>
            </w:pPr>
            <w:r>
              <w:rPr>
                <w:rFonts w:eastAsia="MS PGothic"/>
                <w:sz w:val="18"/>
                <w:szCs w:val="18"/>
              </w:rPr>
              <w:t>Tyre wear emissions</w:t>
            </w:r>
          </w:p>
        </w:tc>
        <w:tc>
          <w:tcPr>
            <w:tcW w:w="725"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667467" w:rsidRDefault="00667467" w:rsidP="009755DC">
            <w:pPr>
              <w:suppressAutoHyphens w:val="0"/>
              <w:spacing w:before="40" w:after="120" w:line="220" w:lineRule="exact"/>
              <w:ind w:right="113"/>
              <w:rPr>
                <w:rFonts w:eastAsia="MS PGothic"/>
                <w:bCs/>
                <w:sz w:val="18"/>
                <w:szCs w:val="18"/>
              </w:rPr>
            </w:pPr>
            <w:r>
              <w:rPr>
                <w:rFonts w:eastAsia="MS PGothic"/>
                <w:bCs/>
                <w:sz w:val="18"/>
                <w:szCs w:val="18"/>
              </w:rPr>
              <w:t>Medium term</w:t>
            </w:r>
          </w:p>
        </w:tc>
        <w:tc>
          <w:tcPr>
            <w:tcW w:w="581"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667467" w:rsidRPr="00667467" w:rsidRDefault="00667467" w:rsidP="009755DC">
            <w:pPr>
              <w:suppressAutoHyphens w:val="0"/>
              <w:spacing w:before="40" w:after="120" w:line="220" w:lineRule="exact"/>
              <w:ind w:right="113"/>
              <w:rPr>
                <w:rFonts w:eastAsia="MS PGothic"/>
                <w:bCs/>
                <w:sz w:val="18"/>
                <w:szCs w:val="18"/>
              </w:rPr>
            </w:pPr>
            <w:r>
              <w:rPr>
                <w:rFonts w:eastAsia="MS PGothic"/>
                <w:bCs/>
                <w:sz w:val="18"/>
                <w:szCs w:val="18"/>
              </w:rPr>
              <w:t xml:space="preserve">IWG on PMP / </w:t>
            </w:r>
            <w:proofErr w:type="gramStart"/>
            <w:r>
              <w:rPr>
                <w:rFonts w:eastAsia="MS PGothic"/>
                <w:bCs/>
                <w:sz w:val="18"/>
                <w:szCs w:val="18"/>
              </w:rPr>
              <w:t xml:space="preserve">GRBP </w:t>
            </w:r>
            <w:r w:rsidRPr="00667467">
              <w:rPr>
                <w:rFonts w:eastAsia="MS PGothic"/>
                <w:bCs/>
                <w:sz w:val="18"/>
                <w:szCs w:val="18"/>
              </w:rPr>
              <w:t>?</w:t>
            </w:r>
            <w:proofErr w:type="gramEnd"/>
          </w:p>
        </w:tc>
        <w:tc>
          <w:tcPr>
            <w:tcW w:w="2899" w:type="pct"/>
            <w:tcBorders>
              <w:top w:val="single" w:sz="4" w:space="0" w:color="auto"/>
              <w:left w:val="single" w:sz="4" w:space="0" w:color="auto"/>
              <w:bottom w:val="single" w:sz="4" w:space="0" w:color="auto"/>
              <w:right w:val="single" w:sz="4" w:space="0" w:color="auto"/>
            </w:tcBorders>
          </w:tcPr>
          <w:p w:rsidR="00667467" w:rsidRDefault="00667467" w:rsidP="009755DC">
            <w:pPr>
              <w:suppressAutoHyphens w:val="0"/>
              <w:spacing w:before="40" w:after="120" w:line="220" w:lineRule="exact"/>
              <w:ind w:left="136" w:right="113"/>
              <w:rPr>
                <w:rFonts w:eastAsia="MS PGothic"/>
                <w:bCs/>
                <w:sz w:val="18"/>
                <w:szCs w:val="18"/>
              </w:rPr>
            </w:pPr>
            <w:r>
              <w:rPr>
                <w:rFonts w:eastAsia="MS PGothic"/>
                <w:bCs/>
                <w:sz w:val="18"/>
                <w:szCs w:val="18"/>
              </w:rPr>
              <w:t>Develop methodology to characterize (PN, other?) emissions from tyre wear</w:t>
            </w:r>
          </w:p>
        </w:tc>
      </w:tr>
      <w:tr w:rsidR="00667467" w:rsidTr="00667467">
        <w:trPr>
          <w:trHeight w:val="445"/>
          <w:tblHeader/>
          <w:jc w:val="center"/>
        </w:trPr>
        <w:tc>
          <w:tcPr>
            <w:tcW w:w="795" w:type="pct"/>
            <w:tcBorders>
              <w:top w:val="single" w:sz="4"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tcPr>
          <w:p w:rsidR="00667467" w:rsidRDefault="00667467" w:rsidP="009755DC">
            <w:pPr>
              <w:suppressAutoHyphens w:val="0"/>
              <w:spacing w:before="40" w:after="120" w:line="220" w:lineRule="exact"/>
              <w:ind w:right="113"/>
              <w:rPr>
                <w:rFonts w:eastAsia="MS PGothic"/>
                <w:sz w:val="18"/>
                <w:szCs w:val="18"/>
              </w:rPr>
            </w:pPr>
            <w:r>
              <w:rPr>
                <w:rFonts w:eastAsia="MS PGothic"/>
                <w:sz w:val="18"/>
                <w:szCs w:val="18"/>
              </w:rPr>
              <w:t xml:space="preserve">Powertrain definitions </w:t>
            </w:r>
          </w:p>
        </w:tc>
        <w:tc>
          <w:tcPr>
            <w:tcW w:w="725"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667467" w:rsidRDefault="00667467" w:rsidP="009755DC">
            <w:pPr>
              <w:suppressAutoHyphens w:val="0"/>
              <w:spacing w:before="40" w:after="120" w:line="220" w:lineRule="exact"/>
              <w:ind w:right="113"/>
              <w:rPr>
                <w:rFonts w:eastAsia="MS PGothic"/>
                <w:bCs/>
                <w:sz w:val="18"/>
                <w:szCs w:val="18"/>
              </w:rPr>
            </w:pPr>
            <w:r>
              <w:rPr>
                <w:rFonts w:eastAsia="MS PGothic"/>
                <w:bCs/>
                <w:sz w:val="18"/>
                <w:szCs w:val="18"/>
              </w:rPr>
              <w:t>Medium term</w:t>
            </w:r>
          </w:p>
        </w:tc>
        <w:tc>
          <w:tcPr>
            <w:tcW w:w="581"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667467" w:rsidRDefault="00667467" w:rsidP="009755DC">
            <w:pPr>
              <w:suppressAutoHyphens w:val="0"/>
              <w:spacing w:before="40" w:after="120" w:line="220" w:lineRule="exact"/>
              <w:ind w:right="113"/>
              <w:rPr>
                <w:rFonts w:eastAsia="MS PGothic"/>
                <w:bCs/>
                <w:sz w:val="18"/>
                <w:szCs w:val="18"/>
              </w:rPr>
            </w:pPr>
            <w:r>
              <w:rPr>
                <w:rFonts w:eastAsia="MS PGothic"/>
                <w:bCs/>
                <w:sz w:val="18"/>
                <w:szCs w:val="18"/>
              </w:rPr>
              <w:t xml:space="preserve">New IWG / </w:t>
            </w:r>
            <w:proofErr w:type="gramStart"/>
            <w:r>
              <w:rPr>
                <w:rFonts w:eastAsia="MS PGothic"/>
                <w:bCs/>
                <w:sz w:val="18"/>
                <w:szCs w:val="18"/>
              </w:rPr>
              <w:t>GRPE ?</w:t>
            </w:r>
            <w:proofErr w:type="gramEnd"/>
          </w:p>
        </w:tc>
        <w:tc>
          <w:tcPr>
            <w:tcW w:w="2899" w:type="pct"/>
            <w:tcBorders>
              <w:top w:val="single" w:sz="4" w:space="0" w:color="auto"/>
              <w:left w:val="single" w:sz="4" w:space="0" w:color="auto"/>
              <w:bottom w:val="single" w:sz="4" w:space="0" w:color="auto"/>
              <w:right w:val="single" w:sz="4" w:space="0" w:color="auto"/>
            </w:tcBorders>
          </w:tcPr>
          <w:p w:rsidR="00667467" w:rsidRDefault="00667467" w:rsidP="009755DC">
            <w:pPr>
              <w:suppressAutoHyphens w:val="0"/>
              <w:spacing w:before="40" w:after="120" w:line="220" w:lineRule="exact"/>
              <w:ind w:left="136" w:right="113"/>
              <w:rPr>
                <w:rFonts w:eastAsia="MS PGothic"/>
                <w:bCs/>
                <w:sz w:val="18"/>
                <w:szCs w:val="18"/>
              </w:rPr>
            </w:pPr>
            <w:r>
              <w:rPr>
                <w:rFonts w:eastAsia="MS PGothic"/>
                <w:bCs/>
                <w:sz w:val="18"/>
                <w:szCs w:val="18"/>
              </w:rPr>
              <w:t xml:space="preserve">Develop a more regular and systematic framework for the update of Mutual Resolution No. 2 </w:t>
            </w:r>
            <w:r w:rsidRPr="00F6190E">
              <w:rPr>
                <w:rFonts w:eastAsia="MS PGothic"/>
                <w:bCs/>
                <w:sz w:val="18"/>
                <w:szCs w:val="18"/>
              </w:rPr>
              <w:t>Containing Vehicle Propulsion System Definitions</w:t>
            </w:r>
          </w:p>
        </w:tc>
      </w:tr>
      <w:tr w:rsidR="00667467" w:rsidTr="00667467">
        <w:trPr>
          <w:trHeight w:val="445"/>
          <w:tblHeader/>
          <w:jc w:val="center"/>
        </w:trPr>
        <w:tc>
          <w:tcPr>
            <w:tcW w:w="795" w:type="pct"/>
            <w:tcBorders>
              <w:top w:val="single" w:sz="4"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tcPr>
          <w:p w:rsidR="00667467" w:rsidRDefault="00667467" w:rsidP="009755DC">
            <w:pPr>
              <w:suppressAutoHyphens w:val="0"/>
              <w:spacing w:before="40" w:after="120" w:line="220" w:lineRule="exact"/>
              <w:ind w:right="113"/>
              <w:rPr>
                <w:rFonts w:eastAsia="MS PGothic"/>
                <w:sz w:val="18"/>
                <w:szCs w:val="18"/>
              </w:rPr>
            </w:pPr>
            <w:r>
              <w:rPr>
                <w:rFonts w:eastAsia="MS PGothic"/>
                <w:sz w:val="18"/>
                <w:szCs w:val="18"/>
              </w:rPr>
              <w:t>Replacement catalyst</w:t>
            </w:r>
          </w:p>
        </w:tc>
        <w:tc>
          <w:tcPr>
            <w:tcW w:w="725"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667467" w:rsidRDefault="00667467" w:rsidP="009755DC">
            <w:pPr>
              <w:suppressAutoHyphens w:val="0"/>
              <w:spacing w:before="40" w:after="120" w:line="220" w:lineRule="exact"/>
              <w:ind w:right="113"/>
              <w:rPr>
                <w:rFonts w:eastAsia="MS PGothic"/>
                <w:bCs/>
                <w:sz w:val="18"/>
                <w:szCs w:val="18"/>
              </w:rPr>
            </w:pPr>
            <w:r>
              <w:rPr>
                <w:rFonts w:eastAsia="MS PGothic"/>
                <w:bCs/>
                <w:sz w:val="18"/>
                <w:szCs w:val="18"/>
              </w:rPr>
              <w:t>Medium term</w:t>
            </w:r>
          </w:p>
        </w:tc>
        <w:tc>
          <w:tcPr>
            <w:tcW w:w="581"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667467" w:rsidRDefault="00667467" w:rsidP="009755DC">
            <w:pPr>
              <w:suppressAutoHyphens w:val="0"/>
              <w:spacing w:before="40" w:after="120" w:line="220" w:lineRule="exact"/>
              <w:ind w:right="113"/>
              <w:rPr>
                <w:rFonts w:eastAsia="MS PGothic"/>
                <w:bCs/>
                <w:sz w:val="18"/>
                <w:szCs w:val="18"/>
              </w:rPr>
            </w:pPr>
            <w:r>
              <w:rPr>
                <w:rFonts w:eastAsia="MS PGothic"/>
                <w:bCs/>
                <w:sz w:val="18"/>
                <w:szCs w:val="18"/>
              </w:rPr>
              <w:t>GRPE</w:t>
            </w:r>
          </w:p>
        </w:tc>
        <w:tc>
          <w:tcPr>
            <w:tcW w:w="2899" w:type="pct"/>
            <w:tcBorders>
              <w:top w:val="single" w:sz="4" w:space="0" w:color="auto"/>
              <w:left w:val="single" w:sz="4" w:space="0" w:color="auto"/>
              <w:bottom w:val="single" w:sz="4" w:space="0" w:color="auto"/>
              <w:right w:val="single" w:sz="4" w:space="0" w:color="auto"/>
            </w:tcBorders>
          </w:tcPr>
          <w:p w:rsidR="00667467" w:rsidRDefault="00667467" w:rsidP="009755DC">
            <w:pPr>
              <w:suppressAutoHyphens w:val="0"/>
              <w:spacing w:before="40" w:after="120" w:line="220" w:lineRule="exact"/>
              <w:ind w:left="136" w:right="113"/>
              <w:rPr>
                <w:rFonts w:eastAsia="MS PGothic"/>
                <w:bCs/>
                <w:sz w:val="18"/>
                <w:szCs w:val="18"/>
              </w:rPr>
            </w:pPr>
            <w:r>
              <w:rPr>
                <w:rFonts w:eastAsia="MS PGothic"/>
                <w:bCs/>
                <w:sz w:val="18"/>
                <w:szCs w:val="18"/>
              </w:rPr>
              <w:t>Amendments to UN Regulation No. 103</w:t>
            </w:r>
          </w:p>
        </w:tc>
      </w:tr>
      <w:tr w:rsidR="00667467" w:rsidRPr="00D54EF1" w:rsidTr="00667467">
        <w:trPr>
          <w:trHeight w:val="445"/>
          <w:tblHeader/>
          <w:jc w:val="center"/>
        </w:trPr>
        <w:tc>
          <w:tcPr>
            <w:tcW w:w="795" w:type="pct"/>
            <w:tcBorders>
              <w:top w:val="single" w:sz="4"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tcPr>
          <w:p w:rsidR="00667467" w:rsidRDefault="00667467" w:rsidP="009755DC">
            <w:pPr>
              <w:suppressAutoHyphens w:val="0"/>
              <w:spacing w:before="40" w:after="120" w:line="220" w:lineRule="exact"/>
              <w:ind w:right="113"/>
              <w:rPr>
                <w:rFonts w:eastAsia="MS PGothic"/>
                <w:sz w:val="18"/>
                <w:szCs w:val="18"/>
              </w:rPr>
            </w:pPr>
            <w:r>
              <w:rPr>
                <w:rFonts w:eastAsia="MS PGothic"/>
                <w:sz w:val="18"/>
                <w:szCs w:val="18"/>
              </w:rPr>
              <w:t>Fuel economy standard measurement methodology</w:t>
            </w:r>
          </w:p>
        </w:tc>
        <w:tc>
          <w:tcPr>
            <w:tcW w:w="725"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667467" w:rsidRDefault="00667467" w:rsidP="009755DC">
            <w:pPr>
              <w:suppressAutoHyphens w:val="0"/>
              <w:spacing w:before="40" w:after="120" w:line="220" w:lineRule="exact"/>
              <w:ind w:right="113"/>
              <w:rPr>
                <w:rFonts w:eastAsia="MS PGothic"/>
                <w:bCs/>
                <w:sz w:val="18"/>
                <w:szCs w:val="18"/>
              </w:rPr>
            </w:pPr>
            <w:r>
              <w:rPr>
                <w:rFonts w:eastAsia="MS PGothic"/>
                <w:bCs/>
                <w:sz w:val="18"/>
                <w:szCs w:val="18"/>
              </w:rPr>
              <w:t>Medium / Long term</w:t>
            </w:r>
          </w:p>
        </w:tc>
        <w:tc>
          <w:tcPr>
            <w:tcW w:w="581"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667467" w:rsidRDefault="00667467" w:rsidP="009755DC">
            <w:pPr>
              <w:suppressAutoHyphens w:val="0"/>
              <w:spacing w:before="40" w:after="120" w:line="220" w:lineRule="exact"/>
              <w:ind w:right="113"/>
              <w:rPr>
                <w:rFonts w:eastAsia="MS PGothic"/>
                <w:bCs/>
                <w:sz w:val="18"/>
                <w:szCs w:val="18"/>
              </w:rPr>
            </w:pPr>
            <w:r>
              <w:rPr>
                <w:rFonts w:eastAsia="MS PGothic"/>
                <w:bCs/>
                <w:sz w:val="18"/>
                <w:szCs w:val="18"/>
              </w:rPr>
              <w:t>New IWG / GRPE?</w:t>
            </w:r>
          </w:p>
        </w:tc>
        <w:tc>
          <w:tcPr>
            <w:tcW w:w="2899" w:type="pct"/>
            <w:tcBorders>
              <w:top w:val="single" w:sz="4" w:space="0" w:color="auto"/>
              <w:left w:val="single" w:sz="4" w:space="0" w:color="auto"/>
              <w:bottom w:val="single" w:sz="4" w:space="0" w:color="auto"/>
              <w:right w:val="single" w:sz="4" w:space="0" w:color="auto"/>
            </w:tcBorders>
          </w:tcPr>
          <w:p w:rsidR="00667467" w:rsidRDefault="00667467" w:rsidP="009755DC">
            <w:pPr>
              <w:suppressAutoHyphens w:val="0"/>
              <w:spacing w:before="40" w:after="120" w:line="220" w:lineRule="exact"/>
              <w:ind w:left="136" w:right="113"/>
              <w:rPr>
                <w:rFonts w:eastAsia="MS PGothic"/>
                <w:bCs/>
                <w:sz w:val="18"/>
                <w:szCs w:val="18"/>
              </w:rPr>
            </w:pPr>
            <w:r>
              <w:rPr>
                <w:rFonts w:eastAsia="MS PGothic"/>
                <w:bCs/>
                <w:sz w:val="18"/>
                <w:szCs w:val="18"/>
              </w:rPr>
              <w:t xml:space="preserve">- Harmonization of various existing methodology for fuel economy standard approaches </w:t>
            </w:r>
            <w:r>
              <w:rPr>
                <w:rFonts w:eastAsia="MS PGothic"/>
                <w:bCs/>
                <w:sz w:val="18"/>
                <w:szCs w:val="18"/>
              </w:rPr>
              <w:br/>
              <w:t>1 – for heavy duty vehicles</w:t>
            </w:r>
            <w:r>
              <w:rPr>
                <w:rFonts w:eastAsia="MS PGothic"/>
                <w:bCs/>
                <w:sz w:val="18"/>
                <w:szCs w:val="18"/>
              </w:rPr>
              <w:br/>
              <w:t>2 – for light duty vehicles</w:t>
            </w:r>
            <w:r>
              <w:rPr>
                <w:rFonts w:eastAsia="MS PGothic"/>
                <w:bCs/>
                <w:sz w:val="18"/>
                <w:szCs w:val="18"/>
              </w:rPr>
              <w:br/>
              <w:t>3 – for other vehicle categories</w:t>
            </w:r>
          </w:p>
          <w:p w:rsidR="00667467" w:rsidRPr="00D54EF1" w:rsidRDefault="00667467" w:rsidP="009755DC">
            <w:pPr>
              <w:suppressAutoHyphens w:val="0"/>
              <w:spacing w:before="40" w:after="120" w:line="220" w:lineRule="exact"/>
              <w:ind w:left="136" w:right="113"/>
              <w:rPr>
                <w:rFonts w:eastAsia="MS PGothic"/>
                <w:bCs/>
                <w:sz w:val="18"/>
                <w:szCs w:val="18"/>
              </w:rPr>
            </w:pPr>
            <w:r>
              <w:rPr>
                <w:rFonts w:eastAsia="MS PGothic"/>
                <w:bCs/>
                <w:sz w:val="18"/>
                <w:szCs w:val="18"/>
              </w:rPr>
              <w:t>- Harmonization of the approaches for real life fuel economy monitoring</w:t>
            </w:r>
          </w:p>
        </w:tc>
      </w:tr>
      <w:tr w:rsidR="00667467" w:rsidTr="00667467">
        <w:trPr>
          <w:trHeight w:val="445"/>
          <w:tblHeader/>
          <w:jc w:val="center"/>
        </w:trPr>
        <w:tc>
          <w:tcPr>
            <w:tcW w:w="795" w:type="pct"/>
            <w:tcBorders>
              <w:top w:val="single" w:sz="4"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tcPr>
          <w:p w:rsidR="00667467" w:rsidRPr="00D54EF1" w:rsidRDefault="00667467" w:rsidP="00667467">
            <w:pPr>
              <w:suppressAutoHyphens w:val="0"/>
              <w:spacing w:before="40" w:after="120" w:line="220" w:lineRule="exact"/>
              <w:ind w:right="113"/>
              <w:rPr>
                <w:rFonts w:eastAsia="MS PGothic"/>
                <w:sz w:val="18"/>
                <w:szCs w:val="18"/>
              </w:rPr>
            </w:pPr>
            <w:r>
              <w:rPr>
                <w:rFonts w:eastAsia="MS PGothic"/>
                <w:sz w:val="18"/>
                <w:szCs w:val="18"/>
              </w:rPr>
              <w:t>Consumer Information</w:t>
            </w:r>
          </w:p>
        </w:tc>
        <w:tc>
          <w:tcPr>
            <w:tcW w:w="725"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667467" w:rsidRDefault="00667467" w:rsidP="009755DC">
            <w:pPr>
              <w:suppressAutoHyphens w:val="0"/>
              <w:spacing w:before="40" w:after="120" w:line="220" w:lineRule="exact"/>
              <w:ind w:right="113"/>
              <w:rPr>
                <w:rFonts w:eastAsia="MS PGothic"/>
                <w:bCs/>
                <w:sz w:val="18"/>
                <w:szCs w:val="18"/>
              </w:rPr>
            </w:pPr>
            <w:r>
              <w:rPr>
                <w:rFonts w:eastAsia="MS PGothic"/>
                <w:bCs/>
                <w:sz w:val="18"/>
                <w:szCs w:val="18"/>
              </w:rPr>
              <w:t>Long term</w:t>
            </w:r>
          </w:p>
        </w:tc>
        <w:tc>
          <w:tcPr>
            <w:tcW w:w="581"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667467" w:rsidRDefault="00667467" w:rsidP="009755DC">
            <w:pPr>
              <w:suppressAutoHyphens w:val="0"/>
              <w:spacing w:before="40" w:after="120" w:line="220" w:lineRule="exact"/>
              <w:ind w:right="113"/>
              <w:rPr>
                <w:rFonts w:eastAsia="MS PGothic"/>
                <w:bCs/>
                <w:sz w:val="18"/>
                <w:szCs w:val="18"/>
              </w:rPr>
            </w:pPr>
            <w:r>
              <w:rPr>
                <w:rFonts w:eastAsia="MS PGothic"/>
                <w:bCs/>
                <w:sz w:val="18"/>
                <w:szCs w:val="18"/>
              </w:rPr>
              <w:t>GRPE</w:t>
            </w:r>
          </w:p>
        </w:tc>
        <w:tc>
          <w:tcPr>
            <w:tcW w:w="2899" w:type="pct"/>
            <w:tcBorders>
              <w:top w:val="single" w:sz="4" w:space="0" w:color="auto"/>
              <w:left w:val="single" w:sz="4" w:space="0" w:color="auto"/>
              <w:bottom w:val="single" w:sz="4" w:space="0" w:color="auto"/>
              <w:right w:val="single" w:sz="4" w:space="0" w:color="auto"/>
            </w:tcBorders>
          </w:tcPr>
          <w:p w:rsidR="00667467" w:rsidRDefault="00667467" w:rsidP="009755DC">
            <w:pPr>
              <w:suppressAutoHyphens w:val="0"/>
              <w:spacing w:before="40" w:after="120" w:line="220" w:lineRule="exact"/>
              <w:ind w:left="136" w:right="113"/>
              <w:rPr>
                <w:rFonts w:eastAsia="MS PGothic"/>
                <w:bCs/>
                <w:sz w:val="18"/>
                <w:szCs w:val="18"/>
              </w:rPr>
            </w:pPr>
            <w:r>
              <w:rPr>
                <w:rFonts w:eastAsia="MS PGothic"/>
                <w:bCs/>
                <w:sz w:val="18"/>
                <w:szCs w:val="18"/>
              </w:rPr>
              <w:t xml:space="preserve">Labelling of energy consumption / GHG and pollutants. </w:t>
            </w:r>
          </w:p>
          <w:p w:rsidR="00667467" w:rsidRDefault="00667467" w:rsidP="009755DC">
            <w:pPr>
              <w:suppressAutoHyphens w:val="0"/>
              <w:spacing w:before="40" w:after="120" w:line="220" w:lineRule="exact"/>
              <w:ind w:left="136" w:right="113"/>
              <w:rPr>
                <w:rFonts w:eastAsia="MS PGothic"/>
                <w:bCs/>
                <w:sz w:val="18"/>
                <w:szCs w:val="18"/>
              </w:rPr>
            </w:pPr>
            <w:r>
              <w:rPr>
                <w:rFonts w:eastAsia="MS PGothic"/>
                <w:bCs/>
                <w:sz w:val="18"/>
                <w:szCs w:val="18"/>
              </w:rPr>
              <w:t xml:space="preserve">e.g. </w:t>
            </w:r>
            <w:proofErr w:type="spellStart"/>
            <w:r>
              <w:rPr>
                <w:rFonts w:eastAsia="MS PGothic"/>
                <w:bCs/>
                <w:sz w:val="18"/>
                <w:szCs w:val="18"/>
              </w:rPr>
              <w:t>GreenNCAP</w:t>
            </w:r>
            <w:proofErr w:type="spellEnd"/>
            <w:r>
              <w:rPr>
                <w:rFonts w:eastAsia="MS PGothic"/>
                <w:bCs/>
                <w:sz w:val="18"/>
                <w:szCs w:val="18"/>
              </w:rPr>
              <w:t>, and others</w:t>
            </w:r>
          </w:p>
        </w:tc>
      </w:tr>
      <w:tr w:rsidR="00667467" w:rsidTr="00667467">
        <w:trPr>
          <w:trHeight w:val="760"/>
          <w:tblHeader/>
          <w:jc w:val="center"/>
        </w:trPr>
        <w:tc>
          <w:tcPr>
            <w:tcW w:w="795" w:type="pct"/>
            <w:tcBorders>
              <w:top w:val="single" w:sz="4"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tcPr>
          <w:p w:rsidR="00667467" w:rsidRDefault="00667467" w:rsidP="00667467">
            <w:pPr>
              <w:suppressAutoHyphens w:val="0"/>
              <w:spacing w:before="40" w:after="120" w:line="220" w:lineRule="exact"/>
              <w:ind w:right="113"/>
              <w:rPr>
                <w:rFonts w:eastAsia="MS PGothic"/>
                <w:sz w:val="18"/>
                <w:szCs w:val="18"/>
              </w:rPr>
            </w:pPr>
            <w:r>
              <w:rPr>
                <w:rFonts w:eastAsia="MS PGothic"/>
                <w:sz w:val="18"/>
                <w:szCs w:val="18"/>
              </w:rPr>
              <w:t>Connected vehicles and the environment</w:t>
            </w:r>
          </w:p>
        </w:tc>
        <w:tc>
          <w:tcPr>
            <w:tcW w:w="725"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667467" w:rsidRDefault="00667467" w:rsidP="009755DC">
            <w:pPr>
              <w:suppressAutoHyphens w:val="0"/>
              <w:spacing w:before="40" w:after="120" w:line="220" w:lineRule="exact"/>
              <w:ind w:right="113"/>
              <w:rPr>
                <w:rFonts w:eastAsia="MS PGothic"/>
                <w:bCs/>
                <w:sz w:val="18"/>
                <w:szCs w:val="18"/>
              </w:rPr>
            </w:pPr>
            <w:r>
              <w:rPr>
                <w:rFonts w:eastAsia="MS PGothic"/>
                <w:bCs/>
                <w:sz w:val="18"/>
                <w:szCs w:val="18"/>
              </w:rPr>
              <w:t>Long term</w:t>
            </w:r>
          </w:p>
        </w:tc>
        <w:tc>
          <w:tcPr>
            <w:tcW w:w="581"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667467" w:rsidRDefault="00667467" w:rsidP="009755DC">
            <w:pPr>
              <w:suppressAutoHyphens w:val="0"/>
              <w:spacing w:before="40" w:after="120" w:line="220" w:lineRule="exact"/>
              <w:ind w:right="113"/>
              <w:rPr>
                <w:rFonts w:eastAsia="MS PGothic"/>
                <w:bCs/>
                <w:sz w:val="18"/>
                <w:szCs w:val="18"/>
              </w:rPr>
            </w:pPr>
            <w:r>
              <w:rPr>
                <w:rFonts w:eastAsia="MS PGothic"/>
                <w:bCs/>
                <w:sz w:val="18"/>
                <w:szCs w:val="18"/>
              </w:rPr>
              <w:t>GRPE / GRVA</w:t>
            </w:r>
          </w:p>
        </w:tc>
        <w:tc>
          <w:tcPr>
            <w:tcW w:w="2899" w:type="pct"/>
            <w:tcBorders>
              <w:top w:val="single" w:sz="4" w:space="0" w:color="auto"/>
              <w:left w:val="single" w:sz="4" w:space="0" w:color="auto"/>
              <w:bottom w:val="single" w:sz="4" w:space="0" w:color="auto"/>
              <w:right w:val="single" w:sz="4" w:space="0" w:color="auto"/>
            </w:tcBorders>
          </w:tcPr>
          <w:p w:rsidR="00667467" w:rsidRDefault="00667467" w:rsidP="009755DC">
            <w:pPr>
              <w:suppressAutoHyphens w:val="0"/>
              <w:spacing w:before="40" w:after="120" w:line="220" w:lineRule="exact"/>
              <w:ind w:left="136" w:right="113"/>
              <w:rPr>
                <w:rFonts w:eastAsia="MS PGothic"/>
                <w:bCs/>
                <w:sz w:val="18"/>
                <w:szCs w:val="18"/>
              </w:rPr>
            </w:pPr>
            <w:r>
              <w:rPr>
                <w:rFonts w:eastAsia="MS PGothic"/>
                <w:bCs/>
                <w:sz w:val="18"/>
                <w:szCs w:val="18"/>
              </w:rPr>
              <w:t>Using vehicle connectivity to minimize environmental impact of vehicles</w:t>
            </w:r>
          </w:p>
        </w:tc>
      </w:tr>
      <w:tr w:rsidR="00667467" w:rsidRPr="00D54EF1" w:rsidTr="00667467">
        <w:trPr>
          <w:trHeight w:val="445"/>
          <w:tblHeader/>
          <w:jc w:val="center"/>
        </w:trPr>
        <w:tc>
          <w:tcPr>
            <w:tcW w:w="795" w:type="pct"/>
            <w:tcBorders>
              <w:top w:val="single" w:sz="4"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tcPr>
          <w:p w:rsidR="00667467" w:rsidRDefault="00667467" w:rsidP="009755DC">
            <w:pPr>
              <w:suppressAutoHyphens w:val="0"/>
              <w:spacing w:before="40" w:after="120" w:line="220" w:lineRule="exact"/>
              <w:ind w:right="113"/>
              <w:rPr>
                <w:rFonts w:eastAsia="MS PGothic"/>
                <w:sz w:val="18"/>
                <w:szCs w:val="18"/>
              </w:rPr>
            </w:pPr>
            <w:r>
              <w:rPr>
                <w:rFonts w:eastAsia="MS PGothic"/>
                <w:sz w:val="18"/>
                <w:szCs w:val="18"/>
              </w:rPr>
              <w:t>Simplification emissions regulations</w:t>
            </w:r>
          </w:p>
        </w:tc>
        <w:tc>
          <w:tcPr>
            <w:tcW w:w="725"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667467" w:rsidRDefault="00667467" w:rsidP="009755DC">
            <w:pPr>
              <w:suppressAutoHyphens w:val="0"/>
              <w:spacing w:before="40" w:after="120" w:line="220" w:lineRule="exact"/>
              <w:ind w:right="113"/>
              <w:rPr>
                <w:rFonts w:eastAsia="MS PGothic"/>
                <w:bCs/>
                <w:sz w:val="18"/>
                <w:szCs w:val="18"/>
              </w:rPr>
            </w:pPr>
            <w:r>
              <w:rPr>
                <w:rFonts w:eastAsia="MS PGothic"/>
                <w:bCs/>
                <w:sz w:val="18"/>
                <w:szCs w:val="18"/>
              </w:rPr>
              <w:t>Long term</w:t>
            </w:r>
          </w:p>
        </w:tc>
        <w:tc>
          <w:tcPr>
            <w:tcW w:w="581"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667467" w:rsidRDefault="00667467" w:rsidP="009755DC">
            <w:pPr>
              <w:suppressAutoHyphens w:val="0"/>
              <w:spacing w:before="40" w:after="120" w:line="220" w:lineRule="exact"/>
              <w:ind w:right="113"/>
              <w:rPr>
                <w:rFonts w:eastAsia="MS PGothic"/>
                <w:bCs/>
                <w:sz w:val="18"/>
                <w:szCs w:val="18"/>
              </w:rPr>
            </w:pPr>
            <w:r>
              <w:rPr>
                <w:rFonts w:eastAsia="MS PGothic"/>
                <w:bCs/>
                <w:sz w:val="18"/>
                <w:szCs w:val="18"/>
              </w:rPr>
              <w:t>GRPE</w:t>
            </w:r>
          </w:p>
        </w:tc>
        <w:tc>
          <w:tcPr>
            <w:tcW w:w="2899" w:type="pct"/>
            <w:tcBorders>
              <w:top w:val="single" w:sz="4" w:space="0" w:color="auto"/>
              <w:left w:val="single" w:sz="4" w:space="0" w:color="auto"/>
              <w:bottom w:val="single" w:sz="4" w:space="0" w:color="auto"/>
              <w:right w:val="single" w:sz="4" w:space="0" w:color="auto"/>
            </w:tcBorders>
          </w:tcPr>
          <w:p w:rsidR="00667467" w:rsidRPr="00D54EF1" w:rsidRDefault="00667467" w:rsidP="009755DC">
            <w:pPr>
              <w:suppressAutoHyphens w:val="0"/>
              <w:spacing w:before="40" w:after="120" w:line="220" w:lineRule="exact"/>
              <w:ind w:left="136" w:right="113"/>
              <w:rPr>
                <w:rFonts w:eastAsia="MS PGothic"/>
                <w:bCs/>
                <w:sz w:val="18"/>
                <w:szCs w:val="18"/>
              </w:rPr>
            </w:pPr>
            <w:r>
              <w:rPr>
                <w:rFonts w:eastAsia="MS PGothic"/>
                <w:bCs/>
                <w:sz w:val="18"/>
                <w:szCs w:val="18"/>
              </w:rPr>
              <w:t>Legislative improvement and increased efficiency for approval, CoP, ISC tests to simplify test protocols to improve the deployment and enforcement for all contracting parties.</w:t>
            </w:r>
          </w:p>
        </w:tc>
      </w:tr>
    </w:tbl>
    <w:p w:rsidR="00C54B63" w:rsidRPr="00F03126" w:rsidRDefault="00F03126" w:rsidP="00CC7ED1">
      <w:pPr>
        <w:spacing w:before="240"/>
        <w:jc w:val="center"/>
        <w:rPr>
          <w:u w:val="single"/>
        </w:rPr>
      </w:pPr>
      <w:r>
        <w:rPr>
          <w:u w:val="single"/>
        </w:rPr>
        <w:tab/>
      </w:r>
      <w:r>
        <w:rPr>
          <w:u w:val="single"/>
        </w:rPr>
        <w:tab/>
      </w:r>
      <w:r>
        <w:rPr>
          <w:u w:val="single"/>
        </w:rPr>
        <w:tab/>
      </w:r>
    </w:p>
    <w:sectPr w:rsidR="00C54B63" w:rsidRPr="00F03126" w:rsidSect="006E0FA4">
      <w:headerReference w:type="even" r:id="rId8"/>
      <w:headerReference w:type="default" r:id="rId9"/>
      <w:footerReference w:type="even" r:id="rId10"/>
      <w:footerReference w:type="default" r:id="rId11"/>
      <w:headerReference w:type="first" r:id="rId12"/>
      <w:footerReference w:type="first" r:id="rId13"/>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E15" w:rsidRDefault="003A5E15"/>
  </w:endnote>
  <w:endnote w:type="continuationSeparator" w:id="0">
    <w:p w:rsidR="003A5E15" w:rsidRDefault="003A5E15"/>
  </w:endnote>
  <w:endnote w:type="continuationNotice" w:id="1">
    <w:p w:rsidR="003A5E15" w:rsidRDefault="003A5E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E15" w:rsidRDefault="003A5E15">
    <w:pPr>
      <w:pStyle w:val="Pieddepage"/>
    </w:pPr>
    <w:r w:rsidRPr="009A6A9E">
      <w:rPr>
        <w:b/>
        <w:sz w:val="18"/>
      </w:rPr>
      <w:fldChar w:fldCharType="begin"/>
    </w:r>
    <w:r w:rsidRPr="009A6A9E">
      <w:rPr>
        <w:b/>
        <w:sz w:val="18"/>
      </w:rPr>
      <w:instrText xml:space="preserve"> PAGE  \* MERGEFORMAT </w:instrText>
    </w:r>
    <w:r w:rsidRPr="009A6A9E">
      <w:rPr>
        <w:b/>
        <w:sz w:val="18"/>
      </w:rPr>
      <w:fldChar w:fldCharType="separate"/>
    </w:r>
    <w:r>
      <w:rPr>
        <w:b/>
        <w:sz w:val="18"/>
      </w:rPr>
      <w:t>2</w:t>
    </w:r>
    <w:r w:rsidRPr="009A6A9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E15" w:rsidRDefault="003A5E15" w:rsidP="00A550A0">
    <w:pPr>
      <w:pStyle w:val="Pieddepage"/>
      <w:jc w:val="right"/>
    </w:pPr>
    <w:r w:rsidRPr="009A6A9E">
      <w:rPr>
        <w:b/>
        <w:sz w:val="18"/>
      </w:rPr>
      <w:fldChar w:fldCharType="begin"/>
    </w:r>
    <w:r w:rsidRPr="009A6A9E">
      <w:rPr>
        <w:b/>
        <w:sz w:val="18"/>
      </w:rPr>
      <w:instrText xml:space="preserve"> PAGE  \* MERGEFORMAT </w:instrText>
    </w:r>
    <w:r w:rsidRPr="009A6A9E">
      <w:rPr>
        <w:b/>
        <w:sz w:val="18"/>
      </w:rPr>
      <w:fldChar w:fldCharType="separate"/>
    </w:r>
    <w:r>
      <w:rPr>
        <w:b/>
        <w:sz w:val="18"/>
      </w:rPr>
      <w:t>2</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E15" w:rsidRDefault="003A5E15" w:rsidP="00616756">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E15" w:rsidRPr="000B175B" w:rsidRDefault="003A5E15" w:rsidP="000B175B">
      <w:pPr>
        <w:tabs>
          <w:tab w:val="right" w:pos="2155"/>
        </w:tabs>
        <w:spacing w:after="80"/>
        <w:ind w:left="680"/>
        <w:rPr>
          <w:u w:val="single"/>
        </w:rPr>
      </w:pPr>
      <w:r>
        <w:rPr>
          <w:u w:val="single"/>
        </w:rPr>
        <w:tab/>
      </w:r>
    </w:p>
  </w:footnote>
  <w:footnote w:type="continuationSeparator" w:id="0">
    <w:p w:rsidR="003A5E15" w:rsidRPr="00FC68B7" w:rsidRDefault="003A5E15" w:rsidP="00FC68B7">
      <w:pPr>
        <w:tabs>
          <w:tab w:val="left" w:pos="2155"/>
        </w:tabs>
        <w:spacing w:after="80"/>
        <w:ind w:left="680"/>
        <w:rPr>
          <w:u w:val="single"/>
        </w:rPr>
      </w:pPr>
      <w:r>
        <w:rPr>
          <w:u w:val="single"/>
        </w:rPr>
        <w:tab/>
      </w:r>
    </w:p>
  </w:footnote>
  <w:footnote w:type="continuationNotice" w:id="1">
    <w:p w:rsidR="003A5E15" w:rsidRDefault="003A5E15"/>
  </w:footnote>
  <w:footnote w:id="2">
    <w:p w:rsidR="003A5E15" w:rsidRPr="00F70587" w:rsidRDefault="003A5E15" w:rsidP="00F70587">
      <w:pPr>
        <w:pStyle w:val="Notedebasdepage"/>
        <w:ind w:left="1080" w:firstLine="0"/>
        <w:rPr>
          <w:lang w:val="en-US"/>
        </w:rPr>
      </w:pPr>
      <w:r>
        <w:rPr>
          <w:rStyle w:val="Appelnotedebasdep"/>
        </w:rPr>
        <w:footnoteRef/>
      </w:r>
      <w:r>
        <w:t xml:space="preserve"> </w:t>
      </w:r>
      <w:r>
        <w:rPr>
          <w:lang w:val="en-US"/>
        </w:rPr>
        <w:t xml:space="preserve">Short term indicates that activities are on-going at GRPE and its IWGs </w:t>
      </w:r>
      <w:proofErr w:type="gramStart"/>
      <w:r>
        <w:rPr>
          <w:lang w:val="en-US"/>
        </w:rPr>
        <w:t>at the present time</w:t>
      </w:r>
      <w:proofErr w:type="gramEnd"/>
      <w:r>
        <w:rPr>
          <w:lang w:val="en-US"/>
        </w:rPr>
        <w:t>. Medium terms activities have not yet started at GRPE but will be of crucial importance in the coming years. Long term activities are emerging issues that are expected to be of relevance and potentially high priority within the next decade.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E15" w:rsidRPr="009C1087" w:rsidRDefault="003A5E15" w:rsidP="009C1087">
    <w:pPr>
      <w:pBdr>
        <w:bottom w:val="single" w:sz="4" w:space="1" w:color="auto"/>
      </w:pBdr>
      <w:rPr>
        <w:b/>
        <w:bCs/>
        <w:sz w:val="18"/>
        <w:szCs w:val="18"/>
      </w:rPr>
    </w:pPr>
    <w:r w:rsidRPr="009C1087">
      <w:rPr>
        <w:b/>
        <w:bCs/>
        <w:noProof/>
        <w:sz w:val="18"/>
        <w:szCs w:val="18"/>
        <w:lang w:eastAsia="en-GB"/>
      </w:rPr>
      <mc:AlternateContent>
        <mc:Choice Requires="wps">
          <w:drawing>
            <wp:anchor distT="0" distB="0" distL="114300" distR="114300" simplePos="0" relativeHeight="251659264" behindDoc="0" locked="0" layoutInCell="1" allowOverlap="1">
              <wp:simplePos x="0" y="0"/>
              <wp:positionH relativeFrom="page">
                <wp:posOffset>9791700</wp:posOffset>
              </wp:positionH>
              <wp:positionV relativeFrom="margin">
                <wp:posOffset>0</wp:posOffset>
              </wp:positionV>
              <wp:extent cx="215900" cy="6120130"/>
              <wp:effectExtent l="0" t="0" r="1270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rsidR="003A5E15" w:rsidRDefault="003A5E15" w:rsidP="00050E9E">
                          <w:pPr>
                            <w:pStyle w:val="En-tte"/>
                          </w:pPr>
                          <w:r w:rsidRPr="009D2A5B">
                            <w:t>ECE/TRANS/WP.</w:t>
                          </w:r>
                          <w:r>
                            <w:t>29/1140</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1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" filled="f" stroked="f">
              <v:stroke joinstyle="round"/>
              <v:textbox style="layout-flow:vertical" inset="0,0,0,0">
                <w:txbxContent>
                  <w:p w:rsidR="003A5E15" w:rsidRDefault="003A5E15" w:rsidP="00050E9E">
                    <w:pPr>
                      <w:pStyle w:val="En-tte"/>
                    </w:pPr>
                    <w:r w:rsidRPr="009D2A5B">
                      <w:t>ECE/TRANS/WP.</w:t>
                    </w:r>
                    <w:r>
                      <w:t>29/1140</w:t>
                    </w:r>
                  </w:p>
                </w:txbxContent>
              </v:textbox>
              <w10:wrap anchorx="page" anchory="margin"/>
            </v:shape>
          </w:pict>
        </mc:Fallback>
      </mc:AlternateContent>
    </w:r>
    <w:r>
      <w:rPr>
        <w:b/>
        <w:bCs/>
        <w:sz w:val="18"/>
        <w:szCs w:val="18"/>
      </w:rPr>
      <w:t>GRPE-79-04-Rev.</w:t>
    </w:r>
    <w:r w:rsidR="00C22705">
      <w:rPr>
        <w:b/>
        <w:bCs/>
        <w:sz w:val="18"/>
        <w:szCs w:val="1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E15" w:rsidRPr="009C1087" w:rsidRDefault="003A5E15" w:rsidP="00ED750F">
    <w:pPr>
      <w:pBdr>
        <w:bottom w:val="single" w:sz="4" w:space="1" w:color="auto"/>
      </w:pBdr>
      <w:jc w:val="right"/>
      <w:rPr>
        <w:b/>
        <w:bCs/>
        <w:sz w:val="18"/>
        <w:szCs w:val="18"/>
      </w:rPr>
    </w:pPr>
    <w:r w:rsidRPr="009C1087">
      <w:rPr>
        <w:b/>
        <w:bCs/>
        <w:noProof/>
        <w:sz w:val="18"/>
        <w:szCs w:val="18"/>
        <w:lang w:eastAsia="en-GB"/>
      </w:rPr>
      <mc:AlternateContent>
        <mc:Choice Requires="wps">
          <w:drawing>
            <wp:anchor distT="0" distB="0" distL="114300" distR="114300" simplePos="0" relativeHeight="251663360" behindDoc="0" locked="0" layoutInCell="1" allowOverlap="1" wp14:anchorId="2E7341B1" wp14:editId="16AC011D">
              <wp:simplePos x="0" y="0"/>
              <wp:positionH relativeFrom="page">
                <wp:posOffset>9791700</wp:posOffset>
              </wp:positionH>
              <wp:positionV relativeFrom="margin">
                <wp:posOffset>0</wp:posOffset>
              </wp:positionV>
              <wp:extent cx="215900" cy="6120130"/>
              <wp:effectExtent l="0" t="0" r="1270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rsidR="003A5E15" w:rsidRDefault="003A5E15" w:rsidP="00616756">
                          <w:pPr>
                            <w:pStyle w:val="En-tte"/>
                          </w:pPr>
                          <w:r w:rsidRPr="009D2A5B">
                            <w:t>ECE/TRANS/WP.</w:t>
                          </w:r>
                          <w:r>
                            <w:t>29/1140</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E7341B1" id="_x0000_t202" coordsize="21600,21600" o:spt="202" path="m,l,21600r21600,l21600,xe">
              <v:stroke joinstyle="miter"/>
              <v:path gradientshapeok="t" o:connecttype="rect"/>
            </v:shapetype>
            <v:shape id="Text Box 3" o:spid="_x0000_s1027" type="#_x0000_t202" style="position:absolute;left:0;text-align:left;margin-left:771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" filled="f" stroked="f">
              <v:stroke joinstyle="round"/>
              <v:textbox style="layout-flow:vertical" inset="0,0,0,0">
                <w:txbxContent>
                  <w:p w:rsidR="003A5E15" w:rsidRDefault="003A5E15" w:rsidP="00616756">
                    <w:pPr>
                      <w:pStyle w:val="En-tte"/>
                    </w:pPr>
                    <w:r w:rsidRPr="009D2A5B">
                      <w:t>ECE/TRANS/WP.</w:t>
                    </w:r>
                    <w:r>
                      <w:t>29/1140</w:t>
                    </w:r>
                  </w:p>
                </w:txbxContent>
              </v:textbox>
              <w10:wrap anchorx="page" anchory="margin"/>
            </v:shape>
          </w:pict>
        </mc:Fallback>
      </mc:AlternateContent>
    </w:r>
    <w:r>
      <w:rPr>
        <w:b/>
        <w:bCs/>
        <w:noProof/>
        <w:sz w:val="18"/>
        <w:szCs w:val="18"/>
        <w:lang w:eastAsia="en-GB"/>
      </w:rPr>
      <w:t>GRPE-79-04-Rev.1</w:t>
    </w:r>
  </w:p>
  <w:p w:rsidR="003A5E15" w:rsidRPr="00B44D44" w:rsidRDefault="003A5E15" w:rsidP="00B44D44">
    <w:r>
      <w:rPr>
        <w:noProof/>
        <w:lang w:eastAsia="en-GB"/>
      </w:rPr>
      <mc:AlternateContent>
        <mc:Choice Requires="wps">
          <w:drawing>
            <wp:anchor distT="0" distB="0" distL="114300" distR="114300" simplePos="0" relativeHeight="251661312" behindDoc="0" locked="0" layoutInCell="1" allowOverlap="1">
              <wp:simplePos x="0" y="0"/>
              <wp:positionH relativeFrom="page">
                <wp:posOffset>9791700</wp:posOffset>
              </wp:positionH>
              <wp:positionV relativeFrom="margin">
                <wp:posOffset>0</wp:posOffset>
              </wp:positionV>
              <wp:extent cx="215900" cy="6120130"/>
              <wp:effectExtent l="0" t="0" r="1270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rsidR="003A5E15" w:rsidRPr="009D2A5B" w:rsidRDefault="003A5E15" w:rsidP="00B44D44">
                          <w:pPr>
                            <w:pStyle w:val="En-tte"/>
                            <w:jc w:val="right"/>
                          </w:pPr>
                          <w:r w:rsidRPr="009D2A5B">
                            <w:t>ECE/TRANS/WP.</w:t>
                          </w:r>
                          <w:r>
                            <w:t>29/1140</w:t>
                          </w:r>
                        </w:p>
                        <w:p w:rsidR="003A5E15" w:rsidRDefault="003A5E1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margin-left:771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" filled="f" stroked="f">
              <v:stroke joinstyle="round"/>
              <v:textbox style="layout-flow:vertical" inset="0,0,0,0">
                <w:txbxContent>
                  <w:p w:rsidR="003A5E15" w:rsidRPr="009D2A5B" w:rsidRDefault="003A5E15" w:rsidP="00B44D44">
                    <w:pPr>
                      <w:pStyle w:val="En-tte"/>
                      <w:jc w:val="right"/>
                    </w:pPr>
                    <w:r w:rsidRPr="009D2A5B">
                      <w:t>ECE/TRANS/WP.</w:t>
                    </w:r>
                    <w:r>
                      <w:t>29/1140</w:t>
                    </w:r>
                  </w:p>
                  <w:p w:rsidR="003A5E15" w:rsidRDefault="003A5E15"/>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Look w:val="04A0" w:firstRow="1" w:lastRow="0" w:firstColumn="1" w:lastColumn="0" w:noHBand="0" w:noVBand="1"/>
    </w:tblPr>
    <w:tblGrid>
      <w:gridCol w:w="4790"/>
      <w:gridCol w:w="4849"/>
    </w:tblGrid>
    <w:tr w:rsidR="003A5E15" w:rsidRPr="00BD03B2" w:rsidTr="003A5E15">
      <w:tc>
        <w:tcPr>
          <w:tcW w:w="4927" w:type="dxa"/>
          <w:tcBorders>
            <w:top w:val="nil"/>
            <w:left w:val="nil"/>
            <w:bottom w:val="nil"/>
            <w:right w:val="nil"/>
          </w:tcBorders>
        </w:tcPr>
        <w:p w:rsidR="003A5E15" w:rsidRPr="00BD03B2" w:rsidRDefault="003A5E15" w:rsidP="0020209B">
          <w:pPr>
            <w:pStyle w:val="En-tte"/>
            <w:pBdr>
              <w:bottom w:val="none" w:sz="0" w:space="0" w:color="auto"/>
            </w:pBdr>
            <w:rPr>
              <w:b w:val="0"/>
              <w:lang w:val="fr-CH"/>
            </w:rPr>
          </w:pPr>
          <w:r w:rsidRPr="00BD03B2">
            <w:rPr>
              <w:b w:val="0"/>
              <w:lang w:val="fr-CH"/>
            </w:rPr>
            <w:t xml:space="preserve">Note by the </w:t>
          </w:r>
          <w:r>
            <w:rPr>
              <w:b w:val="0"/>
              <w:lang w:val="fr-CH"/>
            </w:rPr>
            <w:t xml:space="preserve">Chair and </w:t>
          </w:r>
          <w:proofErr w:type="spellStart"/>
          <w:r w:rsidRPr="00BD03B2">
            <w:rPr>
              <w:b w:val="0"/>
              <w:lang w:val="fr-CH"/>
            </w:rPr>
            <w:t>secretariat</w:t>
          </w:r>
          <w:proofErr w:type="spellEnd"/>
        </w:p>
      </w:tc>
      <w:tc>
        <w:tcPr>
          <w:tcW w:w="4928" w:type="dxa"/>
          <w:tcBorders>
            <w:top w:val="nil"/>
            <w:left w:val="nil"/>
            <w:bottom w:val="nil"/>
            <w:right w:val="nil"/>
          </w:tcBorders>
        </w:tcPr>
        <w:p w:rsidR="003A5E15" w:rsidRPr="00BD03B2" w:rsidRDefault="003A5E15" w:rsidP="0020209B">
          <w:pPr>
            <w:pStyle w:val="En-tte"/>
            <w:pBdr>
              <w:bottom w:val="none" w:sz="0" w:space="0" w:color="auto"/>
            </w:pBdr>
            <w:ind w:left="1691"/>
          </w:pPr>
          <w:r w:rsidRPr="00BD03B2">
            <w:rPr>
              <w:b w:val="0"/>
              <w:u w:val="single"/>
            </w:rPr>
            <w:t>Informal document</w:t>
          </w:r>
          <w:r>
            <w:rPr>
              <w:b w:val="0"/>
            </w:rPr>
            <w:t xml:space="preserve"> </w:t>
          </w:r>
          <w:r w:rsidRPr="00BD03B2">
            <w:t>GRPE-7</w:t>
          </w:r>
          <w:r>
            <w:t>9</w:t>
          </w:r>
          <w:r w:rsidRPr="00BD03B2">
            <w:t>-</w:t>
          </w:r>
          <w:r>
            <w:t>04-Rev.</w:t>
          </w:r>
          <w:r w:rsidR="00CF134E">
            <w:t>2</w:t>
          </w:r>
        </w:p>
        <w:p w:rsidR="003A5E15" w:rsidRDefault="003A5E15" w:rsidP="0020209B">
          <w:pPr>
            <w:pStyle w:val="En-tte"/>
            <w:pBdr>
              <w:bottom w:val="none" w:sz="0" w:space="0" w:color="auto"/>
            </w:pBdr>
            <w:ind w:left="1691"/>
            <w:rPr>
              <w:b w:val="0"/>
            </w:rPr>
          </w:pPr>
          <w:r>
            <w:rPr>
              <w:b w:val="0"/>
            </w:rPr>
            <w:t>79</w:t>
          </w:r>
          <w:r w:rsidRPr="00BD03B2">
            <w:rPr>
              <w:b w:val="0"/>
              <w:vertAlign w:val="superscript"/>
            </w:rPr>
            <w:t>th</w:t>
          </w:r>
          <w:r>
            <w:rPr>
              <w:b w:val="0"/>
            </w:rPr>
            <w:t xml:space="preserve"> GRPE, 21-24 May 2019</w:t>
          </w:r>
        </w:p>
        <w:p w:rsidR="003A5E15" w:rsidRPr="00BD03B2" w:rsidRDefault="003A5E15" w:rsidP="0020209B">
          <w:pPr>
            <w:pStyle w:val="En-tte"/>
            <w:pBdr>
              <w:bottom w:val="none" w:sz="0" w:space="0" w:color="auto"/>
            </w:pBdr>
            <w:ind w:left="1691"/>
            <w:rPr>
              <w:b w:val="0"/>
            </w:rPr>
          </w:pPr>
          <w:r>
            <w:rPr>
              <w:b w:val="0"/>
            </w:rPr>
            <w:t>Agenda item 2</w:t>
          </w:r>
        </w:p>
      </w:tc>
    </w:tr>
  </w:tbl>
  <w:p w:rsidR="003A5E15" w:rsidRPr="0020209B" w:rsidRDefault="003A5E15" w:rsidP="0020209B">
    <w:pPr>
      <w:pStyle w:val="En-tt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ED11DAE"/>
    <w:multiLevelType w:val="hybridMultilevel"/>
    <w:tmpl w:val="867E160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8081F8E"/>
    <w:multiLevelType w:val="hybridMultilevel"/>
    <w:tmpl w:val="817E2A4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15:restartNumberingAfterBreak="0">
    <w:nsid w:val="1CAE7F1E"/>
    <w:multiLevelType w:val="hybridMultilevel"/>
    <w:tmpl w:val="EB1AE7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E24D4C"/>
    <w:multiLevelType w:val="hybridMultilevel"/>
    <w:tmpl w:val="627EE30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453A4A"/>
    <w:multiLevelType w:val="hybridMultilevel"/>
    <w:tmpl w:val="ACF2648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34D207A"/>
    <w:multiLevelType w:val="hybridMultilevel"/>
    <w:tmpl w:val="CA5CC24A"/>
    <w:lvl w:ilvl="0" w:tplc="5C3CC0A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22" w15:restartNumberingAfterBreak="0">
    <w:nsid w:val="4FA94977"/>
    <w:multiLevelType w:val="hybridMultilevel"/>
    <w:tmpl w:val="4D4824F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4BA3494"/>
    <w:multiLevelType w:val="hybridMultilevel"/>
    <w:tmpl w:val="7F0A2CF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89C66F8"/>
    <w:multiLevelType w:val="hybridMultilevel"/>
    <w:tmpl w:val="6210682C"/>
    <w:lvl w:ilvl="0" w:tplc="216478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8BD6023"/>
    <w:multiLevelType w:val="hybridMultilevel"/>
    <w:tmpl w:val="83526658"/>
    <w:lvl w:ilvl="0" w:tplc="63845594">
      <w:start w:val="1"/>
      <w:numFmt w:val="bullet"/>
      <w:lvlText w:val=""/>
      <w:lvlJc w:val="left"/>
      <w:pPr>
        <w:ind w:left="720" w:hanging="360"/>
      </w:pPr>
      <w:rPr>
        <w:rFonts w:ascii="Symbol" w:eastAsia="MS PGothic"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AC6515"/>
    <w:multiLevelType w:val="hybridMultilevel"/>
    <w:tmpl w:val="2B2A3986"/>
    <w:lvl w:ilvl="0" w:tplc="2164788C">
      <w:start w:val="1"/>
      <w:numFmt w:val="bullet"/>
      <w:lvlText w:val=""/>
      <w:lvlJc w:val="left"/>
      <w:pPr>
        <w:ind w:left="688" w:hanging="420"/>
      </w:pPr>
      <w:rPr>
        <w:rFonts w:ascii="Wingdings" w:hAnsi="Wingdings" w:hint="default"/>
      </w:rPr>
    </w:lvl>
    <w:lvl w:ilvl="1" w:tplc="0409000B" w:tentative="1">
      <w:start w:val="1"/>
      <w:numFmt w:val="bullet"/>
      <w:lvlText w:val=""/>
      <w:lvlJc w:val="left"/>
      <w:pPr>
        <w:ind w:left="1108" w:hanging="420"/>
      </w:pPr>
      <w:rPr>
        <w:rFonts w:ascii="Wingdings" w:hAnsi="Wingdings" w:hint="default"/>
      </w:rPr>
    </w:lvl>
    <w:lvl w:ilvl="2" w:tplc="0409000D" w:tentative="1">
      <w:start w:val="1"/>
      <w:numFmt w:val="bullet"/>
      <w:lvlText w:val=""/>
      <w:lvlJc w:val="left"/>
      <w:pPr>
        <w:ind w:left="1528" w:hanging="420"/>
      </w:pPr>
      <w:rPr>
        <w:rFonts w:ascii="Wingdings" w:hAnsi="Wingdings" w:hint="default"/>
      </w:rPr>
    </w:lvl>
    <w:lvl w:ilvl="3" w:tplc="04090001" w:tentative="1">
      <w:start w:val="1"/>
      <w:numFmt w:val="bullet"/>
      <w:lvlText w:val=""/>
      <w:lvlJc w:val="left"/>
      <w:pPr>
        <w:ind w:left="1948" w:hanging="420"/>
      </w:pPr>
      <w:rPr>
        <w:rFonts w:ascii="Wingdings" w:hAnsi="Wingdings" w:hint="default"/>
      </w:rPr>
    </w:lvl>
    <w:lvl w:ilvl="4" w:tplc="0409000B" w:tentative="1">
      <w:start w:val="1"/>
      <w:numFmt w:val="bullet"/>
      <w:lvlText w:val=""/>
      <w:lvlJc w:val="left"/>
      <w:pPr>
        <w:ind w:left="2368" w:hanging="420"/>
      </w:pPr>
      <w:rPr>
        <w:rFonts w:ascii="Wingdings" w:hAnsi="Wingdings" w:hint="default"/>
      </w:rPr>
    </w:lvl>
    <w:lvl w:ilvl="5" w:tplc="0409000D" w:tentative="1">
      <w:start w:val="1"/>
      <w:numFmt w:val="bullet"/>
      <w:lvlText w:val=""/>
      <w:lvlJc w:val="left"/>
      <w:pPr>
        <w:ind w:left="2788" w:hanging="420"/>
      </w:pPr>
      <w:rPr>
        <w:rFonts w:ascii="Wingdings" w:hAnsi="Wingdings" w:hint="default"/>
      </w:rPr>
    </w:lvl>
    <w:lvl w:ilvl="6" w:tplc="04090001" w:tentative="1">
      <w:start w:val="1"/>
      <w:numFmt w:val="bullet"/>
      <w:lvlText w:val=""/>
      <w:lvlJc w:val="left"/>
      <w:pPr>
        <w:ind w:left="3208" w:hanging="420"/>
      </w:pPr>
      <w:rPr>
        <w:rFonts w:ascii="Wingdings" w:hAnsi="Wingdings" w:hint="default"/>
      </w:rPr>
    </w:lvl>
    <w:lvl w:ilvl="7" w:tplc="0409000B" w:tentative="1">
      <w:start w:val="1"/>
      <w:numFmt w:val="bullet"/>
      <w:lvlText w:val=""/>
      <w:lvlJc w:val="left"/>
      <w:pPr>
        <w:ind w:left="3628" w:hanging="420"/>
      </w:pPr>
      <w:rPr>
        <w:rFonts w:ascii="Wingdings" w:hAnsi="Wingdings" w:hint="default"/>
      </w:rPr>
    </w:lvl>
    <w:lvl w:ilvl="8" w:tplc="0409000D" w:tentative="1">
      <w:start w:val="1"/>
      <w:numFmt w:val="bullet"/>
      <w:lvlText w:val=""/>
      <w:lvlJc w:val="left"/>
      <w:pPr>
        <w:ind w:left="4048" w:hanging="420"/>
      </w:pPr>
      <w:rPr>
        <w:rFonts w:ascii="Wingdings" w:hAnsi="Wingdings" w:hint="default"/>
      </w:rPr>
    </w:lvl>
  </w:abstractNum>
  <w:abstractNum w:abstractNumId="28" w15:restartNumberingAfterBreak="0">
    <w:nsid w:val="7E83475F"/>
    <w:multiLevelType w:val="hybridMultilevel"/>
    <w:tmpl w:val="7C9A84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FE82A67"/>
    <w:multiLevelType w:val="hybridMultilevel"/>
    <w:tmpl w:val="FD506F16"/>
    <w:lvl w:ilvl="0" w:tplc="F41C7D14">
      <w:start w:val="25"/>
      <w:numFmt w:val="bullet"/>
      <w:lvlText w:val=""/>
      <w:lvlJc w:val="left"/>
      <w:pPr>
        <w:ind w:left="1494" w:hanging="360"/>
      </w:pPr>
      <w:rPr>
        <w:rFonts w:ascii="Symbol" w:eastAsiaTheme="minorEastAsia"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0"/>
  </w:num>
  <w:num w:numId="14">
    <w:abstractNumId w:val="24"/>
  </w:num>
  <w:num w:numId="15">
    <w:abstractNumId w:val="13"/>
  </w:num>
  <w:num w:numId="16">
    <w:abstractNumId w:val="11"/>
  </w:num>
  <w:num w:numId="17">
    <w:abstractNumId w:val="21"/>
  </w:num>
  <w:num w:numId="18">
    <w:abstractNumId w:val="25"/>
  </w:num>
  <w:num w:numId="19">
    <w:abstractNumId w:val="27"/>
  </w:num>
  <w:num w:numId="20">
    <w:abstractNumId w:val="26"/>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5"/>
  </w:num>
  <w:num w:numId="24">
    <w:abstractNumId w:val="12"/>
  </w:num>
  <w:num w:numId="25">
    <w:abstractNumId w:val="28"/>
  </w:num>
  <w:num w:numId="26">
    <w:abstractNumId w:val="17"/>
  </w:num>
  <w:num w:numId="27">
    <w:abstractNumId w:val="19"/>
  </w:num>
  <w:num w:numId="28">
    <w:abstractNumId w:val="22"/>
  </w:num>
  <w:num w:numId="29">
    <w:abstractNumId w:val="20"/>
  </w:num>
  <w:num w:numId="30">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2769">
      <v:textbox inset="5.85pt,.7pt,5.85pt,.7pt"/>
    </o:shapedefaults>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13CC1"/>
    <w:rsid w:val="00034A36"/>
    <w:rsid w:val="0003565A"/>
    <w:rsid w:val="00037F90"/>
    <w:rsid w:val="00046B1F"/>
    <w:rsid w:val="000509A7"/>
    <w:rsid w:val="00050E9E"/>
    <w:rsid w:val="00050F6B"/>
    <w:rsid w:val="0005166F"/>
    <w:rsid w:val="00051D65"/>
    <w:rsid w:val="0005583C"/>
    <w:rsid w:val="00057E97"/>
    <w:rsid w:val="00072C8C"/>
    <w:rsid w:val="000733B5"/>
    <w:rsid w:val="00080491"/>
    <w:rsid w:val="0008179C"/>
    <w:rsid w:val="00081815"/>
    <w:rsid w:val="00083600"/>
    <w:rsid w:val="000931C0"/>
    <w:rsid w:val="000A189D"/>
    <w:rsid w:val="000A3990"/>
    <w:rsid w:val="000A523A"/>
    <w:rsid w:val="000A60F4"/>
    <w:rsid w:val="000A6D55"/>
    <w:rsid w:val="000B0595"/>
    <w:rsid w:val="000B1333"/>
    <w:rsid w:val="000B175B"/>
    <w:rsid w:val="000B3A0F"/>
    <w:rsid w:val="000B4EF7"/>
    <w:rsid w:val="000B625D"/>
    <w:rsid w:val="000C2C03"/>
    <w:rsid w:val="000C2D2E"/>
    <w:rsid w:val="000C4D51"/>
    <w:rsid w:val="000D2353"/>
    <w:rsid w:val="000E0415"/>
    <w:rsid w:val="000F5A33"/>
    <w:rsid w:val="000F5CFA"/>
    <w:rsid w:val="001103AA"/>
    <w:rsid w:val="0011666B"/>
    <w:rsid w:val="001208E2"/>
    <w:rsid w:val="00121347"/>
    <w:rsid w:val="0012201C"/>
    <w:rsid w:val="0013025C"/>
    <w:rsid w:val="0013389E"/>
    <w:rsid w:val="00153670"/>
    <w:rsid w:val="00155068"/>
    <w:rsid w:val="00165F3A"/>
    <w:rsid w:val="00167006"/>
    <w:rsid w:val="0017587F"/>
    <w:rsid w:val="00194B1F"/>
    <w:rsid w:val="001B0DDF"/>
    <w:rsid w:val="001B13A5"/>
    <w:rsid w:val="001B4B04"/>
    <w:rsid w:val="001C1A9E"/>
    <w:rsid w:val="001C6663"/>
    <w:rsid w:val="001C7895"/>
    <w:rsid w:val="001D0BC9"/>
    <w:rsid w:val="001D0C8C"/>
    <w:rsid w:val="001D1419"/>
    <w:rsid w:val="001D26DF"/>
    <w:rsid w:val="001D3A03"/>
    <w:rsid w:val="001D5E71"/>
    <w:rsid w:val="001D7F46"/>
    <w:rsid w:val="001E0B9E"/>
    <w:rsid w:val="001E7B67"/>
    <w:rsid w:val="001F7435"/>
    <w:rsid w:val="0020209B"/>
    <w:rsid w:val="0020269F"/>
    <w:rsid w:val="00202DA8"/>
    <w:rsid w:val="0021157B"/>
    <w:rsid w:val="00211E0B"/>
    <w:rsid w:val="00226828"/>
    <w:rsid w:val="00231139"/>
    <w:rsid w:val="00267F5F"/>
    <w:rsid w:val="00272379"/>
    <w:rsid w:val="00272592"/>
    <w:rsid w:val="00277C12"/>
    <w:rsid w:val="00286B4D"/>
    <w:rsid w:val="002A603B"/>
    <w:rsid w:val="002B2227"/>
    <w:rsid w:val="002B41F7"/>
    <w:rsid w:val="002C242A"/>
    <w:rsid w:val="002C2E00"/>
    <w:rsid w:val="002D0571"/>
    <w:rsid w:val="002D4643"/>
    <w:rsid w:val="002D4B6C"/>
    <w:rsid w:val="002E7E8E"/>
    <w:rsid w:val="002F175C"/>
    <w:rsid w:val="002F41CF"/>
    <w:rsid w:val="002F4E85"/>
    <w:rsid w:val="00302E18"/>
    <w:rsid w:val="00312506"/>
    <w:rsid w:val="003229D8"/>
    <w:rsid w:val="00352709"/>
    <w:rsid w:val="00360E69"/>
    <w:rsid w:val="00362A2A"/>
    <w:rsid w:val="0036726E"/>
    <w:rsid w:val="00371178"/>
    <w:rsid w:val="00377472"/>
    <w:rsid w:val="00380004"/>
    <w:rsid w:val="00381475"/>
    <w:rsid w:val="003A5E15"/>
    <w:rsid w:val="003A6810"/>
    <w:rsid w:val="003B6C76"/>
    <w:rsid w:val="003C2CC4"/>
    <w:rsid w:val="003D4B23"/>
    <w:rsid w:val="004059B4"/>
    <w:rsid w:val="00410565"/>
    <w:rsid w:val="00410C89"/>
    <w:rsid w:val="00413A3B"/>
    <w:rsid w:val="00422E03"/>
    <w:rsid w:val="00426B9B"/>
    <w:rsid w:val="00430EFE"/>
    <w:rsid w:val="00431BC9"/>
    <w:rsid w:val="004325CB"/>
    <w:rsid w:val="00441896"/>
    <w:rsid w:val="00442A83"/>
    <w:rsid w:val="00443AB5"/>
    <w:rsid w:val="0045495B"/>
    <w:rsid w:val="00461169"/>
    <w:rsid w:val="004615D4"/>
    <w:rsid w:val="00480F23"/>
    <w:rsid w:val="0048397A"/>
    <w:rsid w:val="00496F77"/>
    <w:rsid w:val="004A12F2"/>
    <w:rsid w:val="004C2461"/>
    <w:rsid w:val="004C7462"/>
    <w:rsid w:val="004D19F4"/>
    <w:rsid w:val="004D4E04"/>
    <w:rsid w:val="004D5426"/>
    <w:rsid w:val="004E0C05"/>
    <w:rsid w:val="004E3FC6"/>
    <w:rsid w:val="004E5E55"/>
    <w:rsid w:val="004E77B2"/>
    <w:rsid w:val="005003A4"/>
    <w:rsid w:val="00503DEB"/>
    <w:rsid w:val="00504B2D"/>
    <w:rsid w:val="00511A8C"/>
    <w:rsid w:val="00511A9B"/>
    <w:rsid w:val="00516336"/>
    <w:rsid w:val="0052136D"/>
    <w:rsid w:val="00522B58"/>
    <w:rsid w:val="0052775E"/>
    <w:rsid w:val="00535C90"/>
    <w:rsid w:val="005420F2"/>
    <w:rsid w:val="00543785"/>
    <w:rsid w:val="00545927"/>
    <w:rsid w:val="00546993"/>
    <w:rsid w:val="00546AD4"/>
    <w:rsid w:val="005628B6"/>
    <w:rsid w:val="00580629"/>
    <w:rsid w:val="0058365A"/>
    <w:rsid w:val="00584FDF"/>
    <w:rsid w:val="00597EDC"/>
    <w:rsid w:val="005A20C8"/>
    <w:rsid w:val="005A575C"/>
    <w:rsid w:val="005B0BE4"/>
    <w:rsid w:val="005B3DB3"/>
    <w:rsid w:val="005B4E13"/>
    <w:rsid w:val="005B5645"/>
    <w:rsid w:val="005C7397"/>
    <w:rsid w:val="005E6A77"/>
    <w:rsid w:val="005F7B75"/>
    <w:rsid w:val="006001EE"/>
    <w:rsid w:val="00605042"/>
    <w:rsid w:val="00605A9A"/>
    <w:rsid w:val="00611FC4"/>
    <w:rsid w:val="00616756"/>
    <w:rsid w:val="006176FB"/>
    <w:rsid w:val="00617E65"/>
    <w:rsid w:val="0063734B"/>
    <w:rsid w:val="00640B26"/>
    <w:rsid w:val="00644191"/>
    <w:rsid w:val="00652D0A"/>
    <w:rsid w:val="00654C4F"/>
    <w:rsid w:val="00656B98"/>
    <w:rsid w:val="006623D5"/>
    <w:rsid w:val="00662BB6"/>
    <w:rsid w:val="00667467"/>
    <w:rsid w:val="00667F8F"/>
    <w:rsid w:val="006736E1"/>
    <w:rsid w:val="00673B80"/>
    <w:rsid w:val="00684C21"/>
    <w:rsid w:val="0069232B"/>
    <w:rsid w:val="006A2530"/>
    <w:rsid w:val="006B2EA8"/>
    <w:rsid w:val="006C3589"/>
    <w:rsid w:val="006D37AF"/>
    <w:rsid w:val="006D51D0"/>
    <w:rsid w:val="006E0FA4"/>
    <w:rsid w:val="006E288D"/>
    <w:rsid w:val="006E5117"/>
    <w:rsid w:val="006E564B"/>
    <w:rsid w:val="006E7191"/>
    <w:rsid w:val="00703577"/>
    <w:rsid w:val="00705894"/>
    <w:rsid w:val="0072632A"/>
    <w:rsid w:val="00731FF0"/>
    <w:rsid w:val="007327D5"/>
    <w:rsid w:val="00733A68"/>
    <w:rsid w:val="007611CF"/>
    <w:rsid w:val="007629C8"/>
    <w:rsid w:val="0077047D"/>
    <w:rsid w:val="00794727"/>
    <w:rsid w:val="007A7626"/>
    <w:rsid w:val="007B6BA5"/>
    <w:rsid w:val="007C3390"/>
    <w:rsid w:val="007C4F4B"/>
    <w:rsid w:val="007D46D5"/>
    <w:rsid w:val="007E01E9"/>
    <w:rsid w:val="007E446F"/>
    <w:rsid w:val="007E63F3"/>
    <w:rsid w:val="007E7019"/>
    <w:rsid w:val="007F6611"/>
    <w:rsid w:val="007F7106"/>
    <w:rsid w:val="00811579"/>
    <w:rsid w:val="00811920"/>
    <w:rsid w:val="00815AD0"/>
    <w:rsid w:val="008242D7"/>
    <w:rsid w:val="00824FAF"/>
    <w:rsid w:val="008257B1"/>
    <w:rsid w:val="0083719C"/>
    <w:rsid w:val="00843767"/>
    <w:rsid w:val="008521A5"/>
    <w:rsid w:val="008679D9"/>
    <w:rsid w:val="00871389"/>
    <w:rsid w:val="00874CB6"/>
    <w:rsid w:val="00881C0C"/>
    <w:rsid w:val="00883999"/>
    <w:rsid w:val="008878DE"/>
    <w:rsid w:val="00894520"/>
    <w:rsid w:val="008979B1"/>
    <w:rsid w:val="008A6B25"/>
    <w:rsid w:val="008A6C4F"/>
    <w:rsid w:val="008B2335"/>
    <w:rsid w:val="008B717B"/>
    <w:rsid w:val="008E0678"/>
    <w:rsid w:val="008E7526"/>
    <w:rsid w:val="008F682D"/>
    <w:rsid w:val="00901B81"/>
    <w:rsid w:val="00902DFE"/>
    <w:rsid w:val="0092212D"/>
    <w:rsid w:val="009223CA"/>
    <w:rsid w:val="00940F93"/>
    <w:rsid w:val="0094321D"/>
    <w:rsid w:val="0094558F"/>
    <w:rsid w:val="00961690"/>
    <w:rsid w:val="009760F3"/>
    <w:rsid w:val="009837D4"/>
    <w:rsid w:val="009A0E8D"/>
    <w:rsid w:val="009B1518"/>
    <w:rsid w:val="009B26E7"/>
    <w:rsid w:val="009B48D9"/>
    <w:rsid w:val="009B6669"/>
    <w:rsid w:val="009C1087"/>
    <w:rsid w:val="009C3BB5"/>
    <w:rsid w:val="009C3EED"/>
    <w:rsid w:val="009C454F"/>
    <w:rsid w:val="009D2A5B"/>
    <w:rsid w:val="009D45A1"/>
    <w:rsid w:val="00A00A3F"/>
    <w:rsid w:val="00A01489"/>
    <w:rsid w:val="00A242B9"/>
    <w:rsid w:val="00A3009E"/>
    <w:rsid w:val="00A3026E"/>
    <w:rsid w:val="00A302F7"/>
    <w:rsid w:val="00A338F1"/>
    <w:rsid w:val="00A40357"/>
    <w:rsid w:val="00A43545"/>
    <w:rsid w:val="00A46C94"/>
    <w:rsid w:val="00A550A0"/>
    <w:rsid w:val="00A57C7B"/>
    <w:rsid w:val="00A72F22"/>
    <w:rsid w:val="00A7360F"/>
    <w:rsid w:val="00A748A6"/>
    <w:rsid w:val="00A769F4"/>
    <w:rsid w:val="00A776B4"/>
    <w:rsid w:val="00A81407"/>
    <w:rsid w:val="00A8524F"/>
    <w:rsid w:val="00A86D38"/>
    <w:rsid w:val="00A9093D"/>
    <w:rsid w:val="00A9142D"/>
    <w:rsid w:val="00A94361"/>
    <w:rsid w:val="00AA0041"/>
    <w:rsid w:val="00AA293C"/>
    <w:rsid w:val="00AB69D2"/>
    <w:rsid w:val="00AD365F"/>
    <w:rsid w:val="00AE08DA"/>
    <w:rsid w:val="00AE6935"/>
    <w:rsid w:val="00AF3993"/>
    <w:rsid w:val="00B00155"/>
    <w:rsid w:val="00B010B9"/>
    <w:rsid w:val="00B11BB4"/>
    <w:rsid w:val="00B175D8"/>
    <w:rsid w:val="00B22BC2"/>
    <w:rsid w:val="00B30179"/>
    <w:rsid w:val="00B36283"/>
    <w:rsid w:val="00B421C1"/>
    <w:rsid w:val="00B42658"/>
    <w:rsid w:val="00B44C7A"/>
    <w:rsid w:val="00B44D44"/>
    <w:rsid w:val="00B510A6"/>
    <w:rsid w:val="00B55C71"/>
    <w:rsid w:val="00B56E4A"/>
    <w:rsid w:val="00B56E9C"/>
    <w:rsid w:val="00B61320"/>
    <w:rsid w:val="00B64B1F"/>
    <w:rsid w:val="00B6553F"/>
    <w:rsid w:val="00B70F1E"/>
    <w:rsid w:val="00B734ED"/>
    <w:rsid w:val="00B74259"/>
    <w:rsid w:val="00B74FF1"/>
    <w:rsid w:val="00B77D05"/>
    <w:rsid w:val="00B81206"/>
    <w:rsid w:val="00B81E12"/>
    <w:rsid w:val="00B857E8"/>
    <w:rsid w:val="00BA0173"/>
    <w:rsid w:val="00BA5B4B"/>
    <w:rsid w:val="00BB78E9"/>
    <w:rsid w:val="00BB7CD1"/>
    <w:rsid w:val="00BC3FA0"/>
    <w:rsid w:val="00BC71B0"/>
    <w:rsid w:val="00BC74E9"/>
    <w:rsid w:val="00BD4443"/>
    <w:rsid w:val="00BF68A8"/>
    <w:rsid w:val="00BF6B8D"/>
    <w:rsid w:val="00C06244"/>
    <w:rsid w:val="00C10FE6"/>
    <w:rsid w:val="00C11A03"/>
    <w:rsid w:val="00C17725"/>
    <w:rsid w:val="00C22705"/>
    <w:rsid w:val="00C22C0C"/>
    <w:rsid w:val="00C2358B"/>
    <w:rsid w:val="00C255AF"/>
    <w:rsid w:val="00C30C61"/>
    <w:rsid w:val="00C313DC"/>
    <w:rsid w:val="00C3172E"/>
    <w:rsid w:val="00C35502"/>
    <w:rsid w:val="00C40B11"/>
    <w:rsid w:val="00C4527F"/>
    <w:rsid w:val="00C463DD"/>
    <w:rsid w:val="00C4724C"/>
    <w:rsid w:val="00C54B63"/>
    <w:rsid w:val="00C563BF"/>
    <w:rsid w:val="00C629A0"/>
    <w:rsid w:val="00C64629"/>
    <w:rsid w:val="00C745C3"/>
    <w:rsid w:val="00C76E71"/>
    <w:rsid w:val="00C76F8B"/>
    <w:rsid w:val="00C92461"/>
    <w:rsid w:val="00C930A3"/>
    <w:rsid w:val="00CA2255"/>
    <w:rsid w:val="00CB3E03"/>
    <w:rsid w:val="00CC6EE0"/>
    <w:rsid w:val="00CC7ED1"/>
    <w:rsid w:val="00CD0EC0"/>
    <w:rsid w:val="00CD298F"/>
    <w:rsid w:val="00CD5607"/>
    <w:rsid w:val="00CE4A8F"/>
    <w:rsid w:val="00CF134E"/>
    <w:rsid w:val="00D032FC"/>
    <w:rsid w:val="00D06A75"/>
    <w:rsid w:val="00D1465F"/>
    <w:rsid w:val="00D2031B"/>
    <w:rsid w:val="00D24F0D"/>
    <w:rsid w:val="00D25FE2"/>
    <w:rsid w:val="00D30389"/>
    <w:rsid w:val="00D40784"/>
    <w:rsid w:val="00D43252"/>
    <w:rsid w:val="00D47EEA"/>
    <w:rsid w:val="00D54EF1"/>
    <w:rsid w:val="00D550D4"/>
    <w:rsid w:val="00D773DF"/>
    <w:rsid w:val="00D872AC"/>
    <w:rsid w:val="00D91928"/>
    <w:rsid w:val="00D9255F"/>
    <w:rsid w:val="00D95303"/>
    <w:rsid w:val="00D978C6"/>
    <w:rsid w:val="00DA3C1C"/>
    <w:rsid w:val="00DC2D84"/>
    <w:rsid w:val="00DD29BD"/>
    <w:rsid w:val="00DD692F"/>
    <w:rsid w:val="00DE1D53"/>
    <w:rsid w:val="00DF0F1A"/>
    <w:rsid w:val="00DF2A8F"/>
    <w:rsid w:val="00E046DF"/>
    <w:rsid w:val="00E15557"/>
    <w:rsid w:val="00E240D2"/>
    <w:rsid w:val="00E27346"/>
    <w:rsid w:val="00E32662"/>
    <w:rsid w:val="00E333F9"/>
    <w:rsid w:val="00E43A1B"/>
    <w:rsid w:val="00E71610"/>
    <w:rsid w:val="00E71BC8"/>
    <w:rsid w:val="00E7260F"/>
    <w:rsid w:val="00E73F5D"/>
    <w:rsid w:val="00E77E4E"/>
    <w:rsid w:val="00E81D63"/>
    <w:rsid w:val="00E8771C"/>
    <w:rsid w:val="00E9622E"/>
    <w:rsid w:val="00E96630"/>
    <w:rsid w:val="00EC106A"/>
    <w:rsid w:val="00EC1E8A"/>
    <w:rsid w:val="00EC4AD3"/>
    <w:rsid w:val="00EC5911"/>
    <w:rsid w:val="00ED750F"/>
    <w:rsid w:val="00ED7A2A"/>
    <w:rsid w:val="00EE5AFC"/>
    <w:rsid w:val="00EE6B3A"/>
    <w:rsid w:val="00EF1D7F"/>
    <w:rsid w:val="00EF3090"/>
    <w:rsid w:val="00F03126"/>
    <w:rsid w:val="00F21D5B"/>
    <w:rsid w:val="00F31E5F"/>
    <w:rsid w:val="00F32BB7"/>
    <w:rsid w:val="00F33F7F"/>
    <w:rsid w:val="00F400CC"/>
    <w:rsid w:val="00F40989"/>
    <w:rsid w:val="00F47EDC"/>
    <w:rsid w:val="00F6100A"/>
    <w:rsid w:val="00F6190E"/>
    <w:rsid w:val="00F63C9D"/>
    <w:rsid w:val="00F65AE4"/>
    <w:rsid w:val="00F66565"/>
    <w:rsid w:val="00F70587"/>
    <w:rsid w:val="00F75A16"/>
    <w:rsid w:val="00F86C1B"/>
    <w:rsid w:val="00F92A22"/>
    <w:rsid w:val="00F93781"/>
    <w:rsid w:val="00FA6DA6"/>
    <w:rsid w:val="00FA6FDE"/>
    <w:rsid w:val="00FA7AE8"/>
    <w:rsid w:val="00FB58FB"/>
    <w:rsid w:val="00FB5E2C"/>
    <w:rsid w:val="00FB613B"/>
    <w:rsid w:val="00FC68B7"/>
    <w:rsid w:val="00FE106A"/>
    <w:rsid w:val="00FE3513"/>
    <w:rsid w:val="00FF145D"/>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41409E2"/>
  <w15:docId w15:val="{1FF38824-D5BA-4A3A-B9F3-0CA7CFE6E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pPr>
      <w:spacing w:line="240" w:lineRule="auto"/>
      <w:outlineLvl w:val="1"/>
    </w:pPr>
  </w:style>
  <w:style w:type="paragraph" w:styleId="Titre3">
    <w:name w:val="heading 3"/>
    <w:basedOn w:val="Normal"/>
    <w:next w:val="Normal"/>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 w:val="num" w:pos="360"/>
      </w:tabs>
    </w:pPr>
  </w:style>
  <w:style w:type="paragraph" w:customStyle="1" w:styleId="SingleTxtG">
    <w:name w:val="_ Single Txt_G"/>
    <w:basedOn w:val="Normal"/>
    <w:link w:val="SingleTxtGChar"/>
    <w:pPr>
      <w:spacing w:after="120"/>
      <w:ind w:left="1134" w:right="1134"/>
      <w:jc w:val="both"/>
    </w:pPr>
  </w:style>
  <w:style w:type="character" w:styleId="Numrodepage">
    <w:name w:val="page number"/>
    <w:aliases w:val="7_G"/>
    <w:rsid w:val="008979B1"/>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semiHidden/>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Footnote Reference/,(Footnote Reference),-E Fußnotenzeichen,BVI fnr, BVI fnr,Footnote symbol,Footnote,Footnote Reference Superscript,SUPERS"/>
    <w:rsid w:val="007B6BA5"/>
    <w:rPr>
      <w:rFonts w:ascii="Times New Roman" w:hAnsi="Times New Roman"/>
      <w:sz w:val="18"/>
      <w:vertAlign w:val="superscript"/>
    </w:rPr>
  </w:style>
  <w:style w:type="paragraph" w:styleId="Notedebasdepage">
    <w:name w:val="footnote text"/>
    <w:aliases w:val="5_G,PP"/>
    <w:basedOn w:val="Normal"/>
    <w:link w:val="NotedebasdepageC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Notedefin">
    <w:name w:val="endnote text"/>
    <w:aliases w:val="2_G"/>
    <w:basedOn w:val="Notedebasdepage"/>
    <w:rsid w:val="007B6BA5"/>
  </w:style>
  <w:style w:type="character" w:styleId="Marquedecommentaire">
    <w:name w:val="annotation reference"/>
    <w:semiHidden/>
    <w:rPr>
      <w:sz w:val="6"/>
    </w:rPr>
  </w:style>
  <w:style w:type="paragraph" w:styleId="Commentaire">
    <w:name w:val="annotation text"/>
    <w:basedOn w:val="Normal"/>
    <w:semiHidden/>
  </w:style>
  <w:style w:type="character" w:styleId="Numrodeligne">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4"/>
      </w:numPr>
    </w:pPr>
  </w:style>
  <w:style w:type="numbering" w:styleId="1ai">
    <w:name w:val="Outline List 1"/>
    <w:basedOn w:val="Aucuneliste"/>
    <w:semiHidden/>
    <w:rsid w:val="008A6C4F"/>
    <w:pPr>
      <w:numPr>
        <w:numId w:val="15"/>
      </w:numPr>
    </w:pPr>
  </w:style>
  <w:style w:type="numbering" w:styleId="ArticleSection">
    <w:name w:val="Outline List 3"/>
    <w:basedOn w:val="Aucuneliste"/>
    <w:semiHidden/>
    <w:rsid w:val="008A6C4F"/>
    <w:pPr>
      <w:numPr>
        <w:numId w:val="16"/>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8A6C4F"/>
    <w:rPr>
      <w:color w:val="800080"/>
      <w:u w:val="singl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8A6C4F"/>
    <w:rPr>
      <w:color w:val="0000FF"/>
      <w:u w:val="singl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tabs>
        <w:tab w:val="clear" w:pos="1492"/>
        <w:tab w:val="num" w:pos="2268"/>
      </w:tabs>
      <w:ind w:left="2268" w:hanging="170"/>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ar"/>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8878DE"/>
    <w:pPr>
      <w:spacing w:line="240" w:lineRule="auto"/>
    </w:pPr>
    <w:rPr>
      <w:sz w:val="16"/>
    </w:rPr>
  </w:style>
  <w:style w:type="paragraph" w:styleId="En-tte">
    <w:name w:val="header"/>
    <w:aliases w:val="6_G"/>
    <w:basedOn w:val="Normal"/>
    <w:link w:val="En-tteCar"/>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Textedebulles">
    <w:name w:val="Balloon Text"/>
    <w:basedOn w:val="Normal"/>
    <w:link w:val="TextedebullesCar"/>
    <w:rsid w:val="00D550D4"/>
    <w:pPr>
      <w:spacing w:line="240" w:lineRule="auto"/>
    </w:pPr>
    <w:rPr>
      <w:rFonts w:ascii="Tahoma" w:hAnsi="Tahoma" w:cs="Tahoma"/>
      <w:sz w:val="16"/>
      <w:szCs w:val="16"/>
    </w:rPr>
  </w:style>
  <w:style w:type="character" w:customStyle="1" w:styleId="TextedebullesCar">
    <w:name w:val="Texte de bulles Car"/>
    <w:link w:val="Textedebulles"/>
    <w:rsid w:val="00D550D4"/>
    <w:rPr>
      <w:rFonts w:ascii="Tahoma" w:hAnsi="Tahoma" w:cs="Tahoma"/>
      <w:sz w:val="16"/>
      <w:szCs w:val="16"/>
      <w:lang w:eastAsia="en-US"/>
    </w:rPr>
  </w:style>
  <w:style w:type="character" w:customStyle="1" w:styleId="NotedebasdepageCar">
    <w:name w:val="Note de bas de page Car"/>
    <w:aliases w:val="5_G Car,PP Car"/>
    <w:link w:val="Notedebasdepage"/>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En-tteCar">
    <w:name w:val="En-tête Car"/>
    <w:aliases w:val="6_G Car"/>
    <w:basedOn w:val="Policepardfaut"/>
    <w:link w:val="En-tte"/>
    <w:rsid w:val="00B42658"/>
    <w:rPr>
      <w:b/>
      <w:sz w:val="18"/>
      <w:lang w:eastAsia="en-US"/>
    </w:rPr>
  </w:style>
  <w:style w:type="character" w:customStyle="1" w:styleId="NormalWebCar">
    <w:name w:val="Normal (Web) Car"/>
    <w:link w:val="NormalWeb"/>
    <w:rsid w:val="00FA6DA6"/>
    <w:rPr>
      <w:sz w:val="24"/>
      <w:szCs w:val="24"/>
      <w:lang w:eastAsia="en-US"/>
    </w:rPr>
  </w:style>
  <w:style w:type="paragraph" w:styleId="Paragraphedeliste">
    <w:name w:val="List Paragraph"/>
    <w:basedOn w:val="Normal"/>
    <w:uiPriority w:val="34"/>
    <w:qFormat/>
    <w:rsid w:val="00B44D44"/>
    <w:pPr>
      <w:widowControl w:val="0"/>
      <w:suppressAutoHyphens w:val="0"/>
      <w:spacing w:line="240" w:lineRule="auto"/>
      <w:ind w:leftChars="400" w:left="840"/>
      <w:jc w:val="both"/>
    </w:pPr>
    <w:rPr>
      <w:rFonts w:asciiTheme="minorHAnsi" w:hAnsiTheme="minorHAnsi" w:cstheme="minorBidi"/>
      <w:kern w:val="2"/>
      <w:sz w:val="21"/>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95717">
      <w:bodyDiv w:val="1"/>
      <w:marLeft w:val="0"/>
      <w:marRight w:val="0"/>
      <w:marTop w:val="0"/>
      <w:marBottom w:val="0"/>
      <w:divBdr>
        <w:top w:val="none" w:sz="0" w:space="0" w:color="auto"/>
        <w:left w:val="none" w:sz="0" w:space="0" w:color="auto"/>
        <w:bottom w:val="none" w:sz="0" w:space="0" w:color="auto"/>
        <w:right w:val="none" w:sz="0" w:space="0" w:color="auto"/>
      </w:divBdr>
    </w:div>
    <w:div w:id="1793863604">
      <w:bodyDiv w:val="1"/>
      <w:marLeft w:val="0"/>
      <w:marRight w:val="0"/>
      <w:marTop w:val="0"/>
      <w:marBottom w:val="0"/>
      <w:divBdr>
        <w:top w:val="none" w:sz="0" w:space="0" w:color="auto"/>
        <w:left w:val="none" w:sz="0" w:space="0" w:color="auto"/>
        <w:bottom w:val="none" w:sz="0" w:space="0" w:color="auto"/>
        <w:right w:val="none" w:sz="0" w:space="0" w:color="auto"/>
      </w:divBdr>
    </w:div>
    <w:div w:id="188011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B9B75-4484-4A5F-AF15-DCD74F7B2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741</Words>
  <Characters>4230</Characters>
  <Application>Microsoft Office Word</Application>
  <DocSecurity>0</DocSecurity>
  <Lines>35</Lines>
  <Paragraphs>9</Paragraphs>
  <ScaleCrop>false</ScaleCrop>
  <HeadingPairs>
    <vt:vector size="6" baseType="variant">
      <vt:variant>
        <vt:lpstr>Titre</vt:lpstr>
      </vt:variant>
      <vt:variant>
        <vt:i4>1</vt:i4>
      </vt:variant>
      <vt:variant>
        <vt:lpstr>Title</vt:lpstr>
      </vt:variant>
      <vt:variant>
        <vt:i4>1</vt:i4>
      </vt:variant>
      <vt:variant>
        <vt:lpstr>タイトル</vt:lpstr>
      </vt:variant>
      <vt:variant>
        <vt:i4>1</vt:i4>
      </vt:variant>
    </vt:vector>
  </HeadingPairs>
  <TitlesOfParts>
    <vt:vector size="3" baseType="lpstr">
      <vt:lpstr>Work priorities on ADVs</vt:lpstr>
      <vt:lpstr>Work priorities on ADVs</vt:lpstr>
      <vt:lpstr>1126259</vt:lpstr>
    </vt:vector>
  </TitlesOfParts>
  <Company>CSD</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priorities on ADVs</dc:title>
  <dc:subject>AD definitions</dc:subject>
  <dc:creator>Francois E Guichard</dc:creator>
  <cp:keywords>ECE/TRANS/WP.29/2019/2</cp:keywords>
  <dc:description>Final</dc:description>
  <cp:lastModifiedBy>Francois Cuenot</cp:lastModifiedBy>
  <cp:revision>3</cp:revision>
  <cp:lastPrinted>2018-12-17T11:21:00Z</cp:lastPrinted>
  <dcterms:created xsi:type="dcterms:W3CDTF">2019-05-22T21:06:00Z</dcterms:created>
  <dcterms:modified xsi:type="dcterms:W3CDTF">2019-05-23T08:16:00Z</dcterms:modified>
</cp:coreProperties>
</file>