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69" w:rsidRPr="00A66D91" w:rsidRDefault="00604269" w:rsidP="00604269">
      <w:pPr>
        <w:pStyle w:val="HChG"/>
        <w:spacing w:before="120"/>
        <w:ind w:left="567" w:firstLine="0"/>
        <w:jc w:val="both"/>
        <w:rPr>
          <w:lang w:val="en-US"/>
        </w:rPr>
      </w:pPr>
      <w:r w:rsidRPr="00A66D91">
        <w:t xml:space="preserve">Proposal for amendments to </w:t>
      </w:r>
      <w:r>
        <w:t xml:space="preserve">the </w:t>
      </w:r>
      <w:r w:rsidR="004C6440">
        <w:t xml:space="preserve">06 and </w:t>
      </w:r>
      <w:r>
        <w:t xml:space="preserve">07 </w:t>
      </w:r>
      <w:r w:rsidRPr="004A4D11">
        <w:t>series of amendments to</w:t>
      </w:r>
      <w:r>
        <w:t xml:space="preserve"> </w:t>
      </w:r>
      <w:r w:rsidR="00050E21">
        <w:t xml:space="preserve">UN </w:t>
      </w:r>
      <w:bookmarkStart w:id="0" w:name="_GoBack"/>
      <w:bookmarkEnd w:id="0"/>
      <w:r>
        <w:t>Regulation No. 83 (E</w:t>
      </w:r>
      <w:r w:rsidRPr="001909F9">
        <w:t>missions of M</w:t>
      </w:r>
      <w:r w:rsidRPr="002D62E4">
        <w:rPr>
          <w:vertAlign w:val="subscript"/>
        </w:rPr>
        <w:t>1</w:t>
      </w:r>
      <w:r w:rsidRPr="001909F9">
        <w:t xml:space="preserve"> and N</w:t>
      </w:r>
      <w:r w:rsidRPr="002D62E4">
        <w:rPr>
          <w:vertAlign w:val="subscript"/>
        </w:rPr>
        <w:t>1</w:t>
      </w:r>
      <w:r w:rsidRPr="001909F9">
        <w:t xml:space="preserve"> vehicles</w:t>
      </w:r>
      <w:r>
        <w:t>)</w:t>
      </w:r>
    </w:p>
    <w:p w:rsidR="00604269" w:rsidRPr="00A66D91" w:rsidRDefault="00604269" w:rsidP="00604269">
      <w:pPr>
        <w:pStyle w:val="SingleTxtG"/>
      </w:pPr>
      <w:r>
        <w:t xml:space="preserve">The text reproduced below was prepared by the expert from CITA proposing to amend the </w:t>
      </w:r>
      <w:r w:rsidR="004C6440">
        <w:rPr>
          <w:lang w:val="fr-CH"/>
        </w:rPr>
        <w:t xml:space="preserve">06 and </w:t>
      </w:r>
      <w:r>
        <w:t>07 series of amendments to UN Regulation No. 83,</w:t>
      </w:r>
      <w:r w:rsidRPr="00604269">
        <w:t xml:space="preserve"> improv</w:t>
      </w:r>
      <w:r>
        <w:t xml:space="preserve">ing </w:t>
      </w:r>
      <w:r w:rsidRPr="00604269">
        <w:t>the design of vehicles to make tampering of emissions systems more difficult and to facilitate its detection</w:t>
      </w:r>
      <w:r>
        <w:t>.</w:t>
      </w:r>
    </w:p>
    <w:p w:rsidR="00604269" w:rsidRPr="007F7A9F" w:rsidRDefault="00604269" w:rsidP="00604269">
      <w:pPr>
        <w:pStyle w:val="HChG"/>
        <w:tabs>
          <w:tab w:val="clear" w:pos="851"/>
        </w:tabs>
        <w:spacing w:before="240"/>
        <w:ind w:hanging="567"/>
        <w:rPr>
          <w:lang w:val="en-US"/>
        </w:rPr>
      </w:pPr>
      <w:r w:rsidRPr="007F7A9F">
        <w:rPr>
          <w:lang w:val="en-US"/>
        </w:rPr>
        <w:t>I.</w:t>
      </w:r>
      <w:r>
        <w:rPr>
          <w:lang w:val="en-US"/>
        </w:rPr>
        <w:tab/>
        <w:t>Proposal</w:t>
      </w:r>
    </w:p>
    <w:p w:rsidR="00604269" w:rsidRPr="003D786F" w:rsidRDefault="003D786F" w:rsidP="00604269">
      <w:pPr>
        <w:pStyle w:val="SingleTxtG"/>
        <w:rPr>
          <w:i/>
          <w:iCs/>
          <w:lang w:val="fr-CH"/>
        </w:rPr>
      </w:pPr>
      <w:r w:rsidRPr="003D786F">
        <w:rPr>
          <w:i/>
          <w:iCs/>
        </w:rPr>
        <w:t>Insert</w:t>
      </w:r>
      <w:r w:rsidR="00604269" w:rsidRPr="003D786F">
        <w:rPr>
          <w:i/>
          <w:iCs/>
        </w:rPr>
        <w:t xml:space="preserve"> new </w:t>
      </w:r>
      <w:r w:rsidRPr="003D786F">
        <w:rPr>
          <w:i/>
          <w:iCs/>
        </w:rPr>
        <w:t>paragraph</w:t>
      </w:r>
      <w:r>
        <w:rPr>
          <w:i/>
          <w:iCs/>
          <w:lang w:val="fr-CH"/>
        </w:rPr>
        <w:t>s</w:t>
      </w:r>
      <w:r w:rsidR="00604269" w:rsidRPr="003D786F">
        <w:rPr>
          <w:i/>
          <w:iCs/>
        </w:rPr>
        <w:t xml:space="preserve"> 5.1.7</w:t>
      </w:r>
      <w:r w:rsidR="000E6407">
        <w:rPr>
          <w:i/>
          <w:iCs/>
          <w:lang w:val="fr-CH"/>
        </w:rPr>
        <w:t xml:space="preserve">. </w:t>
      </w:r>
      <w:proofErr w:type="gramStart"/>
      <w:r>
        <w:rPr>
          <w:i/>
          <w:iCs/>
          <w:lang w:val="fr-CH"/>
        </w:rPr>
        <w:t>to</w:t>
      </w:r>
      <w:proofErr w:type="gramEnd"/>
      <w:r>
        <w:rPr>
          <w:i/>
          <w:iCs/>
          <w:lang w:val="fr-CH"/>
        </w:rPr>
        <w:t xml:space="preserve"> 5.1.10</w:t>
      </w:r>
      <w:r w:rsidR="0076431C">
        <w:rPr>
          <w:i/>
          <w:iCs/>
          <w:lang w:val="fr-CH"/>
        </w:rPr>
        <w:t>.</w:t>
      </w:r>
    </w:p>
    <w:p w:rsidR="00604269" w:rsidRPr="00604269" w:rsidRDefault="00604269" w:rsidP="00337D12">
      <w:pPr>
        <w:pStyle w:val="SingleTxtG"/>
        <w:ind w:hanging="1134"/>
      </w:pPr>
      <w:r w:rsidRPr="00604269">
        <w:t>“5.1.7</w:t>
      </w:r>
      <w:r w:rsidR="00337D12">
        <w:tab/>
      </w:r>
      <w:r w:rsidRPr="00604269">
        <w:t>Vehicles shall be designed, constructed and assembled in such way that tampering is reasonably avoided and the detection of tampering is facilitated.</w:t>
      </w:r>
    </w:p>
    <w:p w:rsidR="0076431C" w:rsidRDefault="00604269" w:rsidP="0076431C">
      <w:pPr>
        <w:pStyle w:val="SingleTxtG"/>
        <w:ind w:hanging="1134"/>
      </w:pPr>
      <w:r w:rsidRPr="00604269">
        <w:t>5.1.8</w:t>
      </w:r>
      <w:r w:rsidR="00337D12">
        <w:tab/>
      </w:r>
      <w:r w:rsidRPr="00604269">
        <w:t>The exhaust pipe or pipes of vehicles shall be conceived in such a way that a measurement probe of 30 mm of diameter is introduced a minimal depth of 100 mm, having the point of entrance of gases in the probe at least 10 mm away from any part of the exhaust pipe.</w:t>
      </w:r>
    </w:p>
    <w:p w:rsidR="00604269" w:rsidRPr="00604269" w:rsidRDefault="00604269" w:rsidP="0076431C">
      <w:pPr>
        <w:pStyle w:val="SingleTxtG"/>
        <w:ind w:hanging="1134"/>
      </w:pPr>
      <w:r w:rsidRPr="00604269">
        <w:t>5.1.9</w:t>
      </w:r>
      <w:r w:rsidR="00337D12">
        <w:tab/>
      </w:r>
      <w:r w:rsidRPr="00604269">
        <w:t>In case of vehicles fitted with a reagent tank for the functioning of the SCR system, it shall be possible to take samples of the reagent and to visually check the filling level of the tank without using any tool or key, with the only exception of those keys provided for the normal use of the vehicle.</w:t>
      </w:r>
    </w:p>
    <w:p w:rsidR="00604269" w:rsidRPr="00604269" w:rsidRDefault="00604269" w:rsidP="00337D12">
      <w:pPr>
        <w:pStyle w:val="SingleTxtG"/>
        <w:ind w:hanging="1134"/>
      </w:pPr>
      <w:r w:rsidRPr="00604269">
        <w:t>5.1.10</w:t>
      </w:r>
      <w:r w:rsidR="00337D12">
        <w:tab/>
      </w:r>
      <w:r w:rsidRPr="00604269">
        <w:t>Vehicles shall have simple a method, not requiring any external tool or device, to switch on/off the internal combustion engine in the standard mode of operation to allow activities of maintenance, market surveillance, in-use conformity, periodical inspection and roadside inspection. That method shall be described in the vehicles owners’ information documents.”</w:t>
      </w:r>
    </w:p>
    <w:p w:rsidR="00604269" w:rsidRPr="003D786F" w:rsidRDefault="00604269" w:rsidP="00604269">
      <w:pPr>
        <w:pStyle w:val="SingleTxtG"/>
        <w:rPr>
          <w:i/>
          <w:iCs/>
        </w:rPr>
      </w:pPr>
      <w:r w:rsidRPr="003D786F">
        <w:rPr>
          <w:i/>
          <w:iCs/>
        </w:rPr>
        <w:t xml:space="preserve">Annex 1, </w:t>
      </w:r>
      <w:r w:rsidR="003D786F" w:rsidRPr="003D786F">
        <w:rPr>
          <w:i/>
          <w:iCs/>
          <w:lang w:val="fr-CH"/>
        </w:rPr>
        <w:t>i</w:t>
      </w:r>
      <w:proofErr w:type="spellStart"/>
      <w:r w:rsidR="003D786F" w:rsidRPr="003D786F">
        <w:rPr>
          <w:i/>
          <w:iCs/>
        </w:rPr>
        <w:t>nsert</w:t>
      </w:r>
      <w:proofErr w:type="spellEnd"/>
      <w:r w:rsidRPr="003D786F">
        <w:rPr>
          <w:i/>
          <w:iCs/>
        </w:rPr>
        <w:t xml:space="preserve"> new </w:t>
      </w:r>
      <w:r w:rsidR="003D786F" w:rsidRPr="003D786F">
        <w:rPr>
          <w:i/>
          <w:iCs/>
        </w:rPr>
        <w:t>paragraph</w:t>
      </w:r>
      <w:r w:rsidR="0076431C">
        <w:rPr>
          <w:i/>
          <w:iCs/>
          <w:lang w:val="fr-CH"/>
        </w:rPr>
        <w:t>s</w:t>
      </w:r>
      <w:r w:rsidRPr="003D786F">
        <w:rPr>
          <w:i/>
          <w:iCs/>
        </w:rPr>
        <w:t xml:space="preserve"> 3.2.12.2.1.11.11 and 3.2.12.2.1.11.12:</w:t>
      </w:r>
    </w:p>
    <w:p w:rsidR="00604269" w:rsidRPr="00604269" w:rsidRDefault="00604269" w:rsidP="00337D12">
      <w:pPr>
        <w:pStyle w:val="SingleTxtG"/>
        <w:ind w:hanging="1134"/>
      </w:pPr>
      <w:r w:rsidRPr="00604269">
        <w:t>“3.2.12.2.1.11.11</w:t>
      </w:r>
      <w:r w:rsidR="000E6407">
        <w:tab/>
      </w:r>
      <w:r w:rsidRPr="00604269">
        <w:t>Drawing of the location of the reagent tank:</w:t>
      </w:r>
    </w:p>
    <w:p w:rsidR="00604269" w:rsidRPr="00604269" w:rsidRDefault="00604269" w:rsidP="00337D12">
      <w:pPr>
        <w:pStyle w:val="SingleTxtG"/>
        <w:ind w:hanging="1134"/>
      </w:pPr>
      <w:r w:rsidRPr="00604269">
        <w:t xml:space="preserve">3.2.12.2.1.11.12 </w:t>
      </w:r>
      <w:r w:rsidR="000E6407">
        <w:tab/>
      </w:r>
      <w:r w:rsidRPr="00604269">
        <w:t>Description to the access to the reagent tank:”</w:t>
      </w:r>
    </w:p>
    <w:p w:rsidR="00604269" w:rsidRPr="003D786F" w:rsidRDefault="00604269" w:rsidP="00604269">
      <w:pPr>
        <w:pStyle w:val="SingleTxtG"/>
        <w:rPr>
          <w:i/>
          <w:iCs/>
        </w:rPr>
      </w:pPr>
      <w:r w:rsidRPr="003D786F">
        <w:rPr>
          <w:i/>
          <w:iCs/>
        </w:rPr>
        <w:t xml:space="preserve">Annex 1, </w:t>
      </w:r>
      <w:r w:rsidR="003D786F" w:rsidRPr="003D786F">
        <w:rPr>
          <w:i/>
          <w:iCs/>
          <w:lang w:val="fr-CH"/>
        </w:rPr>
        <w:t>i</w:t>
      </w:r>
      <w:proofErr w:type="spellStart"/>
      <w:r w:rsidR="003D786F" w:rsidRPr="003D786F">
        <w:rPr>
          <w:i/>
          <w:iCs/>
        </w:rPr>
        <w:t>nsert</w:t>
      </w:r>
      <w:proofErr w:type="spellEnd"/>
      <w:r w:rsidRPr="003D786F">
        <w:rPr>
          <w:i/>
          <w:iCs/>
        </w:rPr>
        <w:t xml:space="preserve"> a new </w:t>
      </w:r>
      <w:r w:rsidR="003D786F" w:rsidRPr="003D786F">
        <w:rPr>
          <w:i/>
          <w:iCs/>
        </w:rPr>
        <w:t>paragraph</w:t>
      </w:r>
      <w:r w:rsidRPr="003D786F">
        <w:rPr>
          <w:i/>
          <w:iCs/>
        </w:rPr>
        <w:t xml:space="preserve"> 3.4.3.2:</w:t>
      </w:r>
    </w:p>
    <w:p w:rsidR="00604269" w:rsidRPr="00604269" w:rsidRDefault="00604269" w:rsidP="00337D12">
      <w:pPr>
        <w:pStyle w:val="SingleTxtG"/>
        <w:ind w:hanging="1134"/>
      </w:pPr>
      <w:r w:rsidRPr="00604269">
        <w:t>“3.4.3.2</w:t>
      </w:r>
      <w:r w:rsidR="00337D12">
        <w:tab/>
      </w:r>
      <w:r w:rsidRPr="00604269">
        <w:t>Method to switch on/off the internal combustion engine”.</w:t>
      </w:r>
    </w:p>
    <w:p w:rsidR="0076431C" w:rsidRPr="00A66D91" w:rsidRDefault="0076431C" w:rsidP="0076431C">
      <w:pPr>
        <w:pStyle w:val="HChG"/>
        <w:tabs>
          <w:tab w:val="clear" w:pos="851"/>
        </w:tabs>
        <w:ind w:hanging="567"/>
      </w:pPr>
      <w:r w:rsidRPr="007F7A9F">
        <w:rPr>
          <w:lang w:val="en-US"/>
        </w:rPr>
        <w:t>II.</w:t>
      </w:r>
      <w:r w:rsidRPr="007F7A9F">
        <w:rPr>
          <w:lang w:val="en-US"/>
        </w:rPr>
        <w:tab/>
        <w:t>Justification</w:t>
      </w:r>
    </w:p>
    <w:p w:rsidR="003D5775" w:rsidRPr="0076431C" w:rsidRDefault="003D5775" w:rsidP="0076431C">
      <w:pPr>
        <w:pStyle w:val="SingleTxtG"/>
      </w:pPr>
      <w:r w:rsidRPr="0076431C">
        <w:t xml:space="preserve">This document includes </w:t>
      </w:r>
      <w:r w:rsidR="00600034" w:rsidRPr="0076431C">
        <w:t>the</w:t>
      </w:r>
      <w:r w:rsidRPr="0076431C">
        <w:t xml:space="preserve"> first set of proposals to improve the design of vehicles to make tampering </w:t>
      </w:r>
      <w:r w:rsidR="009745A9" w:rsidRPr="0076431C">
        <w:t xml:space="preserve">of </w:t>
      </w:r>
      <w:r w:rsidRPr="0076431C">
        <w:t>emissions systems</w:t>
      </w:r>
      <w:r w:rsidR="00EC07A4" w:rsidRPr="0076431C">
        <w:t xml:space="preserve"> more difficult and to </w:t>
      </w:r>
      <w:r w:rsidR="00EF6510" w:rsidRPr="0076431C">
        <w:t xml:space="preserve">facilitate </w:t>
      </w:r>
      <w:r w:rsidR="009745A9" w:rsidRPr="0076431C">
        <w:t>its</w:t>
      </w:r>
      <w:r w:rsidR="00EC07A4" w:rsidRPr="0076431C">
        <w:t xml:space="preserve"> detection</w:t>
      </w:r>
      <w:r w:rsidRPr="0076431C">
        <w:t>.</w:t>
      </w:r>
    </w:p>
    <w:p w:rsidR="003D5775" w:rsidRPr="0076431C" w:rsidRDefault="003D5775" w:rsidP="0076431C">
      <w:pPr>
        <w:pStyle w:val="SingleTxtG"/>
      </w:pPr>
      <w:r w:rsidRPr="0076431C">
        <w:t>The rationale behind this proposal is the following:</w:t>
      </w:r>
    </w:p>
    <w:p w:rsidR="003D5775" w:rsidRPr="0076431C" w:rsidRDefault="003D5775" w:rsidP="0076431C">
      <w:pPr>
        <w:pStyle w:val="SingleTxtG"/>
        <w:numPr>
          <w:ilvl w:val="0"/>
          <w:numId w:val="18"/>
        </w:numPr>
      </w:pPr>
      <w:r w:rsidRPr="0076431C">
        <w:t>Tampering is a behavioural issue with a technical application</w:t>
      </w:r>
    </w:p>
    <w:p w:rsidR="00EC07A4" w:rsidRPr="0076431C" w:rsidRDefault="00EC07A4" w:rsidP="0076431C">
      <w:pPr>
        <w:pStyle w:val="SingleTxtG"/>
        <w:numPr>
          <w:ilvl w:val="0"/>
          <w:numId w:val="18"/>
        </w:numPr>
      </w:pPr>
      <w:r w:rsidRPr="0076431C">
        <w:t xml:space="preserve">Tampering is, by definition, a modification of the systems that alters their </w:t>
      </w:r>
      <w:r w:rsidR="00600034" w:rsidRPr="0076431C">
        <w:t>performance</w:t>
      </w:r>
      <w:r w:rsidRPr="0076431C">
        <w:t>. Therefore, this proposal tackles two main concepts:</w:t>
      </w:r>
    </w:p>
    <w:p w:rsidR="00EC07A4" w:rsidRPr="0076431C" w:rsidRDefault="00EC07A4" w:rsidP="0076431C">
      <w:pPr>
        <w:pStyle w:val="SingleTxtG"/>
        <w:numPr>
          <w:ilvl w:val="1"/>
          <w:numId w:val="18"/>
        </w:numPr>
      </w:pPr>
      <w:r w:rsidRPr="0076431C">
        <w:t>The suitability to detect something has been modified</w:t>
      </w:r>
    </w:p>
    <w:p w:rsidR="00EC07A4" w:rsidRPr="0076431C" w:rsidRDefault="00EC07A4" w:rsidP="0076431C">
      <w:pPr>
        <w:pStyle w:val="SingleTxtG"/>
        <w:numPr>
          <w:ilvl w:val="1"/>
          <w:numId w:val="18"/>
        </w:numPr>
      </w:pPr>
      <w:r w:rsidRPr="0076431C">
        <w:t xml:space="preserve">The detection of inappropriate vehicle </w:t>
      </w:r>
      <w:r w:rsidR="00600034" w:rsidRPr="0076431C">
        <w:t>performance</w:t>
      </w:r>
    </w:p>
    <w:p w:rsidR="0048087A" w:rsidRPr="0076431C" w:rsidRDefault="00600034" w:rsidP="0076431C">
      <w:pPr>
        <w:pStyle w:val="SingleTxtG"/>
        <w:numPr>
          <w:ilvl w:val="0"/>
          <w:numId w:val="18"/>
        </w:numPr>
      </w:pPr>
      <w:r w:rsidRPr="0076431C">
        <w:t>Tampering of s</w:t>
      </w:r>
      <w:r w:rsidR="003D5775" w:rsidRPr="0076431C">
        <w:t xml:space="preserve">ystems </w:t>
      </w:r>
      <w:r w:rsidRPr="0076431C">
        <w:t>occurs</w:t>
      </w:r>
      <w:r w:rsidR="003D5775" w:rsidRPr="0076431C">
        <w:t xml:space="preserve"> when the perceived benefit is higher than the cost/risk of tampering</w:t>
      </w:r>
    </w:p>
    <w:p w:rsidR="003D5775" w:rsidRPr="0076431C" w:rsidRDefault="003D5775" w:rsidP="0076431C">
      <w:pPr>
        <w:pStyle w:val="SingleTxtG"/>
        <w:numPr>
          <w:ilvl w:val="0"/>
          <w:numId w:val="18"/>
        </w:numPr>
      </w:pPr>
      <w:r w:rsidRPr="0076431C">
        <w:lastRenderedPageBreak/>
        <w:t>Fighting non-appropriate modifications involves all stakeholders</w:t>
      </w:r>
      <w:r w:rsidR="00EC07A4" w:rsidRPr="0076431C">
        <w:t>, t</w:t>
      </w:r>
      <w:r w:rsidRPr="0076431C">
        <w:t>hose related to t</w:t>
      </w:r>
      <w:r w:rsidR="00692FA8" w:rsidRPr="0076431C">
        <w:t>he design of vehicles too</w:t>
      </w:r>
    </w:p>
    <w:p w:rsidR="000E6538" w:rsidRPr="002E116F" w:rsidRDefault="00216B60" w:rsidP="00DC0977">
      <w:pPr>
        <w:pStyle w:val="SingleTxtG"/>
        <w:tabs>
          <w:tab w:val="left" w:pos="709"/>
        </w:tabs>
        <w:spacing w:after="0"/>
        <w:ind w:left="0"/>
        <w:jc w:val="center"/>
        <w:rPr>
          <w:sz w:val="24"/>
          <w:szCs w:val="24"/>
          <w:lang w:val="en-GB"/>
        </w:rPr>
      </w:pPr>
      <w:r w:rsidRPr="002E116F">
        <w:rPr>
          <w:sz w:val="24"/>
          <w:szCs w:val="24"/>
          <w:lang w:val="en-GB"/>
        </w:rPr>
        <w:t>________</w:t>
      </w:r>
    </w:p>
    <w:p w:rsidR="000E6538" w:rsidRPr="002E116F" w:rsidRDefault="000E6538" w:rsidP="00216B60">
      <w:pPr>
        <w:pStyle w:val="SingleTxtG"/>
        <w:tabs>
          <w:tab w:val="left" w:pos="709"/>
        </w:tabs>
        <w:spacing w:after="0"/>
        <w:ind w:left="0"/>
        <w:jc w:val="center"/>
        <w:rPr>
          <w:sz w:val="24"/>
          <w:szCs w:val="24"/>
          <w:lang w:val="en-GB"/>
        </w:rPr>
      </w:pPr>
    </w:p>
    <w:sectPr w:rsidR="000E6538" w:rsidRPr="002E116F" w:rsidSect="00E71A31">
      <w:footerReference w:type="default" r:id="rId7"/>
      <w:headerReference w:type="first" r:id="rId8"/>
      <w:footerReference w:type="first" r:id="rId9"/>
      <w:pgSz w:w="12240" w:h="15840"/>
      <w:pgMar w:top="1276" w:right="1440" w:bottom="1440" w:left="144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E91" w:rsidRDefault="00544E91" w:rsidP="00F03B82">
      <w:pPr>
        <w:spacing w:after="0" w:line="240" w:lineRule="auto"/>
      </w:pPr>
      <w:r>
        <w:separator/>
      </w:r>
    </w:p>
  </w:endnote>
  <w:endnote w:type="continuationSeparator" w:id="0">
    <w:p w:rsidR="00544E91" w:rsidRDefault="00544E91"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75" w:rsidRDefault="003D5775">
    <w:pPr>
      <w:pStyle w:val="Footer"/>
      <w:jc w:val="center"/>
    </w:pPr>
    <w:r>
      <w:fldChar w:fldCharType="begin"/>
    </w:r>
    <w:r>
      <w:instrText xml:space="preserve"> PAGE   \* MERGEFORMAT </w:instrText>
    </w:r>
    <w:r>
      <w:fldChar w:fldCharType="separate"/>
    </w:r>
    <w:r w:rsidR="00600034">
      <w:rPr>
        <w:noProof/>
      </w:rPr>
      <w:t>2</w:t>
    </w:r>
    <w:r>
      <w:rPr>
        <w:noProof/>
      </w:rPr>
      <w:fldChar w:fldCharType="end"/>
    </w:r>
    <w:r>
      <w:rPr>
        <w:noProof/>
      </w:rPr>
      <w:t>/</w:t>
    </w:r>
    <w:r w:rsidR="00600034">
      <w:rPr>
        <w:noProof/>
      </w:rPr>
      <w:fldChar w:fldCharType="begin"/>
    </w:r>
    <w:r w:rsidR="00600034">
      <w:rPr>
        <w:noProof/>
      </w:rPr>
      <w:instrText xml:space="preserve"> NUMPAGES   \* MERGEFORMAT </w:instrText>
    </w:r>
    <w:r w:rsidR="00600034">
      <w:rPr>
        <w:noProof/>
      </w:rPr>
      <w:fldChar w:fldCharType="separate"/>
    </w:r>
    <w:r w:rsidR="00600034">
      <w:rPr>
        <w:noProof/>
      </w:rPr>
      <w:t>2</w:t>
    </w:r>
    <w:r w:rsidR="00600034">
      <w:rPr>
        <w:noProof/>
      </w:rPr>
      <w:fldChar w:fldCharType="end"/>
    </w:r>
  </w:p>
  <w:p w:rsidR="003D5775" w:rsidRDefault="003D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75" w:rsidRDefault="003D5775" w:rsidP="00E71A31">
    <w:pPr>
      <w:pStyle w:val="Footer"/>
      <w:jc w:val="center"/>
    </w:pPr>
    <w:r>
      <w:fldChar w:fldCharType="begin"/>
    </w:r>
    <w:r>
      <w:instrText xml:space="preserve"> PAGE   \* MERGEFORMAT </w:instrText>
    </w:r>
    <w:r>
      <w:fldChar w:fldCharType="separate"/>
    </w:r>
    <w:r w:rsidR="00600034">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60003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E91" w:rsidRDefault="00544E91" w:rsidP="00F03B82">
      <w:pPr>
        <w:spacing w:after="0" w:line="240" w:lineRule="auto"/>
      </w:pPr>
      <w:r>
        <w:separator/>
      </w:r>
    </w:p>
  </w:footnote>
  <w:footnote w:type="continuationSeparator" w:id="0">
    <w:p w:rsidR="00544E91" w:rsidRDefault="00544E91" w:rsidP="00F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8" w:type="dxa"/>
      <w:tblLook w:val="04A0" w:firstRow="1" w:lastRow="0" w:firstColumn="1" w:lastColumn="0" w:noHBand="0" w:noVBand="1"/>
    </w:tblPr>
    <w:tblGrid>
      <w:gridCol w:w="5670"/>
      <w:gridCol w:w="3118"/>
    </w:tblGrid>
    <w:tr w:rsidR="0076431C" w:rsidRPr="0076431C" w:rsidTr="0076431C">
      <w:tc>
        <w:tcPr>
          <w:tcW w:w="5670" w:type="dxa"/>
          <w:tcBorders>
            <w:top w:val="nil"/>
            <w:left w:val="nil"/>
            <w:bottom w:val="nil"/>
            <w:right w:val="nil"/>
          </w:tcBorders>
        </w:tcPr>
        <w:p w:rsidR="0076431C" w:rsidRPr="0076431C" w:rsidRDefault="0076431C" w:rsidP="0076431C">
          <w:pPr>
            <w:pStyle w:val="Header"/>
            <w:suppressAutoHyphens w:val="0"/>
            <w:rPr>
              <w:sz w:val="18"/>
              <w:szCs w:val="18"/>
              <w:lang w:val="fr-CH"/>
            </w:rPr>
          </w:pPr>
          <w:r w:rsidRPr="0076431C">
            <w:rPr>
              <w:sz w:val="18"/>
              <w:szCs w:val="18"/>
              <w:lang w:val="fr-CH"/>
            </w:rPr>
            <w:t xml:space="preserve">Note by the </w:t>
          </w:r>
          <w:r>
            <w:rPr>
              <w:sz w:val="18"/>
              <w:szCs w:val="18"/>
              <w:lang w:val="fr-CH"/>
            </w:rPr>
            <w:t xml:space="preserve">expert </w:t>
          </w:r>
          <w:proofErr w:type="spellStart"/>
          <w:r>
            <w:rPr>
              <w:sz w:val="18"/>
              <w:szCs w:val="18"/>
              <w:lang w:val="fr-CH"/>
            </w:rPr>
            <w:t>from</w:t>
          </w:r>
          <w:proofErr w:type="spellEnd"/>
          <w:r>
            <w:rPr>
              <w:sz w:val="18"/>
              <w:szCs w:val="18"/>
              <w:lang w:val="fr-CH"/>
            </w:rPr>
            <w:t xml:space="preserve"> CITA</w:t>
          </w:r>
        </w:p>
      </w:tc>
      <w:tc>
        <w:tcPr>
          <w:tcW w:w="3118" w:type="dxa"/>
          <w:tcBorders>
            <w:top w:val="nil"/>
            <w:left w:val="nil"/>
            <w:bottom w:val="nil"/>
            <w:right w:val="nil"/>
          </w:tcBorders>
        </w:tcPr>
        <w:p w:rsidR="0076431C" w:rsidRPr="0076431C" w:rsidRDefault="0076431C" w:rsidP="0076431C">
          <w:pPr>
            <w:pStyle w:val="Header"/>
            <w:suppressAutoHyphens w:val="0"/>
            <w:rPr>
              <w:b/>
              <w:sz w:val="18"/>
              <w:szCs w:val="18"/>
              <w:lang w:val="en-GB"/>
            </w:rPr>
          </w:pPr>
          <w:r w:rsidRPr="0076431C">
            <w:rPr>
              <w:sz w:val="18"/>
              <w:szCs w:val="18"/>
              <w:u w:val="single"/>
              <w:lang w:val="en-GB"/>
            </w:rPr>
            <w:t>Informal document</w:t>
          </w:r>
          <w:r w:rsidRPr="0076431C">
            <w:rPr>
              <w:sz w:val="18"/>
              <w:szCs w:val="18"/>
              <w:lang w:val="en-GB"/>
            </w:rPr>
            <w:t xml:space="preserve"> </w:t>
          </w:r>
          <w:r w:rsidRPr="0076431C">
            <w:rPr>
              <w:b/>
              <w:sz w:val="18"/>
              <w:szCs w:val="18"/>
              <w:lang w:val="en-GB"/>
            </w:rPr>
            <w:t>GRPE-79-0</w:t>
          </w:r>
          <w:r>
            <w:rPr>
              <w:b/>
              <w:sz w:val="18"/>
              <w:szCs w:val="18"/>
              <w:lang w:val="en-GB"/>
            </w:rPr>
            <w:t>5</w:t>
          </w:r>
        </w:p>
        <w:p w:rsidR="0076431C" w:rsidRPr="0076431C" w:rsidRDefault="0076431C" w:rsidP="0076431C">
          <w:pPr>
            <w:pStyle w:val="Header"/>
            <w:suppressAutoHyphens w:val="0"/>
            <w:rPr>
              <w:sz w:val="18"/>
              <w:szCs w:val="18"/>
              <w:lang w:val="en-GB"/>
            </w:rPr>
          </w:pPr>
          <w:r w:rsidRPr="0076431C">
            <w:rPr>
              <w:sz w:val="18"/>
              <w:szCs w:val="18"/>
              <w:lang w:val="en-GB"/>
            </w:rPr>
            <w:t>79</w:t>
          </w:r>
          <w:r w:rsidRPr="0076431C">
            <w:rPr>
              <w:sz w:val="18"/>
              <w:szCs w:val="18"/>
              <w:vertAlign w:val="superscript"/>
              <w:lang w:val="en-GB"/>
            </w:rPr>
            <w:t>th</w:t>
          </w:r>
          <w:r w:rsidRPr="0076431C">
            <w:rPr>
              <w:sz w:val="18"/>
              <w:szCs w:val="18"/>
              <w:lang w:val="en-GB"/>
            </w:rPr>
            <w:t xml:space="preserve"> GRPE, 21-24 May 2019</w:t>
          </w:r>
        </w:p>
        <w:p w:rsidR="0076431C" w:rsidRPr="0076431C" w:rsidRDefault="0076431C" w:rsidP="0076431C">
          <w:pPr>
            <w:pStyle w:val="Header"/>
            <w:suppressAutoHyphens w:val="0"/>
            <w:rPr>
              <w:sz w:val="18"/>
              <w:szCs w:val="18"/>
              <w:lang w:val="en-GB"/>
            </w:rPr>
          </w:pPr>
          <w:r w:rsidRPr="0076431C">
            <w:rPr>
              <w:sz w:val="18"/>
              <w:szCs w:val="18"/>
              <w:lang w:val="en-GB"/>
            </w:rPr>
            <w:t xml:space="preserve">Agenda item </w:t>
          </w:r>
          <w:r>
            <w:rPr>
              <w:sz w:val="18"/>
              <w:szCs w:val="18"/>
              <w:lang w:val="en-GB"/>
            </w:rPr>
            <w:t>3(a)</w:t>
          </w:r>
        </w:p>
      </w:tc>
    </w:tr>
  </w:tbl>
  <w:p w:rsidR="003D5775" w:rsidRPr="0076431C" w:rsidRDefault="003D5775">
    <w:pPr>
      <w:pStyle w:val="Head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1A1319"/>
    <w:multiLevelType w:val="hybridMultilevel"/>
    <w:tmpl w:val="CC883A72"/>
    <w:lvl w:ilvl="0" w:tplc="351CE0B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29E42E6"/>
    <w:multiLevelType w:val="hybridMultilevel"/>
    <w:tmpl w:val="C75207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57C43C3"/>
    <w:multiLevelType w:val="hybridMultilevel"/>
    <w:tmpl w:val="C13C9A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5AB1ABA"/>
    <w:multiLevelType w:val="hybridMultilevel"/>
    <w:tmpl w:val="19B69990"/>
    <w:lvl w:ilvl="0" w:tplc="08090001">
      <w:numFmt w:val="bullet"/>
      <w:lvlText w:val=""/>
      <w:lvlJc w:val="left"/>
      <w:pPr>
        <w:ind w:left="720" w:hanging="360"/>
      </w:pPr>
      <w:rPr>
        <w:rFonts w:ascii="Symbol" w:eastAsia="Times New Roman" w:hAnsi="Symbol"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14438"/>
    <w:multiLevelType w:val="hybridMultilevel"/>
    <w:tmpl w:val="C9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3BCC"/>
    <w:multiLevelType w:val="hybridMultilevel"/>
    <w:tmpl w:val="859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E608B"/>
    <w:multiLevelType w:val="hybridMultilevel"/>
    <w:tmpl w:val="E4D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757D"/>
    <w:multiLevelType w:val="multilevel"/>
    <w:tmpl w:val="18F6F38C"/>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3"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14"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E7E622B"/>
    <w:multiLevelType w:val="multilevel"/>
    <w:tmpl w:val="B9B8759A"/>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6" w15:restartNumberingAfterBreak="0">
    <w:nsid w:val="689B6039"/>
    <w:multiLevelType w:val="multilevel"/>
    <w:tmpl w:val="4BC6420E"/>
    <w:lvl w:ilvl="0">
      <w:start w:val="7"/>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72FC0A83"/>
    <w:multiLevelType w:val="hybridMultilevel"/>
    <w:tmpl w:val="E73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
  </w:num>
  <w:num w:numId="5">
    <w:abstractNumId w:val="0"/>
  </w:num>
  <w:num w:numId="6">
    <w:abstractNumId w:val="7"/>
  </w:num>
  <w:num w:numId="7">
    <w:abstractNumId w:val="4"/>
  </w:num>
  <w:num w:numId="8">
    <w:abstractNumId w:val="13"/>
  </w:num>
  <w:num w:numId="9">
    <w:abstractNumId w:val="12"/>
  </w:num>
  <w:num w:numId="10">
    <w:abstractNumId w:val="15"/>
  </w:num>
  <w:num w:numId="11">
    <w:abstractNumId w:val="16"/>
  </w:num>
  <w:num w:numId="12">
    <w:abstractNumId w:val="5"/>
  </w:num>
  <w:num w:numId="13">
    <w:abstractNumId w:val="10"/>
  </w:num>
  <w:num w:numId="14">
    <w:abstractNumId w:val="9"/>
  </w:num>
  <w:num w:numId="15">
    <w:abstractNumId w:val="17"/>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sDCyNDeyNDI2NTNQ0lEKTi0uzszPAykwrgUAfv0jkiwAAAA="/>
  </w:docVars>
  <w:rsids>
    <w:rsidRoot w:val="00A677DC"/>
    <w:rsid w:val="000028B3"/>
    <w:rsid w:val="00005A2F"/>
    <w:rsid w:val="00016BEA"/>
    <w:rsid w:val="00024B1C"/>
    <w:rsid w:val="00050E21"/>
    <w:rsid w:val="00051324"/>
    <w:rsid w:val="000525A4"/>
    <w:rsid w:val="00053BB4"/>
    <w:rsid w:val="000734E7"/>
    <w:rsid w:val="00096565"/>
    <w:rsid w:val="000973E6"/>
    <w:rsid w:val="000C1FFC"/>
    <w:rsid w:val="000E6407"/>
    <w:rsid w:val="000E6538"/>
    <w:rsid w:val="000F60C2"/>
    <w:rsid w:val="00107131"/>
    <w:rsid w:val="0013021B"/>
    <w:rsid w:val="00141787"/>
    <w:rsid w:val="00161C46"/>
    <w:rsid w:val="001702CE"/>
    <w:rsid w:val="001840AC"/>
    <w:rsid w:val="001B5C5D"/>
    <w:rsid w:val="001C2E41"/>
    <w:rsid w:val="0020440F"/>
    <w:rsid w:val="00204E2F"/>
    <w:rsid w:val="0021613F"/>
    <w:rsid w:val="00216B60"/>
    <w:rsid w:val="0022091B"/>
    <w:rsid w:val="002467E7"/>
    <w:rsid w:val="00254BA5"/>
    <w:rsid w:val="002839CA"/>
    <w:rsid w:val="00292154"/>
    <w:rsid w:val="002930A4"/>
    <w:rsid w:val="002A1A77"/>
    <w:rsid w:val="002A465D"/>
    <w:rsid w:val="002C7923"/>
    <w:rsid w:val="002E116F"/>
    <w:rsid w:val="002E6C13"/>
    <w:rsid w:val="003210BA"/>
    <w:rsid w:val="00324EF2"/>
    <w:rsid w:val="0033110F"/>
    <w:rsid w:val="00337D12"/>
    <w:rsid w:val="003424B1"/>
    <w:rsid w:val="0034322B"/>
    <w:rsid w:val="00347502"/>
    <w:rsid w:val="003568EB"/>
    <w:rsid w:val="00357870"/>
    <w:rsid w:val="00371BBC"/>
    <w:rsid w:val="003B1FC9"/>
    <w:rsid w:val="003B2AAF"/>
    <w:rsid w:val="003D271D"/>
    <w:rsid w:val="003D3278"/>
    <w:rsid w:val="003D5775"/>
    <w:rsid w:val="003D786F"/>
    <w:rsid w:val="003E13CE"/>
    <w:rsid w:val="003F07F3"/>
    <w:rsid w:val="003F2FF1"/>
    <w:rsid w:val="00402B0A"/>
    <w:rsid w:val="00406DD6"/>
    <w:rsid w:val="00417695"/>
    <w:rsid w:val="00434D8F"/>
    <w:rsid w:val="004543E4"/>
    <w:rsid w:val="00457B3E"/>
    <w:rsid w:val="00466A8A"/>
    <w:rsid w:val="00475286"/>
    <w:rsid w:val="0047640E"/>
    <w:rsid w:val="0048087A"/>
    <w:rsid w:val="004831F2"/>
    <w:rsid w:val="00486174"/>
    <w:rsid w:val="004C5746"/>
    <w:rsid w:val="004C6440"/>
    <w:rsid w:val="00544E91"/>
    <w:rsid w:val="00547F19"/>
    <w:rsid w:val="00552696"/>
    <w:rsid w:val="00553153"/>
    <w:rsid w:val="005753B7"/>
    <w:rsid w:val="00592C37"/>
    <w:rsid w:val="005A0E04"/>
    <w:rsid w:val="005B1F7B"/>
    <w:rsid w:val="005B2B97"/>
    <w:rsid w:val="005B5120"/>
    <w:rsid w:val="005C4C11"/>
    <w:rsid w:val="005C6D9F"/>
    <w:rsid w:val="005D52C6"/>
    <w:rsid w:val="005D5952"/>
    <w:rsid w:val="005D7F9C"/>
    <w:rsid w:val="005F49E5"/>
    <w:rsid w:val="00600034"/>
    <w:rsid w:val="00604269"/>
    <w:rsid w:val="0062260E"/>
    <w:rsid w:val="00644CC0"/>
    <w:rsid w:val="006508EC"/>
    <w:rsid w:val="00677236"/>
    <w:rsid w:val="00692FA8"/>
    <w:rsid w:val="006A2C31"/>
    <w:rsid w:val="006C2573"/>
    <w:rsid w:val="006C36C2"/>
    <w:rsid w:val="006D4839"/>
    <w:rsid w:val="006F0DAA"/>
    <w:rsid w:val="00704562"/>
    <w:rsid w:val="0071190C"/>
    <w:rsid w:val="00724A61"/>
    <w:rsid w:val="0074063A"/>
    <w:rsid w:val="00740CA8"/>
    <w:rsid w:val="00742323"/>
    <w:rsid w:val="007429EE"/>
    <w:rsid w:val="0075701F"/>
    <w:rsid w:val="0076431C"/>
    <w:rsid w:val="00783FAE"/>
    <w:rsid w:val="007B63F1"/>
    <w:rsid w:val="007C3F99"/>
    <w:rsid w:val="007C498D"/>
    <w:rsid w:val="00811859"/>
    <w:rsid w:val="00813F7A"/>
    <w:rsid w:val="008219F0"/>
    <w:rsid w:val="008271DB"/>
    <w:rsid w:val="00840262"/>
    <w:rsid w:val="0084059C"/>
    <w:rsid w:val="008509C8"/>
    <w:rsid w:val="00877A07"/>
    <w:rsid w:val="008838E9"/>
    <w:rsid w:val="00890F0E"/>
    <w:rsid w:val="008B531D"/>
    <w:rsid w:val="008C2FFA"/>
    <w:rsid w:val="008C6BD9"/>
    <w:rsid w:val="008F7670"/>
    <w:rsid w:val="00910B80"/>
    <w:rsid w:val="009117F2"/>
    <w:rsid w:val="00913783"/>
    <w:rsid w:val="00931FDA"/>
    <w:rsid w:val="00937714"/>
    <w:rsid w:val="00970660"/>
    <w:rsid w:val="009745A9"/>
    <w:rsid w:val="009956E8"/>
    <w:rsid w:val="009A0F52"/>
    <w:rsid w:val="009A52D0"/>
    <w:rsid w:val="009A5DDD"/>
    <w:rsid w:val="009B62FD"/>
    <w:rsid w:val="009D2EB4"/>
    <w:rsid w:val="009D504E"/>
    <w:rsid w:val="009E1611"/>
    <w:rsid w:val="009F1270"/>
    <w:rsid w:val="009F51FD"/>
    <w:rsid w:val="00A05958"/>
    <w:rsid w:val="00A17E0A"/>
    <w:rsid w:val="00A23575"/>
    <w:rsid w:val="00A23824"/>
    <w:rsid w:val="00A46362"/>
    <w:rsid w:val="00A60474"/>
    <w:rsid w:val="00A677DC"/>
    <w:rsid w:val="00A749E7"/>
    <w:rsid w:val="00AA29B3"/>
    <w:rsid w:val="00AB303A"/>
    <w:rsid w:val="00AF3D7D"/>
    <w:rsid w:val="00B00D51"/>
    <w:rsid w:val="00B36E09"/>
    <w:rsid w:val="00B418E8"/>
    <w:rsid w:val="00B54748"/>
    <w:rsid w:val="00B7040D"/>
    <w:rsid w:val="00B81EE9"/>
    <w:rsid w:val="00BA4394"/>
    <w:rsid w:val="00BB0A99"/>
    <w:rsid w:val="00BB4626"/>
    <w:rsid w:val="00C317E8"/>
    <w:rsid w:val="00C36D74"/>
    <w:rsid w:val="00C53D0D"/>
    <w:rsid w:val="00C83548"/>
    <w:rsid w:val="00C92976"/>
    <w:rsid w:val="00CB3043"/>
    <w:rsid w:val="00CC2A76"/>
    <w:rsid w:val="00CD4850"/>
    <w:rsid w:val="00CE373B"/>
    <w:rsid w:val="00CE4D42"/>
    <w:rsid w:val="00CF15FA"/>
    <w:rsid w:val="00CF2634"/>
    <w:rsid w:val="00CF5B54"/>
    <w:rsid w:val="00D02123"/>
    <w:rsid w:val="00D13F91"/>
    <w:rsid w:val="00D44916"/>
    <w:rsid w:val="00D74702"/>
    <w:rsid w:val="00D8022B"/>
    <w:rsid w:val="00D86C2E"/>
    <w:rsid w:val="00D90D59"/>
    <w:rsid w:val="00D95D8C"/>
    <w:rsid w:val="00DA0FF8"/>
    <w:rsid w:val="00DA6D8A"/>
    <w:rsid w:val="00DB40E1"/>
    <w:rsid w:val="00DC0977"/>
    <w:rsid w:val="00DC551C"/>
    <w:rsid w:val="00DD53FA"/>
    <w:rsid w:val="00DD5AA8"/>
    <w:rsid w:val="00DD5D50"/>
    <w:rsid w:val="00DF1BB3"/>
    <w:rsid w:val="00DF7DAF"/>
    <w:rsid w:val="00E25118"/>
    <w:rsid w:val="00E3100C"/>
    <w:rsid w:val="00E34382"/>
    <w:rsid w:val="00E351D0"/>
    <w:rsid w:val="00E36D2B"/>
    <w:rsid w:val="00E40234"/>
    <w:rsid w:val="00E42FB3"/>
    <w:rsid w:val="00E5024D"/>
    <w:rsid w:val="00E5056A"/>
    <w:rsid w:val="00E571BA"/>
    <w:rsid w:val="00E574F6"/>
    <w:rsid w:val="00E71A31"/>
    <w:rsid w:val="00EA5637"/>
    <w:rsid w:val="00EA7856"/>
    <w:rsid w:val="00EB7C4E"/>
    <w:rsid w:val="00EC07A4"/>
    <w:rsid w:val="00EF3920"/>
    <w:rsid w:val="00EF6510"/>
    <w:rsid w:val="00F00EF0"/>
    <w:rsid w:val="00F03B82"/>
    <w:rsid w:val="00F07858"/>
    <w:rsid w:val="00F07A3B"/>
    <w:rsid w:val="00F10E0A"/>
    <w:rsid w:val="00F16644"/>
    <w:rsid w:val="00F36641"/>
    <w:rsid w:val="00F36D81"/>
    <w:rsid w:val="00F400DF"/>
    <w:rsid w:val="00F42BFE"/>
    <w:rsid w:val="00F64BE8"/>
    <w:rsid w:val="00F7197B"/>
    <w:rsid w:val="00FA6701"/>
    <w:rsid w:val="00FD1C8B"/>
    <w:rsid w:val="00FF70A8"/>
    <w:rsid w:val="00FF71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F6D690"/>
  <w15:chartTrackingRefBased/>
  <w15:docId w15:val="{39F8C86B-61A8-45BB-8254-E6B7B705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551C"/>
    <w:rPr>
      <w:rFonts w:ascii="Segoe UI" w:hAnsi="Segoe UI" w:cs="Segoe UI"/>
      <w:sz w:val="18"/>
      <w:szCs w:val="18"/>
    </w:rPr>
  </w:style>
  <w:style w:type="character" w:customStyle="1" w:styleId="SingleTxtGCharChar">
    <w:name w:val="_ Single Txt_G Char Char"/>
    <w:rsid w:val="0071190C"/>
    <w:rPr>
      <w:lang w:val="en-US" w:eastAsia="en-US"/>
    </w:rPr>
  </w:style>
  <w:style w:type="paragraph" w:customStyle="1" w:styleId="Default">
    <w:name w:val="Default"/>
    <w:rsid w:val="0071190C"/>
    <w:pPr>
      <w:autoSpaceDE w:val="0"/>
      <w:autoSpaceDN w:val="0"/>
      <w:adjustRightInd w:val="0"/>
    </w:pPr>
    <w:rPr>
      <w:rFonts w:ascii="Times New Roman" w:hAnsi="Times New Roman"/>
      <w:color w:val="000000"/>
      <w:sz w:val="24"/>
      <w:szCs w:val="24"/>
      <w:lang w:val="ru-RU" w:eastAsia="ru-RU"/>
    </w:rPr>
  </w:style>
  <w:style w:type="paragraph" w:styleId="BodyText2">
    <w:name w:val="Body Text 2"/>
    <w:basedOn w:val="Normal"/>
    <w:link w:val="BodyText2Char"/>
    <w:semiHidden/>
    <w:rsid w:val="00A05958"/>
    <w:pPr>
      <w:spacing w:after="0" w:line="240" w:lineRule="auto"/>
      <w:jc w:val="center"/>
    </w:pPr>
    <w:rPr>
      <w:rFonts w:ascii="Univers" w:eastAsia="Times New Roman" w:hAnsi="Univers"/>
      <w:b/>
      <w:caps/>
      <w:sz w:val="20"/>
      <w:szCs w:val="20"/>
      <w:lang w:val="en-GB"/>
    </w:rPr>
  </w:style>
  <w:style w:type="character" w:customStyle="1" w:styleId="BodyText2Char">
    <w:name w:val="Body Text 2 Char"/>
    <w:link w:val="BodyText2"/>
    <w:semiHidden/>
    <w:rsid w:val="00A05958"/>
    <w:rPr>
      <w:rFonts w:ascii="Univers" w:eastAsia="Times New Roman" w:hAnsi="Univers"/>
      <w:b/>
      <w:caps/>
      <w:lang w:val="en-GB" w:eastAsia="en-US"/>
    </w:rPr>
  </w:style>
  <w:style w:type="paragraph" w:customStyle="1" w:styleId="H1G">
    <w:name w:val="_ H_1_G"/>
    <w:basedOn w:val="Normal"/>
    <w:next w:val="Normal"/>
    <w:link w:val="H1GChar"/>
    <w:rsid w:val="00A0595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A05958"/>
    <w:rPr>
      <w:rFonts w:ascii="Times New Roman" w:eastAsia="Times New Roman" w:hAnsi="Times New Roman"/>
      <w:b/>
      <w:sz w:val="24"/>
      <w:lang w:val="en-GB" w:eastAsia="en-US"/>
    </w:rPr>
  </w:style>
  <w:style w:type="character" w:customStyle="1" w:styleId="h-block">
    <w:name w:val="h-block"/>
    <w:rsid w:val="001B5C5D"/>
  </w:style>
  <w:style w:type="character" w:styleId="CommentReference">
    <w:name w:val="annotation reference"/>
    <w:uiPriority w:val="99"/>
    <w:semiHidden/>
    <w:unhideWhenUsed/>
    <w:rsid w:val="00EC07A4"/>
    <w:rPr>
      <w:sz w:val="16"/>
      <w:szCs w:val="16"/>
    </w:rPr>
  </w:style>
  <w:style w:type="paragraph" w:styleId="CommentText">
    <w:name w:val="annotation text"/>
    <w:basedOn w:val="Normal"/>
    <w:link w:val="CommentTextChar"/>
    <w:uiPriority w:val="99"/>
    <w:semiHidden/>
    <w:unhideWhenUsed/>
    <w:rsid w:val="00EC07A4"/>
    <w:rPr>
      <w:sz w:val="20"/>
      <w:szCs w:val="20"/>
    </w:rPr>
  </w:style>
  <w:style w:type="character" w:customStyle="1" w:styleId="CommentTextChar">
    <w:name w:val="Comment Text Char"/>
    <w:link w:val="CommentText"/>
    <w:uiPriority w:val="99"/>
    <w:semiHidden/>
    <w:rsid w:val="00EC07A4"/>
    <w:rPr>
      <w:lang w:val="en-US" w:eastAsia="en-US"/>
    </w:rPr>
  </w:style>
  <w:style w:type="paragraph" w:styleId="CommentSubject">
    <w:name w:val="annotation subject"/>
    <w:basedOn w:val="CommentText"/>
    <w:next w:val="CommentText"/>
    <w:link w:val="CommentSubjectChar"/>
    <w:uiPriority w:val="99"/>
    <w:semiHidden/>
    <w:unhideWhenUsed/>
    <w:rsid w:val="00EC07A4"/>
    <w:rPr>
      <w:b/>
      <w:bCs/>
    </w:rPr>
  </w:style>
  <w:style w:type="character" w:customStyle="1" w:styleId="CommentSubjectChar">
    <w:name w:val="Comment Subject Char"/>
    <w:link w:val="CommentSubject"/>
    <w:uiPriority w:val="99"/>
    <w:semiHidden/>
    <w:rsid w:val="00EC07A4"/>
    <w:rPr>
      <w:b/>
      <w:bCs/>
      <w:lang w:val="en-US" w:eastAsia="en-US"/>
    </w:rPr>
  </w:style>
  <w:style w:type="table" w:styleId="TableGrid">
    <w:name w:val="Table Grid"/>
    <w:basedOn w:val="TableNormal"/>
    <w:rsid w:val="0076431C"/>
    <w:pPr>
      <w:suppressAutoHyphens/>
      <w:spacing w:line="240" w:lineRule="atLeast"/>
    </w:pPr>
    <w:rPr>
      <w:rFonts w:ascii="Times New Roman" w:eastAsiaTheme="minorEastAsia"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79413">
      <w:bodyDiv w:val="1"/>
      <w:marLeft w:val="0"/>
      <w:marRight w:val="0"/>
      <w:marTop w:val="0"/>
      <w:marBottom w:val="0"/>
      <w:divBdr>
        <w:top w:val="none" w:sz="0" w:space="0" w:color="auto"/>
        <w:left w:val="none" w:sz="0" w:space="0" w:color="auto"/>
        <w:bottom w:val="none" w:sz="0" w:space="0" w:color="auto"/>
        <w:right w:val="none" w:sz="0" w:space="0" w:color="auto"/>
      </w:divBdr>
    </w:div>
    <w:div w:id="1044452362">
      <w:bodyDiv w:val="1"/>
      <w:marLeft w:val="0"/>
      <w:marRight w:val="0"/>
      <w:marTop w:val="0"/>
      <w:marBottom w:val="0"/>
      <w:divBdr>
        <w:top w:val="none" w:sz="0" w:space="0" w:color="auto"/>
        <w:left w:val="none" w:sz="0" w:space="0" w:color="auto"/>
        <w:bottom w:val="none" w:sz="0" w:space="0" w:color="auto"/>
        <w:right w:val="none" w:sz="0" w:space="0" w:color="auto"/>
      </w:divBdr>
    </w:div>
    <w:div w:id="1430151906">
      <w:bodyDiv w:val="1"/>
      <w:marLeft w:val="0"/>
      <w:marRight w:val="0"/>
      <w:marTop w:val="0"/>
      <w:marBottom w:val="0"/>
      <w:divBdr>
        <w:top w:val="none" w:sz="0" w:space="0" w:color="auto"/>
        <w:left w:val="none" w:sz="0" w:space="0" w:color="auto"/>
        <w:bottom w:val="none" w:sz="0" w:space="0" w:color="auto"/>
        <w:right w:val="none" w:sz="0" w:space="0" w:color="auto"/>
      </w:divBdr>
    </w:div>
    <w:div w:id="1557427778">
      <w:bodyDiv w:val="1"/>
      <w:marLeft w:val="0"/>
      <w:marRight w:val="0"/>
      <w:marTop w:val="0"/>
      <w:marBottom w:val="0"/>
      <w:divBdr>
        <w:top w:val="none" w:sz="0" w:space="0" w:color="auto"/>
        <w:left w:val="none" w:sz="0" w:space="0" w:color="auto"/>
        <w:bottom w:val="none" w:sz="0" w:space="0" w:color="auto"/>
        <w:right w:val="none" w:sz="0" w:space="0" w:color="auto"/>
      </w:divBdr>
    </w:div>
    <w:div w:id="16802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390</Words>
  <Characters>2225</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Francois Cuenot</cp:lastModifiedBy>
  <cp:revision>7</cp:revision>
  <cp:lastPrinted>2019-05-07T12:51:00Z</cp:lastPrinted>
  <dcterms:created xsi:type="dcterms:W3CDTF">2019-05-16T06:18:00Z</dcterms:created>
  <dcterms:modified xsi:type="dcterms:W3CDTF">2019-05-16T10:41:00Z</dcterms:modified>
</cp:coreProperties>
</file>