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5083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50833" w:rsidP="00950833">
            <w:pPr>
              <w:jc w:val="right"/>
            </w:pPr>
            <w:r w:rsidRPr="00950833">
              <w:rPr>
                <w:sz w:val="40"/>
              </w:rPr>
              <w:t>ECE</w:t>
            </w:r>
            <w:r>
              <w:t>/TRANS/WP.29/GRSG/2019/8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50833" w:rsidP="00C97039">
            <w:pPr>
              <w:spacing w:before="240"/>
            </w:pPr>
            <w:r>
              <w:t>Distr. générale</w:t>
            </w:r>
          </w:p>
          <w:p w:rsidR="00950833" w:rsidRDefault="00950833" w:rsidP="00950833">
            <w:pPr>
              <w:spacing w:line="240" w:lineRule="exact"/>
            </w:pPr>
            <w:r>
              <w:t>8 janvier 2019</w:t>
            </w:r>
          </w:p>
          <w:p w:rsidR="00950833" w:rsidRDefault="00950833" w:rsidP="00950833">
            <w:pPr>
              <w:spacing w:line="240" w:lineRule="exact"/>
            </w:pPr>
            <w:r>
              <w:t>Français</w:t>
            </w:r>
          </w:p>
          <w:p w:rsidR="00950833" w:rsidRPr="00DB58B5" w:rsidRDefault="00950833" w:rsidP="0095083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0225A" w:rsidRPr="00D40E83" w:rsidRDefault="00F0225A" w:rsidP="0038008B">
      <w:pPr>
        <w:spacing w:before="120"/>
        <w:rPr>
          <w:b/>
          <w:sz w:val="24"/>
          <w:szCs w:val="24"/>
        </w:rPr>
      </w:pPr>
      <w:r w:rsidRPr="00D40E83">
        <w:rPr>
          <w:b/>
          <w:sz w:val="24"/>
          <w:szCs w:val="24"/>
        </w:rPr>
        <w:t>Forum mondial de l’harmonisation des Règlements</w:t>
      </w:r>
    </w:p>
    <w:p w:rsidR="00F0225A" w:rsidRPr="00D40E83" w:rsidRDefault="00F0225A" w:rsidP="0038008B">
      <w:pPr>
        <w:spacing w:before="120"/>
        <w:rPr>
          <w:b/>
        </w:rPr>
      </w:pPr>
      <w:r w:rsidRPr="00D40E83">
        <w:rPr>
          <w:b/>
        </w:rPr>
        <w:t>Groupe de travail des dispositions générales de sécurité</w:t>
      </w:r>
    </w:p>
    <w:p w:rsidR="00F0225A" w:rsidRPr="00D40E83" w:rsidRDefault="00F0225A" w:rsidP="0038008B">
      <w:pPr>
        <w:spacing w:before="120"/>
        <w:rPr>
          <w:b/>
        </w:rPr>
      </w:pPr>
      <w:r w:rsidRPr="00D40E83">
        <w:rPr>
          <w:b/>
        </w:rPr>
        <w:t>116</w:t>
      </w:r>
      <w:r w:rsidRPr="00D40E83">
        <w:rPr>
          <w:b/>
          <w:vertAlign w:val="superscript"/>
        </w:rPr>
        <w:t>e</w:t>
      </w:r>
      <w:r w:rsidR="00D40E83" w:rsidRPr="00D40E83">
        <w:rPr>
          <w:b/>
        </w:rPr>
        <w:t> </w:t>
      </w:r>
      <w:r w:rsidRPr="00D40E83">
        <w:rPr>
          <w:b/>
        </w:rPr>
        <w:t>session</w:t>
      </w:r>
    </w:p>
    <w:p w:rsidR="00F0225A" w:rsidRPr="00486BC1" w:rsidRDefault="00F0225A" w:rsidP="00F0225A">
      <w:r w:rsidRPr="00486BC1">
        <w:t>Genève, 1</w:t>
      </w:r>
      <w:r w:rsidR="00D40E83" w:rsidRPr="00D40E83">
        <w:rPr>
          <w:vertAlign w:val="superscript"/>
        </w:rPr>
        <w:t>er</w:t>
      </w:r>
      <w:r w:rsidR="00D40E83">
        <w:noBreakHyphen/>
      </w:r>
      <w:r w:rsidRPr="00486BC1">
        <w:t>5 avril 2019</w:t>
      </w:r>
    </w:p>
    <w:p w:rsidR="00F0225A" w:rsidRPr="00486BC1" w:rsidRDefault="00F0225A" w:rsidP="00F0225A">
      <w:r w:rsidRPr="00486BC1">
        <w:t>Point</w:t>
      </w:r>
      <w:r w:rsidR="00C2464F">
        <w:t> </w:t>
      </w:r>
      <w:r w:rsidRPr="00486BC1">
        <w:t>16 de l’ordre du jour provisoire</w:t>
      </w:r>
    </w:p>
    <w:p w:rsidR="00F0225A" w:rsidRPr="00C2464F" w:rsidRDefault="00F0225A" w:rsidP="00F0225A">
      <w:pPr>
        <w:rPr>
          <w:b/>
        </w:rPr>
      </w:pPr>
      <w:r w:rsidRPr="00C2464F">
        <w:rPr>
          <w:b/>
        </w:rPr>
        <w:t>Résolution d’ensemble sur la construction des véhicules (R.E.3)</w:t>
      </w:r>
    </w:p>
    <w:p w:rsidR="00F0225A" w:rsidRPr="00486BC1" w:rsidRDefault="00F0225A" w:rsidP="00C2464F">
      <w:pPr>
        <w:pStyle w:val="HChG"/>
      </w:pPr>
      <w:r w:rsidRPr="00486BC1">
        <w:tab/>
      </w:r>
      <w:r w:rsidRPr="00486BC1">
        <w:tab/>
        <w:t xml:space="preserve">Proposition d’amendement à la Résolution d’ensemble </w:t>
      </w:r>
      <w:r w:rsidR="00C2464F">
        <w:br/>
      </w:r>
      <w:r w:rsidRPr="00486BC1">
        <w:t>sur la construction des véhicules</w:t>
      </w:r>
    </w:p>
    <w:p w:rsidR="00F0225A" w:rsidRPr="00486BC1" w:rsidRDefault="00C2464F" w:rsidP="00C2464F">
      <w:pPr>
        <w:pStyle w:val="H1G"/>
        <w:rPr>
          <w:vertAlign w:val="superscript"/>
        </w:rPr>
      </w:pPr>
      <w:r>
        <w:tab/>
      </w:r>
      <w:r>
        <w:tab/>
      </w:r>
      <w:r w:rsidR="00F0225A" w:rsidRPr="00486BC1">
        <w:t xml:space="preserve">Communication de l’expert de l’Association internationale </w:t>
      </w:r>
      <w:r>
        <w:br/>
      </w:r>
      <w:r w:rsidR="00F0225A" w:rsidRPr="00486BC1">
        <w:t>des constructeurs de motocycles (IMMA)</w:t>
      </w:r>
      <w:r w:rsidRPr="00C2464F">
        <w:rPr>
          <w:rStyle w:val="FootnoteReference"/>
          <w:b w:val="0"/>
          <w:sz w:val="20"/>
          <w:vertAlign w:val="baseline"/>
        </w:rPr>
        <w:footnoteReference w:customMarkFollows="1" w:id="2"/>
        <w:t>*</w:t>
      </w:r>
    </w:p>
    <w:p w:rsidR="00F0225A" w:rsidRPr="00486BC1" w:rsidRDefault="00F0225A" w:rsidP="00C2464F">
      <w:pPr>
        <w:pStyle w:val="SingleTxtG"/>
        <w:ind w:firstLine="567"/>
      </w:pPr>
      <w:r w:rsidRPr="00486BC1">
        <w:t>Le texte ci-après a été établi par l’expert de l’</w:t>
      </w:r>
      <w:r w:rsidRPr="00486BC1">
        <w:rPr>
          <w:rFonts w:eastAsia="MS Mincho"/>
        </w:rPr>
        <w:t>Association internationale des constructeurs de motocycles (IMMA) dans la perspective d’une</w:t>
      </w:r>
      <w:r w:rsidRPr="00486BC1">
        <w:t xml:space="preserve"> modification des dispositions de la Résolution d’ensemble sur la construction des véhicules (R.E.3) visant à </w:t>
      </w:r>
      <w:r w:rsidRPr="00C2464F">
        <w:rPr>
          <w:spacing w:val="-2"/>
        </w:rPr>
        <w:t xml:space="preserve">permettre l’installation de </w:t>
      </w:r>
      <w:r w:rsidR="00C2464F" w:rsidRPr="00C2464F">
        <w:rPr>
          <w:spacing w:val="-2"/>
        </w:rPr>
        <w:t>« </w:t>
      </w:r>
      <w:r w:rsidRPr="00C2464F">
        <w:rPr>
          <w:spacing w:val="-2"/>
        </w:rPr>
        <w:t>roues jumelées</w:t>
      </w:r>
      <w:r w:rsidR="00C2464F" w:rsidRPr="00C2464F">
        <w:rPr>
          <w:spacing w:val="-2"/>
        </w:rPr>
        <w:t> »</w:t>
      </w:r>
      <w:r w:rsidRPr="00C2464F">
        <w:rPr>
          <w:spacing w:val="-2"/>
        </w:rPr>
        <w:t xml:space="preserve"> sur tous les véhicules de catégorie L. Il s’inspire</w:t>
      </w:r>
      <w:r w:rsidRPr="00486BC1">
        <w:t xml:space="preserve"> du document informel GRSG-115-12, présenté à la 115</w:t>
      </w:r>
      <w:r w:rsidRPr="00486BC1">
        <w:rPr>
          <w:vertAlign w:val="superscript"/>
        </w:rPr>
        <w:t>e</w:t>
      </w:r>
      <w:r w:rsidR="00C2464F">
        <w:t> </w:t>
      </w:r>
      <w:r w:rsidRPr="00486BC1">
        <w:t>session du Groupe de travail des dispositions générales de sécurité (GRSG) (voir le rapport ECE/TRANS/WP.29/GRSG/94, par.</w:t>
      </w:r>
      <w:r w:rsidR="00C2464F">
        <w:t> </w:t>
      </w:r>
      <w:r w:rsidRPr="00486BC1">
        <w:t>65</w:t>
      </w:r>
      <w:r w:rsidR="009175C3">
        <w:t>)</w:t>
      </w:r>
      <w:r w:rsidRPr="00486BC1">
        <w:t xml:space="preserve">. Les modifications apportées au texte actuel de la R.E.3 sont indiquées en caractères gras. </w:t>
      </w:r>
    </w:p>
    <w:p w:rsidR="00F0225A" w:rsidRPr="00486BC1" w:rsidRDefault="00F0225A" w:rsidP="00E7365E">
      <w:pPr>
        <w:pStyle w:val="HChG"/>
      </w:pPr>
      <w:r w:rsidRPr="00486BC1">
        <w:br w:type="page"/>
      </w:r>
      <w:r w:rsidR="00E7365E">
        <w:lastRenderedPageBreak/>
        <w:tab/>
      </w:r>
      <w:r w:rsidRPr="00486BC1">
        <w:t>I.</w:t>
      </w:r>
      <w:r w:rsidR="00E7365E">
        <w:tab/>
      </w:r>
      <w:r w:rsidRPr="00486BC1">
        <w:t>Proposition</w:t>
      </w:r>
    </w:p>
    <w:p w:rsidR="00F0225A" w:rsidRPr="00486BC1" w:rsidRDefault="00F0225A" w:rsidP="00E7365E">
      <w:pPr>
        <w:pStyle w:val="SingleTxtG"/>
        <w:keepNext/>
      </w:pPr>
      <w:r w:rsidRPr="00E7365E">
        <w:rPr>
          <w:i/>
        </w:rPr>
        <w:t xml:space="preserve">Insérer un nouveau paragraphe </w:t>
      </w:r>
      <w:r w:rsidR="006B17B8">
        <w:rPr>
          <w:i/>
        </w:rPr>
        <w:t>1.</w:t>
      </w:r>
      <w:r w:rsidRPr="00E7365E">
        <w:rPr>
          <w:i/>
        </w:rPr>
        <w:t>11</w:t>
      </w:r>
      <w:r w:rsidRPr="00486BC1">
        <w:t>, libellé comme suit</w:t>
      </w:r>
      <w:r w:rsidR="00E7365E">
        <w:t> </w:t>
      </w:r>
      <w:r w:rsidRPr="00486BC1">
        <w:t>:</w:t>
      </w:r>
    </w:p>
    <w:p w:rsidR="00F0225A" w:rsidRPr="00486BC1" w:rsidRDefault="00B73840" w:rsidP="00E7365E">
      <w:pPr>
        <w:pStyle w:val="SingleTxtG"/>
        <w:tabs>
          <w:tab w:val="left" w:pos="2268"/>
        </w:tabs>
        <w:ind w:left="2268" w:hanging="1134"/>
      </w:pPr>
      <w:r w:rsidRPr="00B73840">
        <w:rPr>
          <w:b/>
        </w:rPr>
        <w:t>« </w:t>
      </w:r>
      <w:r w:rsidR="00F0225A" w:rsidRPr="00B73840">
        <w:rPr>
          <w:b/>
        </w:rPr>
        <w:t>1.11</w:t>
      </w:r>
      <w:r w:rsidR="00F0225A" w:rsidRPr="00B73840">
        <w:rPr>
          <w:b/>
        </w:rPr>
        <w:tab/>
      </w:r>
      <w:r w:rsidR="00F0225A" w:rsidRPr="00B73840">
        <w:rPr>
          <w:b/>
          <w:i/>
        </w:rPr>
        <w:t xml:space="preserve">L’expression </w:t>
      </w:r>
      <w:r w:rsidRPr="00B73840">
        <w:rPr>
          <w:b/>
        </w:rPr>
        <w:t>“</w:t>
      </w:r>
      <w:r w:rsidR="00F0225A" w:rsidRPr="00B73840">
        <w:rPr>
          <w:b/>
          <w:i/>
        </w:rPr>
        <w:t>roues jumelées</w:t>
      </w:r>
      <w:r w:rsidRPr="00B73840">
        <w:rPr>
          <w:b/>
        </w:rPr>
        <w:t>”</w:t>
      </w:r>
      <w:r w:rsidR="00F0225A" w:rsidRPr="00B73840">
        <w:rPr>
          <w:b/>
        </w:rPr>
        <w:t xml:space="preserve"> désigne deux roues qui, étant placées sur le même essieu sont considérées comme une roue unique, la distance entre les centres de leurs zones de contact avec le sol étant égale ou inférieure à 460</w:t>
      </w:r>
      <w:r w:rsidRPr="00B73840">
        <w:rPr>
          <w:b/>
        </w:rPr>
        <w:t> </w:t>
      </w:r>
      <w:r w:rsidR="00F0225A" w:rsidRPr="00B73840">
        <w:rPr>
          <w:b/>
        </w:rPr>
        <w:t>mm. Des roues jumelées peuvent être montées sur des véhicules de la catégorie L.</w:t>
      </w:r>
      <w:r>
        <w:t> </w:t>
      </w:r>
      <w:r w:rsidRPr="00B73840">
        <w:rPr>
          <w:b/>
        </w:rPr>
        <w:t>»</w:t>
      </w:r>
      <w:r w:rsidR="00F0225A" w:rsidRPr="00B73840">
        <w:rPr>
          <w:b/>
        </w:rPr>
        <w:t>.</w:t>
      </w:r>
    </w:p>
    <w:p w:rsidR="00F0225A" w:rsidRPr="00486BC1" w:rsidRDefault="00F0225A" w:rsidP="00B73840">
      <w:pPr>
        <w:pStyle w:val="SingleTxtG"/>
        <w:keepNext/>
      </w:pPr>
      <w:r w:rsidRPr="00486BC1">
        <w:rPr>
          <w:i/>
        </w:rPr>
        <w:t>Paragraphe 2.1.1</w:t>
      </w:r>
      <w:r w:rsidRPr="00486BC1">
        <w:t>, lire</w:t>
      </w:r>
      <w:r w:rsidR="00B73840">
        <w:t> </w:t>
      </w:r>
      <w:r w:rsidRPr="00486BC1">
        <w:t>:</w:t>
      </w:r>
    </w:p>
    <w:p w:rsidR="00F0225A" w:rsidRPr="00486BC1" w:rsidRDefault="00B73840" w:rsidP="00B73840">
      <w:pPr>
        <w:pStyle w:val="SingleTxtG"/>
        <w:tabs>
          <w:tab w:val="left" w:pos="2268"/>
        </w:tabs>
        <w:ind w:left="2268" w:hanging="1134"/>
      </w:pPr>
      <w:r>
        <w:t>« </w:t>
      </w:r>
      <w:r w:rsidR="00F0225A" w:rsidRPr="00486BC1">
        <w:t>2.1.1</w:t>
      </w:r>
      <w:r w:rsidR="00F0225A" w:rsidRPr="00486BC1">
        <w:tab/>
      </w:r>
      <w:r w:rsidRPr="00B73840">
        <w:t>“</w:t>
      </w:r>
      <w:r w:rsidR="00F0225A" w:rsidRPr="00486BC1">
        <w:rPr>
          <w:i/>
          <w:iCs/>
        </w:rPr>
        <w:t>Catégorie</w:t>
      </w:r>
      <w:r w:rsidR="00F0225A" w:rsidRPr="00486BC1">
        <w:rPr>
          <w:i/>
          <w:iCs/>
          <w:vertAlign w:val="subscript"/>
        </w:rPr>
        <w:t xml:space="preserve"> </w:t>
      </w:r>
      <w:r w:rsidR="00F0225A" w:rsidRPr="00486BC1">
        <w:rPr>
          <w:i/>
          <w:iCs/>
        </w:rPr>
        <w:t>L</w:t>
      </w:r>
      <w:r w:rsidR="00F0225A" w:rsidRPr="00486BC1">
        <w:rPr>
          <w:i/>
          <w:iCs/>
          <w:vertAlign w:val="subscript"/>
        </w:rPr>
        <w:t>1</w:t>
      </w:r>
      <w:r w:rsidRPr="00B73840">
        <w:t>”</w:t>
      </w:r>
      <w:r w:rsidR="00F0225A" w:rsidRPr="00486BC1">
        <w:t> : Véhicules à deux roues dont le moteur, s’il s’agit d’un moteur thermique, a une cylindrée ne dépassant pas 50</w:t>
      </w:r>
      <w:r>
        <w:t> </w:t>
      </w:r>
      <w:r w:rsidR="00F0225A" w:rsidRPr="00486BC1">
        <w:t>cm</w:t>
      </w:r>
      <w:r w:rsidR="00F0225A" w:rsidRPr="00486BC1">
        <w:rPr>
          <w:vertAlign w:val="superscript"/>
        </w:rPr>
        <w:t>3</w:t>
      </w:r>
      <w:r w:rsidR="00F0225A" w:rsidRPr="00486BC1">
        <w:t xml:space="preserve"> et, quel que soit le moyen de propulsion, dont la vitesse maximale par construction ne dépasse pas 50</w:t>
      </w:r>
      <w:r>
        <w:t> </w:t>
      </w:r>
      <w:r w:rsidR="00F0225A" w:rsidRPr="00486BC1">
        <w:t>km/h.</w:t>
      </w:r>
      <w:r w:rsidR="00F0225A" w:rsidRPr="00486BC1">
        <w:rPr>
          <w:iCs/>
        </w:rPr>
        <w:t xml:space="preserve"> </w:t>
      </w:r>
      <w:r w:rsidR="00F0225A" w:rsidRPr="00B73840">
        <w:rPr>
          <w:b/>
          <w:iCs/>
        </w:rPr>
        <w:t xml:space="preserve">Si le véhicule est configuré pour être équipé de </w:t>
      </w:r>
      <w:r w:rsidRPr="00B73840">
        <w:rPr>
          <w:b/>
        </w:rPr>
        <w:t>“</w:t>
      </w:r>
      <w:r w:rsidR="00F0225A" w:rsidRPr="00B73840">
        <w:rPr>
          <w:b/>
          <w:iCs/>
        </w:rPr>
        <w:t>roues jumelées</w:t>
      </w:r>
      <w:r w:rsidRPr="00B73840">
        <w:rPr>
          <w:b/>
        </w:rPr>
        <w:t>”</w:t>
      </w:r>
      <w:r w:rsidR="00F0225A" w:rsidRPr="00B73840">
        <w:rPr>
          <w:b/>
          <w:iCs/>
        </w:rPr>
        <w:t>, la totalité ou une partie de sa structure doit s’incliner lorsqu’il effectue un virage.</w:t>
      </w:r>
      <w:r>
        <w:t> »</w:t>
      </w:r>
      <w:r w:rsidR="00F0225A" w:rsidRPr="00486BC1">
        <w:t>.</w:t>
      </w:r>
    </w:p>
    <w:p w:rsidR="00F0225A" w:rsidRPr="00486BC1" w:rsidRDefault="00F0225A" w:rsidP="00B73840">
      <w:pPr>
        <w:pStyle w:val="SingleTxtG"/>
        <w:keepNext/>
      </w:pPr>
      <w:r w:rsidRPr="00486BC1">
        <w:rPr>
          <w:i/>
          <w:iCs/>
        </w:rPr>
        <w:t>Paragraphe 2.1.3</w:t>
      </w:r>
      <w:r w:rsidRPr="00486BC1">
        <w:rPr>
          <w:iCs/>
        </w:rPr>
        <w:t>, lire</w:t>
      </w:r>
      <w:r w:rsidR="00B73840">
        <w:rPr>
          <w:iCs/>
        </w:rPr>
        <w:t> </w:t>
      </w:r>
      <w:r w:rsidRPr="00486BC1">
        <w:rPr>
          <w:iCs/>
        </w:rPr>
        <w:t>:</w:t>
      </w:r>
    </w:p>
    <w:p w:rsidR="00F0225A" w:rsidRPr="00486BC1" w:rsidRDefault="00B73840" w:rsidP="00B73840">
      <w:pPr>
        <w:pStyle w:val="SingleTxtG"/>
        <w:tabs>
          <w:tab w:val="left" w:pos="2268"/>
        </w:tabs>
        <w:ind w:left="2268" w:hanging="1134"/>
      </w:pPr>
      <w:r>
        <w:t>« </w:t>
      </w:r>
      <w:r w:rsidR="00F0225A" w:rsidRPr="00486BC1">
        <w:t>2.1.3</w:t>
      </w:r>
      <w:r w:rsidR="00F0225A" w:rsidRPr="00486BC1">
        <w:tab/>
      </w:r>
      <w:r w:rsidRPr="00B73840">
        <w:t>“</w:t>
      </w:r>
      <w:r w:rsidR="00F0225A" w:rsidRPr="00486BC1">
        <w:rPr>
          <w:i/>
          <w:iCs/>
        </w:rPr>
        <w:t>Catégorie L</w:t>
      </w:r>
      <w:r w:rsidR="00F0225A" w:rsidRPr="00486BC1">
        <w:rPr>
          <w:i/>
          <w:iCs/>
          <w:vertAlign w:val="subscript"/>
        </w:rPr>
        <w:t>3</w:t>
      </w:r>
      <w:r w:rsidRPr="00B73840">
        <w:t>”</w:t>
      </w:r>
      <w:r>
        <w:t> </w:t>
      </w:r>
      <w:r w:rsidR="00F0225A" w:rsidRPr="00486BC1">
        <w:t>: Véhicules à deux roues dont le moteur, s’il s’agit d’un moteur thermique, a une cylindrée dépassant 50</w:t>
      </w:r>
      <w:r>
        <w:t> </w:t>
      </w:r>
      <w:r w:rsidR="00F0225A" w:rsidRPr="00486BC1">
        <w:t>cm</w:t>
      </w:r>
      <w:r w:rsidR="00F0225A" w:rsidRPr="00486BC1">
        <w:rPr>
          <w:vertAlign w:val="superscript"/>
        </w:rPr>
        <w:t>3</w:t>
      </w:r>
      <w:r w:rsidR="00F0225A" w:rsidRPr="00486BC1">
        <w:t xml:space="preserve"> ou, quel que soit le moyen de propulsion, dont la vitesse maximale par construction dépasse 50</w:t>
      </w:r>
      <w:r>
        <w:t> </w:t>
      </w:r>
      <w:r w:rsidR="00F0225A" w:rsidRPr="00486BC1">
        <w:t>km/h.</w:t>
      </w:r>
      <w:r w:rsidR="00F0225A" w:rsidRPr="00486BC1">
        <w:rPr>
          <w:iCs/>
        </w:rPr>
        <w:t xml:space="preserve"> </w:t>
      </w:r>
      <w:r w:rsidR="00F0225A" w:rsidRPr="00B73840">
        <w:rPr>
          <w:b/>
          <w:iCs/>
        </w:rPr>
        <w:t xml:space="preserve">Si le véhicule est configuré pour être équipé de </w:t>
      </w:r>
      <w:r w:rsidRPr="00B73840">
        <w:rPr>
          <w:b/>
        </w:rPr>
        <w:t>“</w:t>
      </w:r>
      <w:r w:rsidR="00F0225A" w:rsidRPr="00B73840">
        <w:rPr>
          <w:b/>
          <w:iCs/>
        </w:rPr>
        <w:t>roues jumelées</w:t>
      </w:r>
      <w:r w:rsidRPr="00B73840">
        <w:rPr>
          <w:b/>
        </w:rPr>
        <w:t>”</w:t>
      </w:r>
      <w:r w:rsidR="00F0225A" w:rsidRPr="00B73840">
        <w:rPr>
          <w:b/>
          <w:iCs/>
        </w:rPr>
        <w:t>, la totalité ou une partie de sa structure doit s’incliner lorsqu’il effectue un virage.</w:t>
      </w:r>
      <w:r>
        <w:t> »</w:t>
      </w:r>
      <w:r w:rsidR="00F0225A" w:rsidRPr="00486BC1">
        <w:t>.</w:t>
      </w:r>
    </w:p>
    <w:p w:rsidR="00F0225A" w:rsidRPr="00486BC1" w:rsidRDefault="00F0225A" w:rsidP="0029025A">
      <w:pPr>
        <w:pStyle w:val="HChG"/>
      </w:pPr>
      <w:r w:rsidRPr="00486BC1">
        <w:tab/>
        <w:t>II.</w:t>
      </w:r>
      <w:r w:rsidRPr="00486BC1">
        <w:tab/>
        <w:t>Justification</w:t>
      </w:r>
    </w:p>
    <w:p w:rsidR="00F0225A" w:rsidRPr="00486BC1" w:rsidRDefault="00F0225A" w:rsidP="0029025A">
      <w:pPr>
        <w:pStyle w:val="SingleTxtG"/>
        <w:spacing w:after="240"/>
      </w:pPr>
      <w:r w:rsidRPr="00486BC1">
        <w:t>1.</w:t>
      </w:r>
      <w:r w:rsidRPr="00486BC1">
        <w:tab/>
        <w:t xml:space="preserve">L’IMMA a présenté une nouvelle version de la définition des roues jumelées telle que proposée dans le document ECE/TRANS/WP.29/GRSG/2015/30 (sur lequel le GRSG n’a pas émis d’avis définitif), afin de permettre le montage de </w:t>
      </w:r>
      <w:r w:rsidR="0029025A">
        <w:t>« </w:t>
      </w:r>
      <w:r w:rsidRPr="00486BC1">
        <w:t>roues jumelées</w:t>
      </w:r>
      <w:r w:rsidR="0029025A">
        <w:t> »</w:t>
      </w:r>
      <w:r w:rsidRPr="00486BC1">
        <w:t xml:space="preserve"> sur tous les véhicules de la catégorie 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118"/>
      </w:tblGrid>
      <w:tr w:rsidR="00F0225A" w:rsidRPr="00486BC1" w:rsidTr="00CB440D">
        <w:trPr>
          <w:jc w:val="center"/>
        </w:trPr>
        <w:tc>
          <w:tcPr>
            <w:tcW w:w="2977" w:type="dxa"/>
          </w:tcPr>
          <w:p w:rsidR="00F0225A" w:rsidRPr="00486BC1" w:rsidRDefault="00F0225A" w:rsidP="0029025A">
            <w:pPr>
              <w:rPr>
                <w:position w:val="-1"/>
              </w:rPr>
            </w:pPr>
            <w:r w:rsidRPr="00486BC1">
              <w:rPr>
                <w:noProof/>
                <w:lang w:eastAsia="fr-CH"/>
              </w:rPr>
              <w:drawing>
                <wp:inline distT="0" distB="0" distL="0" distR="0" wp14:anchorId="7C661DDD" wp14:editId="7494AE87">
                  <wp:extent cx="1824041" cy="1455725"/>
                  <wp:effectExtent l="0" t="0" r="508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444" cy="1453652"/>
                          </a:xfrm>
                          <a:prstGeom prst="rect">
                            <a:avLst/>
                          </a:prstGeom>
                          <a:noFill/>
                          <a:ln>
                            <a:noFill/>
                          </a:ln>
                        </pic:spPr>
                      </pic:pic>
                    </a:graphicData>
                  </a:graphic>
                </wp:inline>
              </w:drawing>
            </w:r>
          </w:p>
        </w:tc>
        <w:tc>
          <w:tcPr>
            <w:tcW w:w="3118" w:type="dxa"/>
          </w:tcPr>
          <w:p w:rsidR="00F0225A" w:rsidRPr="00486BC1" w:rsidRDefault="00F0225A" w:rsidP="0029025A">
            <w:pPr>
              <w:rPr>
                <w:position w:val="-1"/>
              </w:rPr>
            </w:pPr>
            <w:r w:rsidRPr="00486BC1">
              <w:rPr>
                <w:noProof/>
                <w:lang w:eastAsia="fr-CH"/>
              </w:rPr>
              <w:drawing>
                <wp:inline distT="0" distB="0" distL="0" distR="0" wp14:anchorId="06F86C01" wp14:editId="035418B1">
                  <wp:extent cx="1711757" cy="1457188"/>
                  <wp:effectExtent l="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811" cy="1458085"/>
                          </a:xfrm>
                          <a:prstGeom prst="rect">
                            <a:avLst/>
                          </a:prstGeom>
                          <a:noFill/>
                          <a:ln>
                            <a:noFill/>
                          </a:ln>
                        </pic:spPr>
                      </pic:pic>
                    </a:graphicData>
                  </a:graphic>
                </wp:inline>
              </w:drawing>
            </w:r>
          </w:p>
        </w:tc>
      </w:tr>
    </w:tbl>
    <w:p w:rsidR="00F0225A" w:rsidRPr="00486BC1" w:rsidRDefault="00F0225A" w:rsidP="0029025A">
      <w:pPr>
        <w:pStyle w:val="SingleTxtG"/>
        <w:keepNext/>
        <w:spacing w:before="240"/>
      </w:pPr>
      <w:r w:rsidRPr="00486BC1">
        <w:t>2.</w:t>
      </w:r>
      <w:r w:rsidRPr="00486BC1">
        <w:tab/>
        <w:t>La proposition vise à harmoniser les définitions de la R.E.3 avec celles</w:t>
      </w:r>
      <w:r w:rsidR="0029025A">
        <w:t> </w:t>
      </w:r>
      <w:r w:rsidRPr="00486BC1">
        <w:t>:</w:t>
      </w:r>
    </w:p>
    <w:p w:rsidR="00F0225A" w:rsidRPr="00486BC1" w:rsidRDefault="00F0225A" w:rsidP="00CB440D">
      <w:pPr>
        <w:pStyle w:val="SingleTxtG"/>
        <w:ind w:left="2268" w:hanging="567"/>
      </w:pPr>
      <w:r w:rsidRPr="00486BC1">
        <w:t>a)</w:t>
      </w:r>
      <w:r w:rsidR="00CB440D">
        <w:tab/>
      </w:r>
      <w:r w:rsidRPr="00486BC1">
        <w:t>De l’Europe (réception par type de l’ensemble du véhicule, règlement de l’Union européenne, n</w:t>
      </w:r>
      <w:r w:rsidR="00CB440D" w:rsidRPr="00CB440D">
        <w:rPr>
          <w:vertAlign w:val="superscript"/>
        </w:rPr>
        <w:t>o</w:t>
      </w:r>
      <w:r w:rsidR="00CB440D">
        <w:t> </w:t>
      </w:r>
      <w:r w:rsidRPr="00486BC1">
        <w:t>168/2013, art</w:t>
      </w:r>
      <w:r w:rsidR="00CB440D">
        <w:t>. </w:t>
      </w:r>
      <w:r w:rsidRPr="00486BC1">
        <w:t>3 à 72)</w:t>
      </w:r>
      <w:r w:rsidR="00CB440D">
        <w:t> </w:t>
      </w:r>
      <w:r w:rsidRPr="00486BC1">
        <w:t>;</w:t>
      </w:r>
    </w:p>
    <w:p w:rsidR="00F0225A" w:rsidRPr="00486BC1" w:rsidRDefault="00F0225A" w:rsidP="00CB440D">
      <w:pPr>
        <w:pStyle w:val="SingleTxtG"/>
        <w:ind w:left="2268" w:hanging="567"/>
      </w:pPr>
      <w:r w:rsidRPr="00486BC1">
        <w:t>b)</w:t>
      </w:r>
      <w:r w:rsidR="00CB440D">
        <w:tab/>
      </w:r>
      <w:r w:rsidRPr="00486BC1">
        <w:t>De l’Australie (Australian Design Rules (ADR), PARTIE B)</w:t>
      </w:r>
      <w:r w:rsidR="00CB440D">
        <w:t> </w:t>
      </w:r>
      <w:r w:rsidRPr="00486BC1">
        <w:t xml:space="preserve">; </w:t>
      </w:r>
    </w:p>
    <w:p w:rsidR="00F0225A" w:rsidRPr="00486BC1" w:rsidRDefault="00F0225A" w:rsidP="00CB440D">
      <w:pPr>
        <w:pStyle w:val="SingleTxtG"/>
        <w:ind w:left="2268" w:hanging="567"/>
      </w:pPr>
      <w:r w:rsidRPr="00486BC1">
        <w:t>c)</w:t>
      </w:r>
      <w:r w:rsidR="00CB440D">
        <w:tab/>
      </w:r>
      <w:r w:rsidRPr="00486BC1">
        <w:t>Du Japon (loi sur les véhicules de transport routier, 2009.10.24).</w:t>
      </w:r>
    </w:p>
    <w:p w:rsidR="00F0225A" w:rsidRPr="00486BC1" w:rsidRDefault="00F0225A" w:rsidP="00CB440D">
      <w:pPr>
        <w:pStyle w:val="SingleTxtG"/>
        <w:ind w:left="2268" w:hanging="567"/>
      </w:pPr>
      <w:r w:rsidRPr="00486BC1">
        <w:t>Nota</w:t>
      </w:r>
      <w:r w:rsidR="00CB440D">
        <w:t> </w:t>
      </w:r>
      <w:r w:rsidRPr="00486BC1">
        <w:t>:</w:t>
      </w:r>
      <w:r w:rsidRPr="00486BC1">
        <w:tab/>
        <w:t xml:space="preserve">Aux États-Unis d’Amérique, le Piaggio MP3 correspond à la définition du terme </w:t>
      </w:r>
      <w:r w:rsidR="00B607D9">
        <w:t>« </w:t>
      </w:r>
      <w:r w:rsidRPr="00486BC1">
        <w:t>motocyclette</w:t>
      </w:r>
      <w:r w:rsidR="00B607D9">
        <w:t> »</w:t>
      </w:r>
      <w:r w:rsidRPr="00486BC1">
        <w:t xml:space="preserve"> selon le règlement du Ministère des transports des États-Unis </w:t>
      </w:r>
      <w:r w:rsidR="008D3E16">
        <w:t>(</w:t>
      </w:r>
      <w:r w:rsidRPr="00486BC1">
        <w:t xml:space="preserve">le terme </w:t>
      </w:r>
      <w:r w:rsidR="00B607D9">
        <w:t>« </w:t>
      </w:r>
      <w:r w:rsidRPr="00486BC1">
        <w:t>motocyclette</w:t>
      </w:r>
      <w:r w:rsidR="00B607D9">
        <w:t> »</w:t>
      </w:r>
      <w:r w:rsidRPr="00486BC1">
        <w:t xml:space="preserve"> désigne un véhicule à moteur équipé d’un siège ou d’une selle à l’usage du conducteur et conçu pour circuler sur trois roues au plus (disposition 49 du recueil des règlements fédéraux, partie</w:t>
      </w:r>
      <w:r w:rsidR="00B607D9">
        <w:t> </w:t>
      </w:r>
      <w:r w:rsidRPr="00486BC1">
        <w:t>571)</w:t>
      </w:r>
      <w:r w:rsidR="008D3E16">
        <w:t>)</w:t>
      </w:r>
      <w:r w:rsidRPr="00486BC1">
        <w:t xml:space="preserve"> et selon la législation de presque chaque État.</w:t>
      </w:r>
    </w:p>
    <w:p w:rsidR="00F0225A" w:rsidRPr="00486BC1" w:rsidRDefault="00F0225A" w:rsidP="0084625A">
      <w:pPr>
        <w:pStyle w:val="SingleTxtG"/>
      </w:pPr>
      <w:r w:rsidRPr="00486BC1">
        <w:lastRenderedPageBreak/>
        <w:t>3.</w:t>
      </w:r>
      <w:r w:rsidRPr="00486BC1">
        <w:tab/>
        <w:t>Dans certains pays appliquant les Règlements ONU et dont le cadre régional ou national tel que visé au point</w:t>
      </w:r>
      <w:r w:rsidR="0084625A">
        <w:t> </w:t>
      </w:r>
      <w:r w:rsidRPr="00486BC1">
        <w:t xml:space="preserve">2 ne comporte pas de définition des </w:t>
      </w:r>
      <w:r w:rsidR="0084625A">
        <w:t>« </w:t>
      </w:r>
      <w:r w:rsidRPr="00486BC1">
        <w:t>roues jumelées</w:t>
      </w:r>
      <w:r w:rsidR="0084625A">
        <w:t> »</w:t>
      </w:r>
      <w:r w:rsidRPr="00486BC1">
        <w:t>, et où des véhicules à trois roues tels que le Piaggio MP3 et le Yamaha Tricity sont sur le marché, ces véhicules ne peuvent être classés que dans la catégorie</w:t>
      </w:r>
      <w:r w:rsidRPr="00486BC1">
        <w:rPr>
          <w:vertAlign w:val="subscript"/>
        </w:rPr>
        <w:t xml:space="preserve"> </w:t>
      </w:r>
      <w:r w:rsidRPr="00486BC1">
        <w:t>L</w:t>
      </w:r>
      <w:r w:rsidRPr="00486BC1">
        <w:rPr>
          <w:vertAlign w:val="subscript"/>
        </w:rPr>
        <w:t>5</w:t>
      </w:r>
      <w:r w:rsidRPr="00486BC1">
        <w:t xml:space="preserve"> (Véhicules à trois</w:t>
      </w:r>
      <w:r w:rsidR="00543B8C">
        <w:t xml:space="preserve"> </w:t>
      </w:r>
      <w:r w:rsidRPr="00486BC1">
        <w:t xml:space="preserve">roues). Cela change beaucoup de choses en ce qui concerne les prescriptions applicables aux véhicules et les spécifications desdits véhicules (par exemple, le frein de stationnement), d’où la nécessité de mettre à jour la R.E.3 en donnant une définition des </w:t>
      </w:r>
      <w:r w:rsidR="0084625A">
        <w:t>« </w:t>
      </w:r>
      <w:r w:rsidRPr="00486BC1">
        <w:t>roues jumelées</w:t>
      </w:r>
      <w:r w:rsidR="0084625A">
        <w:t> »</w:t>
      </w:r>
      <w:r w:rsidRPr="00486BC1">
        <w:t xml:space="preserve"> dans une perspective d’harmonisation. </w:t>
      </w:r>
    </w:p>
    <w:p w:rsidR="00F0225A" w:rsidRPr="00486BC1" w:rsidRDefault="00F0225A" w:rsidP="0084625A">
      <w:pPr>
        <w:pStyle w:val="SingleTxtG"/>
      </w:pPr>
      <w:r w:rsidRPr="00486BC1">
        <w:t>4.</w:t>
      </w:r>
      <w:r w:rsidRPr="00486BC1">
        <w:tab/>
        <w:t xml:space="preserve">Cette proposition permettrait d’équiper toutes les catégories de véhicules de type </w:t>
      </w:r>
      <w:r w:rsidR="0084625A">
        <w:t>« </w:t>
      </w:r>
      <w:r w:rsidRPr="00486BC1">
        <w:t>L</w:t>
      </w:r>
      <w:r w:rsidR="0084625A">
        <w:t> »</w:t>
      </w:r>
      <w:r w:rsidRPr="00486BC1">
        <w:t xml:space="preserve"> de </w:t>
      </w:r>
      <w:r w:rsidR="0084625A">
        <w:t>« </w:t>
      </w:r>
      <w:r w:rsidRPr="00486BC1">
        <w:t>roues jumelées</w:t>
      </w:r>
      <w:r w:rsidR="0084625A">
        <w:t> »</w:t>
      </w:r>
      <w:r w:rsidRPr="00486BC1">
        <w:t xml:space="preserve">. Il est précisé que lorsque des </w:t>
      </w:r>
      <w:r w:rsidR="0084625A">
        <w:t>« </w:t>
      </w:r>
      <w:r w:rsidRPr="00486BC1">
        <w:t>roues jumelées</w:t>
      </w:r>
      <w:r w:rsidR="0084625A">
        <w:t> »</w:t>
      </w:r>
      <w:r w:rsidRPr="00486BC1">
        <w:t xml:space="preserve"> équipent des véhicules L</w:t>
      </w:r>
      <w:r w:rsidRPr="00486BC1">
        <w:rPr>
          <w:vertAlign w:val="subscript"/>
        </w:rPr>
        <w:t>1</w:t>
      </w:r>
      <w:r w:rsidRPr="00486BC1">
        <w:t xml:space="preserve"> et</w:t>
      </w:r>
      <w:r w:rsidRPr="00486BC1">
        <w:rPr>
          <w:vertAlign w:val="subscript"/>
        </w:rPr>
        <w:t xml:space="preserve"> </w:t>
      </w:r>
      <w:r w:rsidRPr="00486BC1">
        <w:t>L</w:t>
      </w:r>
      <w:r w:rsidRPr="00486BC1">
        <w:rPr>
          <w:vertAlign w:val="subscript"/>
        </w:rPr>
        <w:t>3</w:t>
      </w:r>
      <w:r w:rsidRPr="00486BC1">
        <w:t>, ces véhicules doivent s’incliner dans les virages. Pour les autres véhicules de la catégorie L, cela n’est pas exigé.</w:t>
      </w:r>
    </w:p>
    <w:p w:rsidR="00F0225A" w:rsidRPr="00486BC1" w:rsidRDefault="00F0225A" w:rsidP="0084625A">
      <w:pPr>
        <w:pStyle w:val="SingleTxtG"/>
        <w:keepNext/>
      </w:pPr>
      <w:r w:rsidRPr="00486BC1">
        <w:t>5.</w:t>
      </w:r>
      <w:r w:rsidRPr="00486BC1">
        <w:tab/>
        <w:t>Informations complémentaires</w:t>
      </w:r>
      <w:r w:rsidR="0084625A">
        <w:t> </w:t>
      </w:r>
      <w:r w:rsidRPr="00486BC1">
        <w:t>:</w:t>
      </w:r>
    </w:p>
    <w:p w:rsidR="00F0225A" w:rsidRPr="00486BC1" w:rsidRDefault="00F0225A" w:rsidP="0084625A">
      <w:pPr>
        <w:pStyle w:val="SingleTxtG"/>
        <w:ind w:left="2268" w:hanging="567"/>
      </w:pPr>
      <w:r w:rsidRPr="00486BC1">
        <w:t>a)</w:t>
      </w:r>
      <w:r w:rsidRPr="00486BC1">
        <w:tab/>
        <w:t>2008-32-0061 (SAE)/20084761 (JSAE) Comparison Between Experimental and Numerical Handling Tests for a Three-Wheeled Motorcycle (comparaison d’essais de manœuvrabilité et de simulations informatiques pour un motocycle à trois roues)</w:t>
      </w:r>
      <w:r w:rsidRPr="00486BC1" w:rsidDel="006F1023">
        <w:t xml:space="preserve"> </w:t>
      </w:r>
      <w:r w:rsidRPr="00486BC1">
        <w:t>Ce document examine la manœuvrabilité du scooter à trois roues Piaggio MP3 en s’appuyant sur des essais expérimentaux et des simulations. L’analyse des résultats et des expériences précédentes confirme que le véhicule étudié se conduit de façon très semblable à un deux-roues normal.</w:t>
      </w:r>
    </w:p>
    <w:p w:rsidR="00F0225A" w:rsidRPr="00486BC1" w:rsidRDefault="00F0225A" w:rsidP="0084625A">
      <w:pPr>
        <w:pStyle w:val="SingleTxtG"/>
        <w:ind w:left="2268" w:hanging="567"/>
      </w:pPr>
      <w:r w:rsidRPr="00486BC1">
        <w:t>b)</w:t>
      </w:r>
      <w:r w:rsidRPr="00486BC1">
        <w:tab/>
        <w:t>Public comments regarding the Amendment of the Road transport Regulation in Japan (Observations relatives à la modification du Règlement relatif au transport routier au Japon) : un groupe de 19</w:t>
      </w:r>
      <w:r w:rsidR="0084625A">
        <w:t> </w:t>
      </w:r>
      <w:r w:rsidRPr="00486BC1">
        <w:t>personnes composé d’examinateurs du permis de conduire et de policiers motocyclistes a essayé un véhicule à «</w:t>
      </w:r>
      <w:r w:rsidR="0084625A">
        <w:t> </w:t>
      </w:r>
      <w:r w:rsidRPr="00486BC1">
        <w:t>roues jumelées</w:t>
      </w:r>
      <w:r w:rsidR="0084625A">
        <w:t> </w:t>
      </w:r>
      <w:r w:rsidRPr="00486BC1">
        <w:t>» et est arrivé à la conclusion que ce véhicule était identique ou presque à un véhicule à moteur à deux roues.</w:t>
      </w:r>
    </w:p>
    <w:p w:rsidR="00F0225A" w:rsidRDefault="00F0225A" w:rsidP="0084625A">
      <w:pPr>
        <w:pStyle w:val="SingleTxtG"/>
        <w:ind w:left="2268" w:hanging="567"/>
      </w:pPr>
      <w:r w:rsidRPr="00486BC1">
        <w:t>c)</w:t>
      </w:r>
      <w:r w:rsidRPr="00486BC1">
        <w:tab/>
        <w:t xml:space="preserve">Piaggio a lancé le MP3 aux États-Unis d’Amérique en 2006. Ce véhicule à moteur possède deux roues avant à suspensions indépendantes </w:t>
      </w:r>
      <w:r w:rsidR="0084625A">
        <w:t>− </w:t>
      </w:r>
      <w:r w:rsidRPr="00486BC1">
        <w:t>dont les centres des surfaces de contact des pneumatiques avec le sol sont distants de 420</w:t>
      </w:r>
      <w:r w:rsidR="0084625A">
        <w:t> </w:t>
      </w:r>
      <w:r w:rsidRPr="00486BC1">
        <w:t>mm (16,5</w:t>
      </w:r>
      <w:r w:rsidR="0084625A">
        <w:t> </w:t>
      </w:r>
      <w:r w:rsidRPr="00486BC1">
        <w:t>pouces)</w:t>
      </w:r>
      <w:r w:rsidR="0084625A">
        <w:t> −</w:t>
      </w:r>
      <w:r w:rsidRPr="00486BC1">
        <w:t xml:space="preserve"> et une seule roue arrière. La Motorcycle Safety Foundation a mis ce véhicule à l’essai et conclu que le MP3 devait être considéré comme un motocycle à deux roues.</w:t>
      </w:r>
    </w:p>
    <w:p w:rsidR="00FC5D68" w:rsidRPr="00FC5D68" w:rsidRDefault="00FC5D68" w:rsidP="00FC5D68">
      <w:pPr>
        <w:pStyle w:val="SingleTxtG"/>
        <w:spacing w:before="240" w:after="0"/>
        <w:jc w:val="center"/>
        <w:rPr>
          <w:u w:val="single"/>
        </w:rPr>
      </w:pPr>
      <w:r>
        <w:rPr>
          <w:u w:val="single"/>
        </w:rPr>
        <w:tab/>
      </w:r>
      <w:r>
        <w:rPr>
          <w:u w:val="single"/>
        </w:rPr>
        <w:tab/>
      </w:r>
      <w:r>
        <w:rPr>
          <w:u w:val="single"/>
        </w:rPr>
        <w:tab/>
      </w:r>
    </w:p>
    <w:sectPr w:rsidR="00FC5D68" w:rsidRPr="00FC5D68" w:rsidSect="0095083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9C6" w:rsidRDefault="00E519C6" w:rsidP="00F95C08">
      <w:pPr>
        <w:spacing w:line="240" w:lineRule="auto"/>
      </w:pPr>
    </w:p>
  </w:endnote>
  <w:endnote w:type="continuationSeparator" w:id="0">
    <w:p w:rsidR="00E519C6" w:rsidRPr="00AC3823" w:rsidRDefault="00E519C6" w:rsidP="00AC3823">
      <w:pPr>
        <w:pStyle w:val="Footer"/>
      </w:pPr>
    </w:p>
  </w:endnote>
  <w:endnote w:type="continuationNotice" w:id="1">
    <w:p w:rsidR="00E519C6" w:rsidRDefault="00E519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33" w:rsidRPr="00950833" w:rsidRDefault="00950833" w:rsidP="00950833">
    <w:pPr>
      <w:pStyle w:val="Footer"/>
      <w:tabs>
        <w:tab w:val="right" w:pos="9638"/>
      </w:tabs>
    </w:pPr>
    <w:r w:rsidRPr="00950833">
      <w:rPr>
        <w:b/>
        <w:sz w:val="18"/>
      </w:rPr>
      <w:fldChar w:fldCharType="begin"/>
    </w:r>
    <w:r w:rsidRPr="00950833">
      <w:rPr>
        <w:b/>
        <w:sz w:val="18"/>
      </w:rPr>
      <w:instrText xml:space="preserve"> PAGE  \* MERGEFORMAT </w:instrText>
    </w:r>
    <w:r w:rsidRPr="00950833">
      <w:rPr>
        <w:b/>
        <w:sz w:val="18"/>
      </w:rPr>
      <w:fldChar w:fldCharType="separate"/>
    </w:r>
    <w:r w:rsidRPr="00950833">
      <w:rPr>
        <w:b/>
        <w:noProof/>
        <w:sz w:val="18"/>
      </w:rPr>
      <w:t>2</w:t>
    </w:r>
    <w:r w:rsidRPr="00950833">
      <w:rPr>
        <w:b/>
        <w:sz w:val="18"/>
      </w:rPr>
      <w:fldChar w:fldCharType="end"/>
    </w:r>
    <w:r>
      <w:rPr>
        <w:b/>
        <w:sz w:val="18"/>
      </w:rPr>
      <w:tab/>
    </w:r>
    <w:r>
      <w:t>GE.19-00239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33" w:rsidRPr="00950833" w:rsidRDefault="00950833" w:rsidP="00950833">
    <w:pPr>
      <w:pStyle w:val="Footer"/>
      <w:tabs>
        <w:tab w:val="right" w:pos="9638"/>
      </w:tabs>
      <w:rPr>
        <w:b/>
        <w:sz w:val="18"/>
      </w:rPr>
    </w:pPr>
    <w:r>
      <w:t>GE.19-00239</w:t>
    </w:r>
    <w:r>
      <w:tab/>
    </w:r>
    <w:r w:rsidRPr="00950833">
      <w:rPr>
        <w:b/>
        <w:sz w:val="18"/>
      </w:rPr>
      <w:fldChar w:fldCharType="begin"/>
    </w:r>
    <w:r w:rsidRPr="00950833">
      <w:rPr>
        <w:b/>
        <w:sz w:val="18"/>
      </w:rPr>
      <w:instrText xml:space="preserve"> PAGE  \* MERGEFORMAT </w:instrText>
    </w:r>
    <w:r w:rsidRPr="00950833">
      <w:rPr>
        <w:b/>
        <w:sz w:val="18"/>
      </w:rPr>
      <w:fldChar w:fldCharType="separate"/>
    </w:r>
    <w:r w:rsidRPr="00950833">
      <w:rPr>
        <w:b/>
        <w:noProof/>
        <w:sz w:val="18"/>
      </w:rPr>
      <w:t>3</w:t>
    </w:r>
    <w:r w:rsidRPr="009508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50833" w:rsidRDefault="00950833" w:rsidP="0095083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19-00239  (F)    080219    150219</w:t>
    </w:r>
    <w:r>
      <w:rPr>
        <w:sz w:val="20"/>
      </w:rPr>
      <w:br/>
    </w:r>
    <w:r w:rsidRPr="00950833">
      <w:rPr>
        <w:rFonts w:ascii="C39T30Lfz" w:hAnsi="C39T30Lfz"/>
        <w:sz w:val="56"/>
      </w:rPr>
      <w:t></w:t>
    </w:r>
    <w:r w:rsidRPr="00950833">
      <w:rPr>
        <w:rFonts w:ascii="C39T30Lfz" w:hAnsi="C39T30Lfz"/>
        <w:sz w:val="56"/>
      </w:rPr>
      <w:t></w:t>
    </w:r>
    <w:r w:rsidRPr="00950833">
      <w:rPr>
        <w:rFonts w:ascii="C39T30Lfz" w:hAnsi="C39T30Lfz"/>
        <w:sz w:val="56"/>
      </w:rPr>
      <w:t></w:t>
    </w:r>
    <w:r w:rsidRPr="00950833">
      <w:rPr>
        <w:rFonts w:ascii="C39T30Lfz" w:hAnsi="C39T30Lfz"/>
        <w:sz w:val="56"/>
      </w:rPr>
      <w:t></w:t>
    </w:r>
    <w:r w:rsidRPr="00950833">
      <w:rPr>
        <w:rFonts w:ascii="C39T30Lfz" w:hAnsi="C39T30Lfz"/>
        <w:sz w:val="56"/>
      </w:rPr>
      <w:t></w:t>
    </w:r>
    <w:r w:rsidRPr="00950833">
      <w:rPr>
        <w:rFonts w:ascii="C39T30Lfz" w:hAnsi="C39T30Lfz"/>
        <w:sz w:val="56"/>
      </w:rPr>
      <w:t></w:t>
    </w:r>
    <w:r w:rsidRPr="00950833">
      <w:rPr>
        <w:rFonts w:ascii="C39T30Lfz" w:hAnsi="C39T30Lfz"/>
        <w:sz w:val="56"/>
      </w:rPr>
      <w:t></w:t>
    </w:r>
    <w:r w:rsidRPr="00950833">
      <w:rPr>
        <w:rFonts w:ascii="C39T30Lfz" w:hAnsi="C39T30Lfz"/>
        <w:sz w:val="56"/>
      </w:rPr>
      <w:t></w:t>
    </w:r>
    <w:r w:rsidRPr="0095083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9C6" w:rsidRPr="00AC3823" w:rsidRDefault="00E519C6" w:rsidP="00AC3823">
      <w:pPr>
        <w:pStyle w:val="Footer"/>
        <w:tabs>
          <w:tab w:val="right" w:pos="2155"/>
        </w:tabs>
        <w:spacing w:after="80" w:line="240" w:lineRule="atLeast"/>
        <w:ind w:left="680"/>
        <w:rPr>
          <w:u w:val="single"/>
        </w:rPr>
      </w:pPr>
      <w:r>
        <w:rPr>
          <w:u w:val="single"/>
        </w:rPr>
        <w:tab/>
      </w:r>
    </w:p>
  </w:footnote>
  <w:footnote w:type="continuationSeparator" w:id="0">
    <w:p w:rsidR="00E519C6" w:rsidRPr="00AC3823" w:rsidRDefault="00E519C6" w:rsidP="00AC3823">
      <w:pPr>
        <w:pStyle w:val="Footer"/>
        <w:tabs>
          <w:tab w:val="right" w:pos="2155"/>
        </w:tabs>
        <w:spacing w:after="80" w:line="240" w:lineRule="atLeast"/>
        <w:ind w:left="680"/>
        <w:rPr>
          <w:u w:val="single"/>
        </w:rPr>
      </w:pPr>
      <w:r>
        <w:rPr>
          <w:u w:val="single"/>
        </w:rPr>
        <w:tab/>
      </w:r>
    </w:p>
  </w:footnote>
  <w:footnote w:type="continuationNotice" w:id="1">
    <w:p w:rsidR="00E519C6" w:rsidRPr="00AC3823" w:rsidRDefault="00E519C6">
      <w:pPr>
        <w:spacing w:line="240" w:lineRule="auto"/>
        <w:rPr>
          <w:sz w:val="2"/>
          <w:szCs w:val="2"/>
        </w:rPr>
      </w:pPr>
    </w:p>
  </w:footnote>
  <w:footnote w:id="2">
    <w:p w:rsidR="00C2464F" w:rsidRPr="00C2464F" w:rsidRDefault="00C2464F">
      <w:pPr>
        <w:pStyle w:val="FootnoteText"/>
      </w:pPr>
      <w:r>
        <w:rPr>
          <w:rStyle w:val="FootnoteReference"/>
        </w:rPr>
        <w:tab/>
      </w:r>
      <w:r w:rsidRPr="00C2464F">
        <w:rPr>
          <w:rStyle w:val="FootnoteReference"/>
          <w:sz w:val="20"/>
          <w:vertAlign w:val="baseline"/>
        </w:rPr>
        <w:t>*</w:t>
      </w:r>
      <w:r>
        <w:rPr>
          <w:rStyle w:val="FootnoteReference"/>
          <w:sz w:val="20"/>
          <w:vertAlign w:val="baseline"/>
        </w:rPr>
        <w:tab/>
      </w:r>
      <w:r w:rsidRPr="00AE152C">
        <w:t>Conformément au programme de travail du Comité des transports intérieurs pour la période 2018</w:t>
      </w:r>
      <w:r>
        <w:noBreakHyphen/>
      </w:r>
      <w:r w:rsidRPr="00AE152C">
        <w:t>2019 (ECE/TRANS/274, par.</w:t>
      </w:r>
      <w:r>
        <w:t> </w:t>
      </w:r>
      <w:r w:rsidRPr="00AE152C">
        <w:t>123, et ECE/TRANS/2018/21/Add.1, module 3.1), le Forum mondial a pour mission d’élaborer, d’harmoniser et de mettre à jour les Règlements ONU en vue d’améliorer les caractéristiques fonctionnelles des véhicules.</w:t>
      </w:r>
      <w:r>
        <w:t xml:space="preserve">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33" w:rsidRPr="00950833" w:rsidRDefault="009428E5">
    <w:pPr>
      <w:pStyle w:val="Header"/>
    </w:pPr>
    <w:r>
      <w:fldChar w:fldCharType="begin"/>
    </w:r>
    <w:r>
      <w:instrText xml:space="preserve"> TITLE  \* MERGEFORMAT </w:instrText>
    </w:r>
    <w:r>
      <w:fldChar w:fldCharType="separate"/>
    </w:r>
    <w:r w:rsidR="009175C3">
      <w:t>ECE/TRANS/WP.29/GRSG/2019/8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833" w:rsidRPr="00950833" w:rsidRDefault="009428E5" w:rsidP="00950833">
    <w:pPr>
      <w:pStyle w:val="Header"/>
      <w:jc w:val="right"/>
    </w:pPr>
    <w:r>
      <w:fldChar w:fldCharType="begin"/>
    </w:r>
    <w:r>
      <w:instrText xml:space="preserve"> TITLE  \* MERGEFORMAT </w:instrText>
    </w:r>
    <w:r>
      <w:fldChar w:fldCharType="separate"/>
    </w:r>
    <w:r w:rsidR="009175C3">
      <w:t>ECE/TRANS/WP.29/GRSG/2019/8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C6"/>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9025A"/>
    <w:rsid w:val="002D7C93"/>
    <w:rsid w:val="00305801"/>
    <w:rsid w:val="0038008B"/>
    <w:rsid w:val="003916DE"/>
    <w:rsid w:val="00421996"/>
    <w:rsid w:val="00441C3B"/>
    <w:rsid w:val="00446FE5"/>
    <w:rsid w:val="00452396"/>
    <w:rsid w:val="004837D8"/>
    <w:rsid w:val="004E2EED"/>
    <w:rsid w:val="004E468C"/>
    <w:rsid w:val="00543B8C"/>
    <w:rsid w:val="005505B7"/>
    <w:rsid w:val="00573BE5"/>
    <w:rsid w:val="00586ED3"/>
    <w:rsid w:val="00596AA9"/>
    <w:rsid w:val="006B17B8"/>
    <w:rsid w:val="00701C4C"/>
    <w:rsid w:val="0071601D"/>
    <w:rsid w:val="007A62E6"/>
    <w:rsid w:val="007F20FA"/>
    <w:rsid w:val="0080684C"/>
    <w:rsid w:val="0084625A"/>
    <w:rsid w:val="00871C75"/>
    <w:rsid w:val="008776DC"/>
    <w:rsid w:val="008D3E16"/>
    <w:rsid w:val="008F77C9"/>
    <w:rsid w:val="009175C3"/>
    <w:rsid w:val="009428E5"/>
    <w:rsid w:val="009446C0"/>
    <w:rsid w:val="00950833"/>
    <w:rsid w:val="009705C8"/>
    <w:rsid w:val="009C1CF4"/>
    <w:rsid w:val="009F6B74"/>
    <w:rsid w:val="00A3029F"/>
    <w:rsid w:val="00A30353"/>
    <w:rsid w:val="00AC3823"/>
    <w:rsid w:val="00AE323C"/>
    <w:rsid w:val="00AF0CB5"/>
    <w:rsid w:val="00B00181"/>
    <w:rsid w:val="00B00B0D"/>
    <w:rsid w:val="00B137BA"/>
    <w:rsid w:val="00B45F2E"/>
    <w:rsid w:val="00B607D9"/>
    <w:rsid w:val="00B73840"/>
    <w:rsid w:val="00B765F7"/>
    <w:rsid w:val="00BA0CA9"/>
    <w:rsid w:val="00C02897"/>
    <w:rsid w:val="00C2464F"/>
    <w:rsid w:val="00C97039"/>
    <w:rsid w:val="00CB440D"/>
    <w:rsid w:val="00D1567B"/>
    <w:rsid w:val="00D3439C"/>
    <w:rsid w:val="00D40E83"/>
    <w:rsid w:val="00DB1831"/>
    <w:rsid w:val="00DD3BFD"/>
    <w:rsid w:val="00DF6678"/>
    <w:rsid w:val="00E0299A"/>
    <w:rsid w:val="00E519C6"/>
    <w:rsid w:val="00E7365E"/>
    <w:rsid w:val="00E85C74"/>
    <w:rsid w:val="00EA6547"/>
    <w:rsid w:val="00EF2E22"/>
    <w:rsid w:val="00F0225A"/>
    <w:rsid w:val="00F35BAF"/>
    <w:rsid w:val="00F660DF"/>
    <w:rsid w:val="00F94664"/>
    <w:rsid w:val="00F9573C"/>
    <w:rsid w:val="00F95C08"/>
    <w:rsid w:val="00FB1B26"/>
    <w:rsid w:val="00FC5D6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0645D6-9632-4EBA-AD23-22D16517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ECE/TRANS/WP.29/GRSG/2019/8</vt:lpstr>
      <vt:lpstr>ECE/TRANS/WP.29/GRSG/2019/8</vt:lpstr>
    </vt:vector>
  </TitlesOfParts>
  <Company>DCM</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ECE/TRANS/WP.29/GRSG/2019/8</dc:title>
  <dc:subject/>
  <dc:creator>Christine CHAUTAGNAT</dc:creator>
  <cp:keywords/>
  <cp:lastModifiedBy>Benedicte Boudol</cp:lastModifiedBy>
  <cp:revision>2</cp:revision>
  <cp:lastPrinted>2019-02-15T09:38:00Z</cp:lastPrinted>
  <dcterms:created xsi:type="dcterms:W3CDTF">2019-02-15T13:39:00Z</dcterms:created>
  <dcterms:modified xsi:type="dcterms:W3CDTF">2019-02-15T13:39:00Z</dcterms:modified>
</cp:coreProperties>
</file>