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17E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17E6C" w:rsidP="00317E6C">
            <w:pPr>
              <w:jc w:val="right"/>
            </w:pPr>
            <w:r w:rsidRPr="00317E6C">
              <w:rPr>
                <w:sz w:val="40"/>
              </w:rPr>
              <w:t>ECE</w:t>
            </w:r>
            <w:r>
              <w:t>/TRANS/WP.29/GRSG/2019/11</w:t>
            </w:r>
          </w:p>
        </w:tc>
      </w:tr>
      <w:tr w:rsidR="002D5AAC" w:rsidRPr="00317E6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17E6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17E6C" w:rsidRDefault="00317E6C" w:rsidP="00317E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January 2019</w:t>
            </w:r>
          </w:p>
          <w:p w:rsidR="00317E6C" w:rsidRDefault="00317E6C" w:rsidP="00317E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17E6C" w:rsidRPr="008D53B6" w:rsidRDefault="00317E6C" w:rsidP="00317E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17E6C" w:rsidRDefault="008A37C8" w:rsidP="00317E6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17E6C" w:rsidRPr="00317E6C" w:rsidRDefault="00317E6C" w:rsidP="00317E6C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317E6C">
        <w:rPr>
          <w:sz w:val="28"/>
          <w:szCs w:val="28"/>
        </w:rPr>
        <w:t>Комитет по внутреннему транспорту</w:t>
      </w:r>
    </w:p>
    <w:p w:rsidR="00317E6C" w:rsidRPr="00317E6C" w:rsidRDefault="00317E6C" w:rsidP="00317E6C">
      <w:pPr>
        <w:pStyle w:val="SingleTxtG"/>
        <w:ind w:left="0"/>
        <w:jc w:val="left"/>
        <w:rPr>
          <w:b/>
          <w:sz w:val="24"/>
          <w:szCs w:val="24"/>
        </w:rPr>
      </w:pPr>
      <w:r w:rsidRPr="00317E6C">
        <w:rPr>
          <w:b/>
          <w:bCs/>
          <w:sz w:val="24"/>
          <w:szCs w:val="24"/>
        </w:rPr>
        <w:t>Всемирный форум для согласования правил</w:t>
      </w:r>
      <w:r w:rsidRPr="00317E6C">
        <w:rPr>
          <w:b/>
          <w:bCs/>
          <w:sz w:val="24"/>
          <w:szCs w:val="24"/>
        </w:rPr>
        <w:br/>
        <w:t>в области транспортных средств</w:t>
      </w:r>
    </w:p>
    <w:p w:rsidR="00317E6C" w:rsidRPr="00317E6C" w:rsidRDefault="00317E6C" w:rsidP="00317E6C">
      <w:pPr>
        <w:pStyle w:val="SingleTxtG"/>
        <w:ind w:left="0"/>
        <w:jc w:val="left"/>
        <w:rPr>
          <w:b/>
        </w:rPr>
      </w:pPr>
      <w:r w:rsidRPr="00317E6C">
        <w:rPr>
          <w:b/>
          <w:bCs/>
        </w:rPr>
        <w:t xml:space="preserve">Рабочая группа по общим предписаниям, </w:t>
      </w:r>
      <w:r w:rsidRPr="00317E6C">
        <w:rPr>
          <w:b/>
          <w:bCs/>
        </w:rPr>
        <w:br/>
        <w:t>касающимся безопасности</w:t>
      </w:r>
    </w:p>
    <w:p w:rsidR="00317E6C" w:rsidRPr="00317E6C" w:rsidRDefault="00317E6C" w:rsidP="00317E6C">
      <w:pPr>
        <w:pStyle w:val="SingleTxtG"/>
        <w:spacing w:after="0"/>
        <w:ind w:left="0"/>
        <w:jc w:val="left"/>
        <w:rPr>
          <w:b/>
        </w:rPr>
      </w:pPr>
      <w:r w:rsidRPr="00317E6C">
        <w:rPr>
          <w:b/>
        </w:rPr>
        <w:t xml:space="preserve">116-я </w:t>
      </w:r>
      <w:r w:rsidRPr="00317E6C">
        <w:rPr>
          <w:b/>
          <w:bCs/>
        </w:rPr>
        <w:t>сессия</w:t>
      </w:r>
    </w:p>
    <w:p w:rsidR="00317E6C" w:rsidRPr="00317E6C" w:rsidRDefault="00317E6C" w:rsidP="00317E6C">
      <w:pPr>
        <w:pStyle w:val="SingleTxtG"/>
        <w:spacing w:after="0"/>
        <w:ind w:left="0"/>
        <w:jc w:val="left"/>
      </w:pPr>
      <w:r w:rsidRPr="00317E6C">
        <w:t>Женева, 1–5 апреля 2019 года</w:t>
      </w:r>
    </w:p>
    <w:p w:rsidR="00317E6C" w:rsidRPr="00317E6C" w:rsidRDefault="00317E6C" w:rsidP="00317E6C">
      <w:pPr>
        <w:pStyle w:val="SingleTxtG"/>
        <w:spacing w:after="0"/>
        <w:ind w:left="0"/>
        <w:jc w:val="left"/>
      </w:pPr>
      <w:r w:rsidRPr="00317E6C">
        <w:t>Пункт 3 предварительной повестки дня</w:t>
      </w:r>
    </w:p>
    <w:p w:rsidR="00317E6C" w:rsidRPr="00317E6C" w:rsidRDefault="00317E6C" w:rsidP="00317E6C">
      <w:pPr>
        <w:pStyle w:val="SingleTxtG"/>
        <w:spacing w:after="0"/>
        <w:ind w:left="0"/>
        <w:jc w:val="left"/>
        <w:rPr>
          <w:b/>
        </w:rPr>
      </w:pPr>
      <w:r w:rsidRPr="00317E6C">
        <w:rPr>
          <w:b/>
        </w:rPr>
        <w:t xml:space="preserve">Правила № 26 ООН (наружные выступы </w:t>
      </w:r>
      <w:r>
        <w:rPr>
          <w:b/>
        </w:rPr>
        <w:br/>
      </w:r>
      <w:r w:rsidRPr="00317E6C">
        <w:rPr>
          <w:b/>
        </w:rPr>
        <w:t>пассажирских автомобилей)</w:t>
      </w:r>
    </w:p>
    <w:p w:rsidR="00317E6C" w:rsidRPr="00317E6C" w:rsidRDefault="00317E6C" w:rsidP="00317E6C">
      <w:pPr>
        <w:pStyle w:val="HChG"/>
      </w:pPr>
      <w:r w:rsidRPr="00317E6C">
        <w:tab/>
      </w:r>
      <w:r w:rsidRPr="00317E6C">
        <w:tab/>
        <w:t>Предложение по дополнению 4 к поправкам серии 03 к</w:t>
      </w:r>
      <w:r w:rsidRPr="00317E6C">
        <w:rPr>
          <w:lang w:val="en-GB"/>
        </w:rPr>
        <w:t> </w:t>
      </w:r>
      <w:r w:rsidRPr="00317E6C">
        <w:t>Правилам № 26 ООН (наружные выступы пассажирских автомобилей)</w:t>
      </w:r>
    </w:p>
    <w:p w:rsidR="00317E6C" w:rsidRPr="00317E6C" w:rsidRDefault="00317E6C" w:rsidP="00317E6C">
      <w:pPr>
        <w:pStyle w:val="H1G"/>
        <w:rPr>
          <w:vertAlign w:val="superscript"/>
        </w:rPr>
      </w:pPr>
      <w:r>
        <w:tab/>
      </w:r>
      <w:r>
        <w:tab/>
      </w:r>
      <w:r w:rsidRPr="00317E6C">
        <w:t>Представлено экспертом от Франции</w:t>
      </w:r>
      <w:r w:rsidRPr="00317E6C">
        <w:rPr>
          <w:b w:val="0"/>
          <w:sz w:val="20"/>
        </w:rPr>
        <w:footnoteReference w:customMarkFollows="1" w:id="1"/>
        <w:t>*</w:t>
      </w:r>
    </w:p>
    <w:p w:rsidR="00317E6C" w:rsidRPr="00317E6C" w:rsidRDefault="00317E6C" w:rsidP="00317E6C">
      <w:pPr>
        <w:pStyle w:val="SingleTxtG"/>
      </w:pPr>
      <w:r>
        <w:tab/>
      </w:r>
      <w:r>
        <w:tab/>
      </w:r>
      <w:r w:rsidRPr="00317E6C">
        <w:t xml:space="preserve">Воспроизведенный ниже текст был подготовлен экспертом от Франции в порядке уточнения содержащихся в Правилах № 26 ООН требований, касающихся стеклоочистителей. В его основу положены документы </w:t>
      </w:r>
      <w:r w:rsidRPr="00317E6C">
        <w:rPr>
          <w:lang w:val="en-GB"/>
        </w:rPr>
        <w:t>ECE</w:t>
      </w:r>
      <w:r w:rsidRPr="00317E6C">
        <w:t>/</w:t>
      </w:r>
      <w:r w:rsidRPr="00317E6C">
        <w:rPr>
          <w:lang w:val="en-GB"/>
        </w:rPr>
        <w:t>TRANS</w:t>
      </w:r>
      <w:r w:rsidRPr="00317E6C">
        <w:t>/</w:t>
      </w:r>
      <w:r w:rsidRPr="00317E6C">
        <w:rPr>
          <w:lang w:val="en-GB"/>
        </w:rPr>
        <w:t>WP</w:t>
      </w:r>
      <w:r w:rsidRPr="00317E6C">
        <w:t>.29/</w:t>
      </w:r>
      <w:r w:rsidRPr="00317E6C">
        <w:rPr>
          <w:lang w:val="en-GB"/>
        </w:rPr>
        <w:t>GRSG</w:t>
      </w:r>
      <w:r w:rsidRPr="00317E6C">
        <w:t>/</w:t>
      </w:r>
      <w:r w:rsidR="007A682B">
        <w:br/>
      </w:r>
      <w:r w:rsidRPr="00317E6C">
        <w:t xml:space="preserve">2018/17, </w:t>
      </w:r>
      <w:r w:rsidRPr="00317E6C">
        <w:rPr>
          <w:lang w:val="en-GB"/>
        </w:rPr>
        <w:t>GRSG</w:t>
      </w:r>
      <w:r w:rsidRPr="00317E6C">
        <w:t xml:space="preserve">-115-08 и </w:t>
      </w:r>
      <w:r w:rsidRPr="00317E6C">
        <w:rPr>
          <w:lang w:val="en-GB"/>
        </w:rPr>
        <w:t>GRSG</w:t>
      </w:r>
      <w:r w:rsidRPr="00317E6C">
        <w:t xml:space="preserve">-115-32, представленные на 115-й сессии Рабочей группы по общим предписаниям, касающимся безопасности (GRSG) </w:t>
      </w:r>
      <w:r w:rsidR="007A682B">
        <w:br/>
      </w:r>
      <w:r w:rsidRPr="00317E6C">
        <w:t>(см. доклад </w:t>
      </w:r>
      <w:r w:rsidRPr="00317E6C">
        <w:rPr>
          <w:lang w:val="en-GB"/>
        </w:rPr>
        <w:t>ECE</w:t>
      </w:r>
      <w:r w:rsidRPr="00317E6C">
        <w:t>/</w:t>
      </w:r>
      <w:r w:rsidRPr="00317E6C">
        <w:rPr>
          <w:lang w:val="en-GB"/>
        </w:rPr>
        <w:t>TRANS</w:t>
      </w:r>
      <w:r w:rsidRPr="00317E6C">
        <w:t>/</w:t>
      </w:r>
      <w:r w:rsidRPr="00317E6C">
        <w:rPr>
          <w:lang w:val="en-GB"/>
        </w:rPr>
        <w:t>WP</w:t>
      </w:r>
      <w:r w:rsidRPr="00317E6C">
        <w:t>.29/</w:t>
      </w:r>
      <w:r w:rsidRPr="00317E6C">
        <w:rPr>
          <w:lang w:val="en-GB"/>
        </w:rPr>
        <w:t>GRSG</w:t>
      </w:r>
      <w:r w:rsidRPr="00317E6C">
        <w:t>/94, пункт 12). Изменения к действующему тексту Правил № 26 ООН выделены жирным шрифтом в случае новых положений и зачеркиванием в случае исключенных элементов.</w:t>
      </w:r>
    </w:p>
    <w:p w:rsidR="00317E6C" w:rsidRPr="00317E6C" w:rsidRDefault="00317E6C" w:rsidP="00317E6C">
      <w:pPr>
        <w:pStyle w:val="HChG"/>
      </w:pPr>
      <w:r w:rsidRPr="00317E6C">
        <w:br w:type="page"/>
      </w:r>
      <w:r>
        <w:lastRenderedPageBreak/>
        <w:tab/>
      </w:r>
      <w:r w:rsidRPr="00317E6C">
        <w:rPr>
          <w:lang w:val="en-GB"/>
        </w:rPr>
        <w:t>I</w:t>
      </w:r>
      <w:r w:rsidRPr="00317E6C">
        <w:t>.</w:t>
      </w:r>
      <w:r w:rsidRPr="00317E6C">
        <w:tab/>
        <w:t>Предложение</w:t>
      </w:r>
    </w:p>
    <w:p w:rsidR="00317E6C" w:rsidRPr="00317E6C" w:rsidRDefault="00317E6C" w:rsidP="00317E6C">
      <w:pPr>
        <w:pStyle w:val="SingleTxtG"/>
      </w:pPr>
      <w:r w:rsidRPr="00317E6C">
        <w:rPr>
          <w:i/>
        </w:rPr>
        <w:t>Пункты 6.4–6.4.2</w:t>
      </w:r>
      <w:r w:rsidRPr="00317E6C">
        <w:t xml:space="preserve"> изменить следующим образом:</w:t>
      </w:r>
    </w:p>
    <w:p w:rsidR="00317E6C" w:rsidRPr="00317E6C" w:rsidRDefault="00317E6C" w:rsidP="00317E6C">
      <w:pPr>
        <w:pStyle w:val="SingleTxtG"/>
        <w:tabs>
          <w:tab w:val="left" w:pos="2268"/>
        </w:tabs>
      </w:pPr>
      <w:r>
        <w:t>«</w:t>
      </w:r>
      <w:r w:rsidRPr="00317E6C">
        <w:t>6.4</w:t>
      </w:r>
      <w:r w:rsidRPr="00317E6C">
        <w:tab/>
        <w:t>Стеклоочистители</w:t>
      </w:r>
    </w:p>
    <w:p w:rsidR="00317E6C" w:rsidRPr="00317E6C" w:rsidRDefault="00317E6C" w:rsidP="00317E6C">
      <w:pPr>
        <w:pStyle w:val="SingleTxtG"/>
        <w:tabs>
          <w:tab w:val="left" w:pos="2268"/>
        </w:tabs>
        <w:ind w:left="2268" w:hanging="1134"/>
      </w:pPr>
      <w:r w:rsidRPr="00317E6C">
        <w:t>6.4.1</w:t>
      </w:r>
      <w:r w:rsidRPr="00317E6C">
        <w:tab/>
        <w:t xml:space="preserve">Крепление щеток стеклоочистителя должно быть таким, чтобы ось щеткодержателя </w:t>
      </w:r>
      <w:r w:rsidRPr="00317E6C">
        <w:rPr>
          <w:b/>
          <w:bCs/>
        </w:rPr>
        <w:t>(обозначенная цифрой 1 на рис. 0)</w:t>
      </w:r>
      <w:r w:rsidRPr="00317E6C">
        <w:t xml:space="preserve"> прикрывалась защитным колпачком </w:t>
      </w:r>
      <w:r w:rsidRPr="00317E6C">
        <w:rPr>
          <w:b/>
        </w:rPr>
        <w:t>(</w:t>
      </w:r>
      <w:r w:rsidRPr="00317E6C">
        <w:rPr>
          <w:b/>
          <w:bCs/>
        </w:rPr>
        <w:t>цифра 1.1 на рис. 0</w:t>
      </w:r>
      <w:r w:rsidRPr="00317E6C">
        <w:rPr>
          <w:b/>
        </w:rPr>
        <w:t>)</w:t>
      </w:r>
      <w:r w:rsidRPr="00317E6C">
        <w:t>, имеющим радиус кривизны, отвечающий требованиям пункта 5.4 выше, и минимальную поверхность не менее 150 мм</w:t>
      </w:r>
      <w:r w:rsidRPr="00317E6C">
        <w:rPr>
          <w:vertAlign w:val="superscript"/>
        </w:rPr>
        <w:t>2</w:t>
      </w:r>
      <w:r w:rsidRPr="00317E6C">
        <w:t xml:space="preserve">. </w:t>
      </w:r>
      <w:r w:rsidRPr="00317E6C">
        <w:rPr>
          <w:b/>
        </w:rPr>
        <w:t xml:space="preserve">Элементы держателя (направляющая, основной рычаг и/или другие части, </w:t>
      </w:r>
      <w:r w:rsidRPr="00317E6C">
        <w:rPr>
          <w:b/>
          <w:bCs/>
        </w:rPr>
        <w:t>т.</w:t>
      </w:r>
      <w:r w:rsidR="00395D62">
        <w:rPr>
          <w:b/>
          <w:bCs/>
        </w:rPr>
        <w:t> </w:t>
      </w:r>
      <w:r w:rsidRPr="00317E6C">
        <w:rPr>
          <w:b/>
          <w:bCs/>
        </w:rPr>
        <w:t>е.</w:t>
      </w:r>
      <w:r w:rsidRPr="00317E6C">
        <w:rPr>
          <w:b/>
        </w:rPr>
        <w:t xml:space="preserve"> </w:t>
      </w:r>
      <w:r w:rsidRPr="00317E6C">
        <w:rPr>
          <w:b/>
          <w:bCs/>
        </w:rPr>
        <w:t xml:space="preserve">цифры </w:t>
      </w:r>
      <w:r w:rsidRPr="00317E6C">
        <w:rPr>
          <w:b/>
        </w:rPr>
        <w:t>2, 2.1 и 2.2</w:t>
      </w:r>
      <w:r w:rsidRPr="00317E6C">
        <w:rPr>
          <w:b/>
          <w:bCs/>
        </w:rPr>
        <w:t xml:space="preserve"> на рис. 0</w:t>
      </w:r>
      <w:r w:rsidRPr="00317E6C">
        <w:rPr>
          <w:b/>
        </w:rPr>
        <w:t>) рассчитаны на радиус кривизны, отвечающий требованиям пункта</w:t>
      </w:r>
      <w:r w:rsidR="007A682B">
        <w:rPr>
          <w:b/>
        </w:rPr>
        <w:t> </w:t>
      </w:r>
      <w:r w:rsidRPr="00317E6C">
        <w:rPr>
          <w:b/>
        </w:rPr>
        <w:t xml:space="preserve">5.4 выше. </w:t>
      </w:r>
      <w:r w:rsidRPr="00317E6C">
        <w:t>В случае закругленных покрытий их минимальная выступающая площадь должна составлять 150 мм</w:t>
      </w:r>
      <w:r w:rsidRPr="00317E6C">
        <w:rPr>
          <w:vertAlign w:val="superscript"/>
        </w:rPr>
        <w:t>2</w:t>
      </w:r>
      <w:r w:rsidRPr="00317E6C">
        <w:t>, замеренная на расстоянии не более 6,5 мм от наиболее выступающей точки. Эти требования должны соблюдаться также в отношении стеклоочистителей задних окон и фар.</w:t>
      </w:r>
    </w:p>
    <w:p w:rsidR="00E12C5F" w:rsidRDefault="00317E6C" w:rsidP="00317E6C">
      <w:pPr>
        <w:pStyle w:val="SingleTxtG"/>
        <w:tabs>
          <w:tab w:val="left" w:pos="2268"/>
        </w:tabs>
        <w:ind w:left="2268" w:hanging="1134"/>
      </w:pPr>
      <w:r w:rsidRPr="00317E6C">
        <w:t>6.4.2</w:t>
      </w:r>
      <w:r w:rsidRPr="00317E6C">
        <w:tab/>
        <w:t xml:space="preserve">Положения пункта 5.4 не применяются к щеткам </w:t>
      </w:r>
      <w:r w:rsidRPr="00317E6C">
        <w:rPr>
          <w:b/>
          <w:bCs/>
        </w:rPr>
        <w:t>(цифра 4 на рис.</w:t>
      </w:r>
      <w:r w:rsidRPr="00317E6C">
        <w:rPr>
          <w:b/>
          <w:bCs/>
          <w:lang w:val="en-GB"/>
        </w:rPr>
        <w:t> </w:t>
      </w:r>
      <w:r w:rsidRPr="00317E6C">
        <w:rPr>
          <w:b/>
          <w:bCs/>
        </w:rPr>
        <w:t>0),</w:t>
      </w:r>
      <w:r w:rsidRPr="00317E6C">
        <w:t xml:space="preserve"> </w:t>
      </w:r>
      <w:r w:rsidRPr="00395D62">
        <w:rPr>
          <w:strike/>
        </w:rPr>
        <w:t>или</w:t>
      </w:r>
      <w:r w:rsidR="00023568">
        <w:rPr>
          <w:strike/>
        </w:rPr>
        <w:t> </w:t>
      </w:r>
      <w:r w:rsidRPr="00395D62">
        <w:rPr>
          <w:strike/>
        </w:rPr>
        <w:t>любым</w:t>
      </w:r>
      <w:r w:rsidRPr="00317E6C">
        <w:t xml:space="preserve"> опорным деталям </w:t>
      </w:r>
      <w:r w:rsidRPr="00317E6C">
        <w:rPr>
          <w:b/>
        </w:rPr>
        <w:t xml:space="preserve">(цифры 3 </w:t>
      </w:r>
      <w:r w:rsidRPr="00317E6C">
        <w:rPr>
          <w:b/>
          <w:bCs/>
        </w:rPr>
        <w:t>на рис. 0</w:t>
      </w:r>
      <w:r w:rsidRPr="00317E6C">
        <w:rPr>
          <w:b/>
        </w:rPr>
        <w:t>) или функциональному шарниру между направляющей держателя и рычагом держателя</w:t>
      </w:r>
      <w:r w:rsidRPr="00317E6C">
        <w:t>. Однако эти элементы не должны иметь острых углов и остроконечных или режущих частей.</w:t>
      </w:r>
    </w:p>
    <w:p w:rsidR="00317E6C" w:rsidRPr="00317E6C" w:rsidRDefault="00317E6C" w:rsidP="00317E6C">
      <w:pPr>
        <w:pStyle w:val="H23G"/>
      </w:pPr>
      <w:r>
        <w:tab/>
      </w:r>
      <w:r>
        <w:tab/>
      </w:r>
      <w:r w:rsidRPr="00317E6C">
        <w:t>Рис. 0</w:t>
      </w:r>
      <w:r>
        <w:br/>
      </w:r>
      <w:r w:rsidRPr="00317E6C">
        <w:t>Примерное распределение элементов</w:t>
      </w:r>
    </w:p>
    <w:p w:rsidR="00317E6C" w:rsidRPr="00317E6C" w:rsidRDefault="00317E6C" w:rsidP="00317E6C">
      <w:pPr>
        <w:pStyle w:val="SingleTxtG"/>
        <w:rPr>
          <w:bCs/>
        </w:rPr>
      </w:pPr>
      <w:r w:rsidRPr="00317E6C">
        <w:rPr>
          <w:noProof/>
        </w:rPr>
        <w:drawing>
          <wp:inline distT="0" distB="0" distL="0" distR="0" wp14:anchorId="71AC7E87" wp14:editId="017EEF7E">
            <wp:extent cx="4774019" cy="2694827"/>
            <wp:effectExtent l="0" t="0" r="762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697" cy="269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6C" w:rsidRPr="00317E6C" w:rsidRDefault="00317E6C" w:rsidP="00317E6C">
      <w:pPr>
        <w:pStyle w:val="SingleTxtG"/>
        <w:spacing w:after="0" w:line="240" w:lineRule="exact"/>
        <w:ind w:left="2268"/>
        <w:rPr>
          <w:b/>
        </w:rPr>
      </w:pPr>
      <w:r w:rsidRPr="00317E6C">
        <w:rPr>
          <w:b/>
        </w:rPr>
        <w:t>1 – ось щеткодержателя</w:t>
      </w:r>
    </w:p>
    <w:p w:rsidR="00317E6C" w:rsidRPr="00317E6C" w:rsidRDefault="00317E6C" w:rsidP="00317E6C">
      <w:pPr>
        <w:pStyle w:val="SingleTxtG"/>
        <w:spacing w:after="0" w:line="240" w:lineRule="exact"/>
        <w:ind w:left="2268"/>
        <w:rPr>
          <w:b/>
        </w:rPr>
      </w:pPr>
      <w:r w:rsidRPr="00317E6C">
        <w:rPr>
          <w:b/>
        </w:rPr>
        <w:t>1.1 – защитный колпачок</w:t>
      </w:r>
    </w:p>
    <w:p w:rsidR="00317E6C" w:rsidRPr="00317E6C" w:rsidRDefault="00317E6C" w:rsidP="00317E6C">
      <w:pPr>
        <w:pStyle w:val="SingleTxtG"/>
        <w:spacing w:after="0" w:line="240" w:lineRule="exact"/>
        <w:ind w:left="2268"/>
        <w:rPr>
          <w:b/>
        </w:rPr>
      </w:pPr>
      <w:r w:rsidRPr="00317E6C">
        <w:rPr>
          <w:b/>
        </w:rPr>
        <w:t xml:space="preserve">2 – направляющая держателя </w:t>
      </w:r>
    </w:p>
    <w:p w:rsidR="00317E6C" w:rsidRPr="00317E6C" w:rsidRDefault="00317E6C" w:rsidP="00317E6C">
      <w:pPr>
        <w:pStyle w:val="SingleTxtG"/>
        <w:spacing w:after="0" w:line="240" w:lineRule="exact"/>
        <w:ind w:left="2268"/>
        <w:rPr>
          <w:b/>
        </w:rPr>
      </w:pPr>
      <w:r w:rsidRPr="00317E6C">
        <w:rPr>
          <w:b/>
        </w:rPr>
        <w:t xml:space="preserve">2.1 – основной рычаг держателя </w:t>
      </w:r>
    </w:p>
    <w:p w:rsidR="00317E6C" w:rsidRPr="00317E6C" w:rsidRDefault="00317E6C" w:rsidP="00317E6C">
      <w:pPr>
        <w:pStyle w:val="SingleTxtG"/>
        <w:spacing w:after="0" w:line="240" w:lineRule="exact"/>
        <w:ind w:left="2268"/>
        <w:rPr>
          <w:b/>
        </w:rPr>
      </w:pPr>
      <w:r w:rsidRPr="00317E6C">
        <w:rPr>
          <w:b/>
        </w:rPr>
        <w:t>2.2 – второй рычаг держателя</w:t>
      </w:r>
    </w:p>
    <w:p w:rsidR="00317E6C" w:rsidRDefault="00317E6C" w:rsidP="00317E6C">
      <w:pPr>
        <w:pStyle w:val="SingleTxtG"/>
        <w:spacing w:after="0" w:line="240" w:lineRule="exact"/>
        <w:ind w:left="2268"/>
        <w:rPr>
          <w:b/>
        </w:rPr>
      </w:pPr>
      <w:r w:rsidRPr="00317E6C">
        <w:rPr>
          <w:b/>
        </w:rPr>
        <w:t>3 – опорные детали</w:t>
      </w:r>
    </w:p>
    <w:p w:rsidR="00317E6C" w:rsidRPr="00317E6C" w:rsidRDefault="00317E6C" w:rsidP="00317E6C">
      <w:pPr>
        <w:pStyle w:val="SingleTxtG"/>
        <w:spacing w:after="0" w:line="480" w:lineRule="auto"/>
        <w:ind w:left="2268"/>
      </w:pPr>
      <w:r w:rsidRPr="00EC55DB">
        <w:rPr>
          <w:b/>
        </w:rPr>
        <w:t>4 – щетки стеклоочистителя</w:t>
      </w:r>
      <w:r>
        <w:t>»</w:t>
      </w:r>
    </w:p>
    <w:p w:rsidR="00317E6C" w:rsidRDefault="00317E6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17E6C" w:rsidRPr="00EC55DB" w:rsidRDefault="00317E6C" w:rsidP="00317E6C">
      <w:pPr>
        <w:pStyle w:val="HChG"/>
      </w:pPr>
      <w:r w:rsidRPr="00EC55DB">
        <w:lastRenderedPageBreak/>
        <w:tab/>
        <w:t>II.</w:t>
      </w:r>
      <w:r w:rsidRPr="00EC55DB">
        <w:tab/>
        <w:t>Обоснование</w:t>
      </w:r>
    </w:p>
    <w:p w:rsidR="00317E6C" w:rsidRDefault="004627E6" w:rsidP="004627E6">
      <w:pPr>
        <w:pStyle w:val="SingleTxtG"/>
      </w:pPr>
      <w:r>
        <w:tab/>
      </w:r>
      <w:r w:rsidR="00317E6C" w:rsidRPr="00EC55DB">
        <w:tab/>
        <w:t>Во избежание любой неправильной трактовки требований, применимых к различным элементам стеклоочистителя, и в порядке обеспечения их последовательного и согласованного применения наиболее оптимальным и целесообразным представляется привести простой общий рисунок с указанием соответствующих зон. Геометрические требования применяются только в отношении контактных элементов («сферический» протокол).</w:t>
      </w:r>
    </w:p>
    <w:p w:rsidR="004627E6" w:rsidRPr="004627E6" w:rsidRDefault="004627E6" w:rsidP="004627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27E6" w:rsidRPr="004627E6" w:rsidSect="00317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6B" w:rsidRPr="00A312BC" w:rsidRDefault="00CA3C6B" w:rsidP="00A312BC"/>
  </w:endnote>
  <w:endnote w:type="continuationSeparator" w:id="0">
    <w:p w:rsidR="00CA3C6B" w:rsidRPr="00A312BC" w:rsidRDefault="00CA3C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6C" w:rsidRPr="00317E6C" w:rsidRDefault="00317E6C">
    <w:pPr>
      <w:pStyle w:val="Footer"/>
    </w:pPr>
    <w:r w:rsidRPr="00317E6C">
      <w:rPr>
        <w:b/>
        <w:sz w:val="18"/>
      </w:rPr>
      <w:fldChar w:fldCharType="begin"/>
    </w:r>
    <w:r w:rsidRPr="00317E6C">
      <w:rPr>
        <w:b/>
        <w:sz w:val="18"/>
      </w:rPr>
      <w:instrText xml:space="preserve"> PAGE  \* MERGEFORMAT </w:instrText>
    </w:r>
    <w:r w:rsidRPr="00317E6C">
      <w:rPr>
        <w:b/>
        <w:sz w:val="18"/>
      </w:rPr>
      <w:fldChar w:fldCharType="separate"/>
    </w:r>
    <w:r w:rsidR="00BB76EA">
      <w:rPr>
        <w:b/>
        <w:noProof/>
        <w:sz w:val="18"/>
      </w:rPr>
      <w:t>2</w:t>
    </w:r>
    <w:r w:rsidRPr="00317E6C">
      <w:rPr>
        <w:b/>
        <w:sz w:val="18"/>
      </w:rPr>
      <w:fldChar w:fldCharType="end"/>
    </w:r>
    <w:r>
      <w:rPr>
        <w:b/>
        <w:sz w:val="18"/>
      </w:rPr>
      <w:tab/>
    </w:r>
    <w:r>
      <w:t>GE.19-00447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6C" w:rsidRPr="00317E6C" w:rsidRDefault="00317E6C" w:rsidP="00317E6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GE.19-00447</w:t>
    </w:r>
    <w:r>
      <w:tab/>
    </w:r>
    <w:r w:rsidRPr="00317E6C">
      <w:rPr>
        <w:b/>
        <w:sz w:val="18"/>
      </w:rPr>
      <w:fldChar w:fldCharType="begin"/>
    </w:r>
    <w:r w:rsidRPr="00317E6C">
      <w:rPr>
        <w:b/>
        <w:sz w:val="18"/>
      </w:rPr>
      <w:instrText xml:space="preserve"> PAGE  \* MERGEFORMAT </w:instrText>
    </w:r>
    <w:r w:rsidRPr="00317E6C">
      <w:rPr>
        <w:b/>
        <w:sz w:val="18"/>
      </w:rPr>
      <w:fldChar w:fldCharType="separate"/>
    </w:r>
    <w:r w:rsidR="00BB76EA">
      <w:rPr>
        <w:b/>
        <w:noProof/>
        <w:sz w:val="18"/>
      </w:rPr>
      <w:t>3</w:t>
    </w:r>
    <w:r w:rsidRPr="00317E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17E6C" w:rsidRDefault="00317E6C" w:rsidP="00317E6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19-00447  (R)</w:t>
    </w:r>
    <w:r>
      <w:rPr>
        <w:lang w:val="en-US"/>
      </w:rPr>
      <w:t xml:space="preserve">  300119  300119</w:t>
    </w:r>
    <w:r>
      <w:br/>
    </w:r>
    <w:r w:rsidRPr="00317E6C">
      <w:rPr>
        <w:rFonts w:ascii="C39T30Lfz" w:hAnsi="C39T30Lfz"/>
        <w:kern w:val="14"/>
        <w:sz w:val="56"/>
      </w:rPr>
      <w:t></w:t>
    </w:r>
    <w:r w:rsidRPr="00317E6C">
      <w:rPr>
        <w:rFonts w:ascii="C39T30Lfz" w:hAnsi="C39T30Lfz"/>
        <w:kern w:val="14"/>
        <w:sz w:val="56"/>
      </w:rPr>
      <w:t></w:t>
    </w:r>
    <w:r w:rsidRPr="00317E6C">
      <w:rPr>
        <w:rFonts w:ascii="C39T30Lfz" w:hAnsi="C39T30Lfz"/>
        <w:kern w:val="14"/>
        <w:sz w:val="56"/>
      </w:rPr>
      <w:t></w:t>
    </w:r>
    <w:r w:rsidRPr="00317E6C">
      <w:rPr>
        <w:rFonts w:ascii="C39T30Lfz" w:hAnsi="C39T30Lfz"/>
        <w:kern w:val="14"/>
        <w:sz w:val="56"/>
      </w:rPr>
      <w:t></w:t>
    </w:r>
    <w:r w:rsidRPr="00317E6C">
      <w:rPr>
        <w:rFonts w:ascii="C39T30Lfz" w:hAnsi="C39T30Lfz"/>
        <w:kern w:val="14"/>
        <w:sz w:val="56"/>
      </w:rPr>
      <w:t></w:t>
    </w:r>
    <w:r w:rsidRPr="00317E6C">
      <w:rPr>
        <w:rFonts w:ascii="C39T30Lfz" w:hAnsi="C39T30Lfz"/>
        <w:kern w:val="14"/>
        <w:sz w:val="56"/>
      </w:rPr>
      <w:t></w:t>
    </w:r>
    <w:r w:rsidRPr="00317E6C">
      <w:rPr>
        <w:rFonts w:ascii="C39T30Lfz" w:hAnsi="C39T30Lfz"/>
        <w:kern w:val="14"/>
        <w:sz w:val="56"/>
      </w:rPr>
      <w:t></w:t>
    </w:r>
    <w:r w:rsidRPr="00317E6C">
      <w:rPr>
        <w:rFonts w:ascii="C39T30Lfz" w:hAnsi="C39T30Lfz"/>
        <w:kern w:val="14"/>
        <w:sz w:val="56"/>
      </w:rPr>
      <w:t></w:t>
    </w:r>
    <w:r w:rsidRPr="00317E6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6B" w:rsidRPr="001075E9" w:rsidRDefault="00CA3C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3C6B" w:rsidRDefault="00CA3C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17E6C" w:rsidRPr="00B14735" w:rsidRDefault="00317E6C" w:rsidP="00317E6C">
      <w:pPr>
        <w:pStyle w:val="FootnoteText"/>
        <w:rPr>
          <w:rFonts w:eastAsia="Calibri"/>
        </w:rPr>
      </w:pPr>
      <w:r>
        <w:rPr>
          <w:sz w:val="20"/>
        </w:rPr>
        <w:tab/>
      </w:r>
      <w:r w:rsidRPr="00317E6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B1615">
        <w:tab/>
      </w:r>
      <w:r w:rsidRPr="009D6549">
        <w:t>В соответствии с программой работы Комитета по внутреннему транспорту на 2018–2019 годы (</w:t>
      </w:r>
      <w:r w:rsidRPr="005630D1">
        <w:rPr>
          <w:lang w:val="en-US"/>
        </w:rPr>
        <w:t>ECE</w:t>
      </w:r>
      <w:r w:rsidRPr="009D6549">
        <w:t>/</w:t>
      </w:r>
      <w:r w:rsidRPr="005630D1">
        <w:rPr>
          <w:lang w:val="en-US"/>
        </w:rPr>
        <w:t>TRANS</w:t>
      </w:r>
      <w:r>
        <w:t>/274, пункт 123</w:t>
      </w:r>
      <w:r w:rsidRPr="009D6549">
        <w:t xml:space="preserve">, и </w:t>
      </w:r>
      <w:r w:rsidRPr="00B15178">
        <w:rPr>
          <w:lang w:val="en-US"/>
        </w:rPr>
        <w:t>ECE</w:t>
      </w:r>
      <w:r w:rsidRPr="009D6549">
        <w:t>/</w:t>
      </w:r>
      <w:r w:rsidRPr="00B15178">
        <w:rPr>
          <w:lang w:val="en-US"/>
        </w:rPr>
        <w:t>TRANS</w:t>
      </w:r>
      <w:r w:rsidRPr="009D6549">
        <w:t>/2018/21/</w:t>
      </w:r>
      <w:r w:rsidRPr="00B15178">
        <w:rPr>
          <w:lang w:val="en-US"/>
        </w:rPr>
        <w:t>Add</w:t>
      </w:r>
      <w:r w:rsidRPr="009D6549">
        <w:t>.1</w:t>
      </w:r>
      <w:r>
        <w:t>, направление деятельности 3.1</w:t>
      </w:r>
      <w:r w:rsidRPr="009D6549"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lang w:val="en-US"/>
        </w:rPr>
        <w:t>Н</w:t>
      </w:r>
      <w:r>
        <w:rPr>
          <w:lang w:val="en-US"/>
        </w:rPr>
        <w:t>астоящий документ представлен в </w:t>
      </w:r>
      <w:r w:rsidRPr="005630D1">
        <w:rPr>
          <w:lang w:val="en-US"/>
        </w:rPr>
        <w:t>соответствии с этим мандатом</w:t>
      </w:r>
      <w:r w:rsidRPr="00B1517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6C" w:rsidRPr="00317E6C" w:rsidRDefault="001331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B76EA">
      <w:t>ECE/TRANS/WP.29/GRSG/2019/11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6C" w:rsidRPr="00317E6C" w:rsidRDefault="0013311D" w:rsidP="00317E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76EA">
      <w:t>ECE/TRANS/WP.29/GRSG/2019/11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6C" w:rsidRDefault="00317E6C" w:rsidP="00317E6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6B"/>
    <w:rsid w:val="000235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11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E6C"/>
    <w:rsid w:val="00322004"/>
    <w:rsid w:val="003402C2"/>
    <w:rsid w:val="00381C24"/>
    <w:rsid w:val="00387CD4"/>
    <w:rsid w:val="003958D0"/>
    <w:rsid w:val="00395D62"/>
    <w:rsid w:val="003A0D43"/>
    <w:rsid w:val="003A48CE"/>
    <w:rsid w:val="003B00E5"/>
    <w:rsid w:val="003E0B46"/>
    <w:rsid w:val="003F468F"/>
    <w:rsid w:val="00407B78"/>
    <w:rsid w:val="00424203"/>
    <w:rsid w:val="00452493"/>
    <w:rsid w:val="00453318"/>
    <w:rsid w:val="00454AF2"/>
    <w:rsid w:val="00454E07"/>
    <w:rsid w:val="004627E6"/>
    <w:rsid w:val="00472C5C"/>
    <w:rsid w:val="004E05B7"/>
    <w:rsid w:val="0050108D"/>
    <w:rsid w:val="00513081"/>
    <w:rsid w:val="00517901"/>
    <w:rsid w:val="00526683"/>
    <w:rsid w:val="00551D75"/>
    <w:rsid w:val="005639C1"/>
    <w:rsid w:val="005709E0"/>
    <w:rsid w:val="00572E19"/>
    <w:rsid w:val="005961C8"/>
    <w:rsid w:val="005966F1"/>
    <w:rsid w:val="005D7914"/>
    <w:rsid w:val="005E2B41"/>
    <w:rsid w:val="005F0B42"/>
    <w:rsid w:val="00602E8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682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BB8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6E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C6B"/>
    <w:rsid w:val="00CB151C"/>
    <w:rsid w:val="00CE5A1A"/>
    <w:rsid w:val="00CF55F6"/>
    <w:rsid w:val="00D23A0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CF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6F5752-1A05-4B7F-9EDB-FCCD1D70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317E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HChGChar">
    <w:name w:val="_ H _Ch_G Char"/>
    <w:link w:val="HChG"/>
    <w:rsid w:val="00317E6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ECE/TRANS/WP.29/GRSG/2019/11</vt:lpstr>
      <vt:lpstr>ECE/TRANS/WP.29/GRSG/2019/11</vt:lpstr>
      <vt:lpstr>A/</vt:lpstr>
    </vt:vector>
  </TitlesOfParts>
  <Company>DCM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ECE/TRANS/WP.29/GRSG/2019/11</dc:title>
  <dc:subject/>
  <dc:creator>Olga OVTCHINNIKOVA</dc:creator>
  <cp:keywords/>
  <cp:lastModifiedBy>Benedicte Boudol</cp:lastModifiedBy>
  <cp:revision>2</cp:revision>
  <cp:lastPrinted>2019-01-30T13:22:00Z</cp:lastPrinted>
  <dcterms:created xsi:type="dcterms:W3CDTF">2019-02-14T13:45:00Z</dcterms:created>
  <dcterms:modified xsi:type="dcterms:W3CDTF">2019-02-14T13:45:00Z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