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DD53494" w14:textId="77777777" w:rsidTr="00C97039">
        <w:trPr>
          <w:trHeight w:hRule="exact" w:val="851"/>
        </w:trPr>
        <w:tc>
          <w:tcPr>
            <w:tcW w:w="1276" w:type="dxa"/>
            <w:tcBorders>
              <w:bottom w:val="single" w:sz="4" w:space="0" w:color="auto"/>
            </w:tcBorders>
          </w:tcPr>
          <w:p w14:paraId="4214838A" w14:textId="77777777" w:rsidR="00F35BAF" w:rsidRPr="00DB58B5" w:rsidRDefault="00F35BAF" w:rsidP="001B4875"/>
        </w:tc>
        <w:tc>
          <w:tcPr>
            <w:tcW w:w="2268" w:type="dxa"/>
            <w:tcBorders>
              <w:bottom w:val="single" w:sz="4" w:space="0" w:color="auto"/>
            </w:tcBorders>
            <w:vAlign w:val="bottom"/>
          </w:tcPr>
          <w:p w14:paraId="2807148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AC7A1B" w14:textId="77777777" w:rsidR="00F35BAF" w:rsidRPr="00DB58B5" w:rsidRDefault="001B4875" w:rsidP="001B4875">
            <w:pPr>
              <w:jc w:val="right"/>
            </w:pPr>
            <w:r w:rsidRPr="001B4875">
              <w:rPr>
                <w:sz w:val="40"/>
              </w:rPr>
              <w:t>ECE</w:t>
            </w:r>
            <w:r>
              <w:t>/TRANS/WP.29/GRSG/2019/18</w:t>
            </w:r>
          </w:p>
        </w:tc>
      </w:tr>
      <w:tr w:rsidR="00F35BAF" w:rsidRPr="00DB58B5" w14:paraId="7C17462C" w14:textId="77777777" w:rsidTr="00C97039">
        <w:trPr>
          <w:trHeight w:hRule="exact" w:val="2835"/>
        </w:trPr>
        <w:tc>
          <w:tcPr>
            <w:tcW w:w="1276" w:type="dxa"/>
            <w:tcBorders>
              <w:top w:val="single" w:sz="4" w:space="0" w:color="auto"/>
              <w:bottom w:val="single" w:sz="12" w:space="0" w:color="auto"/>
            </w:tcBorders>
          </w:tcPr>
          <w:p w14:paraId="174ED248" w14:textId="77777777" w:rsidR="00F35BAF" w:rsidRPr="00DB58B5" w:rsidRDefault="00F35BAF" w:rsidP="00C97039">
            <w:pPr>
              <w:spacing w:before="120"/>
              <w:jc w:val="center"/>
            </w:pPr>
            <w:r>
              <w:rPr>
                <w:noProof/>
                <w:lang w:eastAsia="fr-CH"/>
              </w:rPr>
              <w:drawing>
                <wp:inline distT="0" distB="0" distL="0" distR="0" wp14:anchorId="7A8A62F6" wp14:editId="2A037C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E5D6B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6A2988" w14:textId="77777777" w:rsidR="00F35BAF" w:rsidRDefault="001B4875" w:rsidP="00C97039">
            <w:pPr>
              <w:spacing w:before="240"/>
            </w:pPr>
            <w:proofErr w:type="spellStart"/>
            <w:r>
              <w:t>Distr</w:t>
            </w:r>
            <w:proofErr w:type="spellEnd"/>
            <w:r>
              <w:t>. générale</w:t>
            </w:r>
          </w:p>
          <w:p w14:paraId="0CC80919" w14:textId="77777777" w:rsidR="001B4875" w:rsidRDefault="001B4875" w:rsidP="001B4875">
            <w:pPr>
              <w:spacing w:line="240" w:lineRule="exact"/>
            </w:pPr>
            <w:r>
              <w:t>18 juillet 2019</w:t>
            </w:r>
          </w:p>
          <w:p w14:paraId="7111AA85" w14:textId="77777777" w:rsidR="001B4875" w:rsidRDefault="001B4875" w:rsidP="001B4875">
            <w:pPr>
              <w:spacing w:line="240" w:lineRule="exact"/>
            </w:pPr>
            <w:r>
              <w:t>Français</w:t>
            </w:r>
          </w:p>
          <w:p w14:paraId="4DC79120" w14:textId="77777777" w:rsidR="001B4875" w:rsidRPr="00DB58B5" w:rsidRDefault="001B4875" w:rsidP="001B4875">
            <w:pPr>
              <w:spacing w:line="240" w:lineRule="exact"/>
            </w:pPr>
            <w:r>
              <w:t>Original : anglais</w:t>
            </w:r>
          </w:p>
        </w:tc>
      </w:tr>
    </w:tbl>
    <w:p w14:paraId="23EC061D" w14:textId="77777777" w:rsidR="007F20FA" w:rsidRPr="000312C0" w:rsidRDefault="007F20FA" w:rsidP="007F20FA">
      <w:pPr>
        <w:spacing w:before="120"/>
        <w:rPr>
          <w:b/>
          <w:sz w:val="28"/>
          <w:szCs w:val="28"/>
        </w:rPr>
      </w:pPr>
      <w:r w:rsidRPr="000312C0">
        <w:rPr>
          <w:b/>
          <w:sz w:val="28"/>
          <w:szCs w:val="28"/>
        </w:rPr>
        <w:t>Commission économique pour l’Europe</w:t>
      </w:r>
    </w:p>
    <w:p w14:paraId="30B35164" w14:textId="77777777" w:rsidR="007F20FA" w:rsidRDefault="007F20FA" w:rsidP="007F20FA">
      <w:pPr>
        <w:spacing w:before="120"/>
        <w:rPr>
          <w:sz w:val="28"/>
          <w:szCs w:val="28"/>
        </w:rPr>
      </w:pPr>
      <w:r w:rsidRPr="00685843">
        <w:rPr>
          <w:sz w:val="28"/>
          <w:szCs w:val="28"/>
        </w:rPr>
        <w:t>Comité des transports intérieurs</w:t>
      </w:r>
    </w:p>
    <w:p w14:paraId="6A462E69" w14:textId="77777777" w:rsidR="001B4875" w:rsidRPr="001B4875" w:rsidRDefault="001B4875" w:rsidP="001B4875">
      <w:pPr>
        <w:kinsoku/>
        <w:overflowPunct/>
        <w:autoSpaceDE/>
        <w:autoSpaceDN/>
        <w:adjustRightInd/>
        <w:snapToGrid/>
        <w:spacing w:before="120"/>
        <w:rPr>
          <w:rFonts w:eastAsia="Times New Roman"/>
          <w:b/>
          <w:sz w:val="24"/>
          <w:szCs w:val="24"/>
          <w:lang w:val="fr-FR"/>
        </w:rPr>
      </w:pPr>
      <w:r w:rsidRPr="001B4875">
        <w:rPr>
          <w:rFonts w:eastAsia="Times New Roman"/>
          <w:b/>
          <w:sz w:val="24"/>
          <w:szCs w:val="24"/>
          <w:lang w:val="fr-FR"/>
        </w:rPr>
        <w:t xml:space="preserve">Forum mondial de l’harmonisation </w:t>
      </w:r>
      <w:r w:rsidRPr="001B4875">
        <w:rPr>
          <w:rFonts w:eastAsia="Times New Roman"/>
          <w:b/>
          <w:sz w:val="24"/>
          <w:szCs w:val="24"/>
          <w:lang w:val="fr-FR"/>
        </w:rPr>
        <w:br/>
        <w:t>des Règlements concernant les véhicules</w:t>
      </w:r>
    </w:p>
    <w:p w14:paraId="216F5E1E" w14:textId="77777777" w:rsidR="001B4875" w:rsidRPr="009B57F9" w:rsidRDefault="001B4875" w:rsidP="001B4875">
      <w:pPr>
        <w:kinsoku/>
        <w:overflowPunct/>
        <w:autoSpaceDE/>
        <w:autoSpaceDN/>
        <w:adjustRightInd/>
        <w:snapToGrid/>
        <w:spacing w:before="120"/>
        <w:rPr>
          <w:rFonts w:eastAsia="Times New Roman"/>
          <w:b/>
        </w:rPr>
      </w:pPr>
      <w:r w:rsidRPr="009B57F9">
        <w:rPr>
          <w:rFonts w:eastAsia="Times New Roman"/>
          <w:b/>
        </w:rPr>
        <w:t>Groupe de travail des dispositions générales de sécurité</w:t>
      </w:r>
    </w:p>
    <w:p w14:paraId="487A74EC" w14:textId="77777777" w:rsidR="001B4875" w:rsidRPr="009B57F9" w:rsidRDefault="001B4875" w:rsidP="001B4875">
      <w:pPr>
        <w:kinsoku/>
        <w:overflowPunct/>
        <w:autoSpaceDE/>
        <w:autoSpaceDN/>
        <w:adjustRightInd/>
        <w:snapToGrid/>
        <w:spacing w:before="120"/>
        <w:rPr>
          <w:rFonts w:eastAsia="Times New Roman"/>
          <w:b/>
        </w:rPr>
      </w:pPr>
      <w:r w:rsidRPr="009B57F9">
        <w:rPr>
          <w:rFonts w:eastAsia="Times New Roman"/>
          <w:b/>
        </w:rPr>
        <w:t>117</w:t>
      </w:r>
      <w:r w:rsidRPr="009B57F9">
        <w:rPr>
          <w:rFonts w:eastAsia="Times New Roman"/>
          <w:b/>
          <w:vertAlign w:val="superscript"/>
        </w:rPr>
        <w:t>e</w:t>
      </w:r>
      <w:r w:rsidRPr="009B57F9">
        <w:rPr>
          <w:rFonts w:eastAsia="Times New Roman"/>
          <w:b/>
        </w:rPr>
        <w:t xml:space="preserve"> session</w:t>
      </w:r>
    </w:p>
    <w:p w14:paraId="1CE45B47" w14:textId="77777777" w:rsidR="001B4875" w:rsidRPr="009B57F9" w:rsidRDefault="001B4875" w:rsidP="001B4875">
      <w:pPr>
        <w:kinsoku/>
        <w:overflowPunct/>
        <w:autoSpaceDE/>
        <w:autoSpaceDN/>
        <w:adjustRightInd/>
        <w:snapToGrid/>
        <w:rPr>
          <w:rFonts w:eastAsia="Times New Roman"/>
        </w:rPr>
      </w:pPr>
      <w:r w:rsidRPr="009B57F9">
        <w:rPr>
          <w:rFonts w:eastAsia="Times New Roman"/>
        </w:rPr>
        <w:t>Genève, 8-11 octobre 2019</w:t>
      </w:r>
    </w:p>
    <w:p w14:paraId="7F8E6897" w14:textId="77777777" w:rsidR="001B4875" w:rsidRPr="009B57F9" w:rsidRDefault="001B4875" w:rsidP="001B4875">
      <w:pPr>
        <w:kinsoku/>
        <w:overflowPunct/>
        <w:autoSpaceDE/>
        <w:autoSpaceDN/>
        <w:adjustRightInd/>
        <w:snapToGrid/>
        <w:rPr>
          <w:rFonts w:eastAsia="Times New Roman"/>
        </w:rPr>
      </w:pPr>
      <w:r w:rsidRPr="009B57F9">
        <w:rPr>
          <w:rFonts w:eastAsia="Times New Roman"/>
        </w:rPr>
        <w:t>Point 16 de l’ordre du jour provisoire</w:t>
      </w:r>
    </w:p>
    <w:p w14:paraId="154F52BB" w14:textId="77777777" w:rsidR="001B4875" w:rsidRPr="001B4875" w:rsidRDefault="001B4875" w:rsidP="001B4875">
      <w:pPr>
        <w:kinsoku/>
        <w:overflowPunct/>
        <w:autoSpaceDE/>
        <w:autoSpaceDN/>
        <w:adjustRightInd/>
        <w:snapToGrid/>
        <w:rPr>
          <w:rFonts w:eastAsia="Times New Roman"/>
          <w:b/>
        </w:rPr>
      </w:pPr>
      <w:r w:rsidRPr="001B4875">
        <w:rPr>
          <w:rFonts w:eastAsia="Times New Roman"/>
          <w:b/>
        </w:rPr>
        <w:t xml:space="preserve">Règlement ONU </w:t>
      </w:r>
      <w:r w:rsidR="00F218F7" w:rsidRPr="00F218F7">
        <w:rPr>
          <w:rFonts w:eastAsia="MS Mincho"/>
          <w:b/>
        </w:rPr>
        <w:t>n</w:t>
      </w:r>
      <w:r w:rsidR="00F218F7" w:rsidRPr="00F218F7">
        <w:rPr>
          <w:rFonts w:eastAsia="MS Mincho"/>
          <w:b/>
          <w:vertAlign w:val="superscript"/>
        </w:rPr>
        <w:t>o</w:t>
      </w:r>
      <w:r w:rsidR="00F218F7">
        <w:rPr>
          <w:rFonts w:eastAsia="Times New Roman"/>
          <w:b/>
        </w:rPr>
        <w:t> </w:t>
      </w:r>
      <w:r w:rsidRPr="001B4875">
        <w:rPr>
          <w:rFonts w:eastAsia="Times New Roman"/>
          <w:b/>
        </w:rPr>
        <w:t>144 (Système automatique d’appel d’urgence)</w:t>
      </w:r>
    </w:p>
    <w:p w14:paraId="1F259CBD" w14:textId="77777777" w:rsidR="001B4875" w:rsidRPr="001B4875" w:rsidRDefault="001B4875" w:rsidP="001B4875">
      <w:pPr>
        <w:pStyle w:val="HChG"/>
      </w:pPr>
      <w:r>
        <w:tab/>
      </w:r>
      <w:r>
        <w:tab/>
      </w:r>
      <w:r w:rsidRPr="001B4875">
        <w:t xml:space="preserve">Proposition de rectificatif au Règlement ONU </w:t>
      </w:r>
      <w:r>
        <w:rPr>
          <w:rFonts w:eastAsia="MS Mincho"/>
        </w:rPr>
        <w:t>n</w:t>
      </w:r>
      <w:r>
        <w:rPr>
          <w:rFonts w:eastAsia="MS Mincho"/>
          <w:vertAlign w:val="superscript"/>
        </w:rPr>
        <w:t>o</w:t>
      </w:r>
      <w:r>
        <w:t> </w:t>
      </w:r>
      <w:r w:rsidRPr="001B4875">
        <w:t>144 (Système automatique d’appel d’urgence)</w:t>
      </w:r>
    </w:p>
    <w:p w14:paraId="00FAB91C" w14:textId="77777777" w:rsidR="001B4875" w:rsidRPr="001B4875" w:rsidRDefault="001B4875" w:rsidP="001B4875">
      <w:pPr>
        <w:pStyle w:val="H1G"/>
      </w:pPr>
      <w:r w:rsidRPr="001B4875">
        <w:tab/>
      </w:r>
      <w:r w:rsidRPr="001B4875">
        <w:tab/>
        <w:t>Communication de l’expert de la Fédération de Russie</w:t>
      </w:r>
      <w:r w:rsidR="00806DBA" w:rsidRPr="000F40C0">
        <w:rPr>
          <w:rStyle w:val="Appelnotedebasdep"/>
          <w:b w:val="0"/>
          <w:sz w:val="20"/>
          <w:vertAlign w:val="baseline"/>
        </w:rPr>
        <w:footnoteReference w:customMarkFollows="1" w:id="2"/>
        <w:t>*</w:t>
      </w:r>
    </w:p>
    <w:p w14:paraId="2D9C0E5C" w14:textId="77777777" w:rsidR="001B4875" w:rsidRPr="001B4875" w:rsidRDefault="001B4875" w:rsidP="004C2B92">
      <w:pPr>
        <w:pStyle w:val="SingleTxtG"/>
      </w:pPr>
      <w:r w:rsidRPr="001B4875">
        <w:tab/>
        <w:t>Le texte ci-après a été établi par l’expert de la Fédération de Russie pour rectifier des références incorrectes dans le texte du Règlement ONU n</w:t>
      </w:r>
      <w:r w:rsidRPr="001B4875">
        <w:rPr>
          <w:vertAlign w:val="superscript"/>
        </w:rPr>
        <w:t>o</w:t>
      </w:r>
      <w:r w:rsidRPr="001B4875">
        <w:t> 144. Il est fondé sur les documents informels GRSG-116-10 et GRSG-116-15, diffusés pendant la 116</w:t>
      </w:r>
      <w:r w:rsidRPr="001B4875">
        <w:rPr>
          <w:vertAlign w:val="superscript"/>
        </w:rPr>
        <w:t>e</w:t>
      </w:r>
      <w:r w:rsidRPr="001B4875">
        <w:t xml:space="preserve"> session du Groupe de travail des dispositions générales de sécurité (GRSG) et est soumis conformément à la décision prise à la 116</w:t>
      </w:r>
      <w:r w:rsidRPr="004E27FC">
        <w:rPr>
          <w:vertAlign w:val="superscript"/>
        </w:rPr>
        <w:t>e</w:t>
      </w:r>
      <w:r w:rsidRPr="001B4875">
        <w:t xml:space="preserve"> session d’établir des propositions distinctes pour les rectificatifs et une nouvelle série d’amendements au Règlement ONU </w:t>
      </w:r>
      <w:r w:rsidR="008A3748">
        <w:rPr>
          <w:rFonts w:eastAsia="MS Mincho"/>
        </w:rPr>
        <w:t>n</w:t>
      </w:r>
      <w:r w:rsidR="008A3748">
        <w:rPr>
          <w:rFonts w:eastAsia="MS Mincho"/>
          <w:vertAlign w:val="superscript"/>
        </w:rPr>
        <w:t>o</w:t>
      </w:r>
      <w:r w:rsidR="008A3748">
        <w:t> </w:t>
      </w:r>
      <w:r w:rsidRPr="001B4875">
        <w:t>144 (voir rapport ECE/TRANS/WP.29/GRSG/95, par. 52). Les modifications qu’il est proposé d’apporter au texte actuel du Règlement n</w:t>
      </w:r>
      <w:r w:rsidRPr="001B4875">
        <w:rPr>
          <w:vertAlign w:val="superscript"/>
        </w:rPr>
        <w:t>o</w:t>
      </w:r>
      <w:r w:rsidRPr="001B4875">
        <w:t> 144 figurent en caractères gras pour les ajouts et biffés pour les suppressions.</w:t>
      </w:r>
    </w:p>
    <w:p w14:paraId="56DFB930" w14:textId="77777777" w:rsidR="001B4875" w:rsidRPr="001B4875" w:rsidRDefault="001B4875" w:rsidP="00806DBA">
      <w:pPr>
        <w:pStyle w:val="HChG"/>
      </w:pPr>
      <w:r w:rsidRPr="001B4875">
        <w:br w:type="page"/>
      </w:r>
      <w:r w:rsidRPr="001B4875">
        <w:lastRenderedPageBreak/>
        <w:tab/>
        <w:t>I.</w:t>
      </w:r>
      <w:r w:rsidRPr="001B4875">
        <w:tab/>
        <w:t>Proposition</w:t>
      </w:r>
    </w:p>
    <w:p w14:paraId="5FD03CA4" w14:textId="77777777" w:rsidR="001B4875" w:rsidRPr="001B4875" w:rsidRDefault="001B4875" w:rsidP="001B4875">
      <w:pPr>
        <w:pStyle w:val="SingleTxtG"/>
      </w:pPr>
      <w:bookmarkStart w:id="0" w:name="_Toc387935149"/>
      <w:r w:rsidRPr="001B4875">
        <w:rPr>
          <w:i/>
        </w:rPr>
        <w:t>Paragraphe 7.3.11</w:t>
      </w:r>
      <w:r w:rsidRPr="001B4875">
        <w:t>,</w:t>
      </w:r>
      <w:r w:rsidRPr="001B4875">
        <w:rPr>
          <w:i/>
        </w:rPr>
        <w:t xml:space="preserve"> </w:t>
      </w:r>
      <w:r w:rsidRPr="001B4875">
        <w:rPr>
          <w:iCs/>
        </w:rPr>
        <w:t>lire</w:t>
      </w:r>
      <w:r w:rsidR="00806DBA">
        <w:rPr>
          <w:iCs/>
        </w:rPr>
        <w:t> </w:t>
      </w:r>
      <w:r w:rsidRPr="001B4875">
        <w:rPr>
          <w:iCs/>
        </w:rPr>
        <w:t>:</w:t>
      </w:r>
    </w:p>
    <w:p w14:paraId="52B34BC6" w14:textId="77777777" w:rsidR="001B4875" w:rsidRPr="001B4875" w:rsidRDefault="001B4875" w:rsidP="00725A21">
      <w:pPr>
        <w:pStyle w:val="SingleTxtG"/>
        <w:ind w:left="2268" w:hanging="1134"/>
      </w:pPr>
      <w:r w:rsidRPr="001B4875">
        <w:rPr>
          <w:lang w:val="fr-FR"/>
        </w:rPr>
        <w:t>«</w:t>
      </w:r>
      <w:r w:rsidR="00806DBA">
        <w:rPr>
          <w:lang w:val="fr-FR"/>
        </w:rPr>
        <w:t> </w:t>
      </w:r>
      <w:r w:rsidRPr="001B4875">
        <w:rPr>
          <w:lang w:val="fr-FR"/>
        </w:rPr>
        <w:t>7.3.11</w:t>
      </w:r>
      <w:r w:rsidRPr="001B4875">
        <w:rPr>
          <w:lang w:val="fr-FR"/>
        </w:rPr>
        <w:tab/>
      </w:r>
      <w:r w:rsidRPr="001B4875">
        <w:t>Les procédures d’essai prévues à l’annexe</w:t>
      </w:r>
      <w:r w:rsidRPr="001B4875">
        <w:rPr>
          <w:strike/>
        </w:rPr>
        <w:t xml:space="preserve"> 8</w:t>
      </w:r>
      <w:r w:rsidRPr="001B4875">
        <w:t xml:space="preserve"> </w:t>
      </w:r>
      <w:r w:rsidRPr="001B4875">
        <w:rPr>
          <w:b/>
        </w:rPr>
        <w:t>10</w:t>
      </w:r>
      <w:r w:rsidRPr="001B4875">
        <w:t xml:space="preserve"> peuvent être effectuées soit sur le dispositif AECC, avec possibilité d’évaluer la capacité de traitement aval, soit directement sur le récepteur GNSS faisant partie de l’AECC</w:t>
      </w:r>
      <w:bookmarkStart w:id="1" w:name="_Toc456777141"/>
      <w:bookmarkEnd w:id="0"/>
      <w:r w:rsidRPr="001B4875">
        <w:t>.</w:t>
      </w:r>
      <w:r w:rsidR="00806DBA">
        <w:t> </w:t>
      </w:r>
      <w:r w:rsidRPr="001B4875">
        <w:t>»</w:t>
      </w:r>
      <w:r w:rsidR="00806DBA">
        <w:t>.</w:t>
      </w:r>
    </w:p>
    <w:bookmarkEnd w:id="1"/>
    <w:p w14:paraId="436ECFDC" w14:textId="77777777" w:rsidR="001B4875" w:rsidRPr="001B4875" w:rsidRDefault="001B4875" w:rsidP="001B4875">
      <w:pPr>
        <w:pStyle w:val="SingleTxtG"/>
        <w:rPr>
          <w:iCs/>
          <w:lang w:val="fr-FR"/>
        </w:rPr>
      </w:pPr>
      <w:r w:rsidRPr="001B4875">
        <w:rPr>
          <w:i/>
          <w:lang w:val="fr-FR"/>
        </w:rPr>
        <w:t>Paragraphe 17.3</w:t>
      </w:r>
      <w:r w:rsidRPr="001B4875">
        <w:rPr>
          <w:lang w:val="fr-FR"/>
        </w:rPr>
        <w:t>,</w:t>
      </w:r>
      <w:r w:rsidRPr="001B4875">
        <w:rPr>
          <w:iCs/>
          <w:lang w:val="fr-FR"/>
        </w:rPr>
        <w:t xml:space="preserve"> lire</w:t>
      </w:r>
      <w:r w:rsidR="00806DBA">
        <w:rPr>
          <w:iCs/>
          <w:lang w:val="fr-FR"/>
        </w:rPr>
        <w:t> </w:t>
      </w:r>
      <w:r w:rsidRPr="001B4875">
        <w:rPr>
          <w:iCs/>
          <w:lang w:val="fr-FR"/>
        </w:rPr>
        <w:t>:</w:t>
      </w:r>
    </w:p>
    <w:p w14:paraId="0D28F81A" w14:textId="77777777" w:rsidR="001B4875" w:rsidRPr="001B4875" w:rsidRDefault="001B4875" w:rsidP="00725A21">
      <w:pPr>
        <w:pStyle w:val="SingleTxtG"/>
        <w:ind w:left="2268" w:hanging="1134"/>
      </w:pPr>
      <w:r w:rsidRPr="001B4875">
        <w:t>«</w:t>
      </w:r>
      <w:r w:rsidR="00806DBA">
        <w:t> </w:t>
      </w:r>
      <w:r w:rsidRPr="001B4875">
        <w:t>17.3</w:t>
      </w:r>
      <w:r w:rsidRPr="001B4875">
        <w:tab/>
        <w:t>Détermination de la position</w:t>
      </w:r>
    </w:p>
    <w:p w14:paraId="77C2B45D" w14:textId="77777777" w:rsidR="001B4875" w:rsidRPr="001B4875" w:rsidRDefault="001B4875" w:rsidP="00725A21">
      <w:pPr>
        <w:pStyle w:val="SingleTxtG"/>
        <w:ind w:left="2268"/>
        <w:rPr>
          <w:rFonts w:eastAsia="MS Mincho"/>
        </w:rPr>
      </w:pPr>
      <w:r w:rsidRPr="001B4875">
        <w:rPr>
          <w:rFonts w:eastAsia="MS Mincho"/>
        </w:rPr>
        <w:t>…</w:t>
      </w:r>
    </w:p>
    <w:p w14:paraId="038E5976" w14:textId="77777777" w:rsidR="001B4875" w:rsidRPr="001B4875" w:rsidRDefault="001B4875" w:rsidP="00725A21">
      <w:pPr>
        <w:pStyle w:val="SingleTxtG"/>
        <w:ind w:left="2268"/>
        <w:rPr>
          <w:bCs/>
        </w:rPr>
      </w:pPr>
      <w:r w:rsidRPr="001B4875">
        <w:t>La capacité de positionnement de l’AECD peut être démontrée au moyen des méthodes d’essai décrites à l’annexe 10 (Méthodes d’essai pour les solutions de navigation). L’information correspondante doit figurer dans le document de communication visé à l’annexe 2, point</w:t>
      </w:r>
      <w:r w:rsidRPr="001B4875">
        <w:rPr>
          <w:strike/>
        </w:rPr>
        <w:t xml:space="preserve"> 11</w:t>
      </w:r>
      <w:r w:rsidRPr="001B4875">
        <w:rPr>
          <w:bCs/>
        </w:rPr>
        <w:t xml:space="preserve"> </w:t>
      </w:r>
      <w:r w:rsidRPr="001B4875">
        <w:rPr>
          <w:b/>
          <w:bCs/>
        </w:rPr>
        <w:t>12</w:t>
      </w:r>
      <w:r w:rsidRPr="001B4875">
        <w:rPr>
          <w:bCs/>
        </w:rPr>
        <w:t>.</w:t>
      </w:r>
      <w:r w:rsidR="00806DBA">
        <w:rPr>
          <w:bCs/>
        </w:rPr>
        <w:t> </w:t>
      </w:r>
      <w:r w:rsidRPr="001B4875">
        <w:rPr>
          <w:bCs/>
        </w:rPr>
        <w:t>»</w:t>
      </w:r>
      <w:r w:rsidR="00806DBA">
        <w:rPr>
          <w:bCs/>
        </w:rPr>
        <w:t>.</w:t>
      </w:r>
    </w:p>
    <w:p w14:paraId="070AB925" w14:textId="77777777" w:rsidR="001B4875" w:rsidRPr="001B4875" w:rsidRDefault="001B4875" w:rsidP="001B4875">
      <w:pPr>
        <w:pStyle w:val="SingleTxtG"/>
        <w:rPr>
          <w:i/>
        </w:rPr>
      </w:pPr>
      <w:r w:rsidRPr="001B4875">
        <w:rPr>
          <w:i/>
        </w:rPr>
        <w:t>Paragraphe 17.5</w:t>
      </w:r>
      <w:r w:rsidRPr="001B4875">
        <w:t>,</w:t>
      </w:r>
      <w:r w:rsidRPr="001B4875">
        <w:rPr>
          <w:i/>
        </w:rPr>
        <w:t xml:space="preserve"> </w:t>
      </w:r>
      <w:r w:rsidRPr="001B4875">
        <w:rPr>
          <w:iCs/>
        </w:rPr>
        <w:t>lire</w:t>
      </w:r>
      <w:r w:rsidR="00806DBA">
        <w:rPr>
          <w:iCs/>
        </w:rPr>
        <w:t> </w:t>
      </w:r>
      <w:r w:rsidRPr="001B4875">
        <w:rPr>
          <w:iCs/>
        </w:rPr>
        <w:t>:</w:t>
      </w:r>
    </w:p>
    <w:p w14:paraId="416D7989" w14:textId="77777777" w:rsidR="001B4875" w:rsidRPr="001B4875" w:rsidRDefault="001B4875" w:rsidP="009B57F9">
      <w:pPr>
        <w:pStyle w:val="SingleTxtG"/>
        <w:ind w:left="2268" w:hanging="1134"/>
      </w:pPr>
      <w:r w:rsidRPr="001B4875">
        <w:t>«</w:t>
      </w:r>
      <w:r w:rsidR="00F404E2">
        <w:t> </w:t>
      </w:r>
      <w:r w:rsidRPr="001B4875">
        <w:t>17.5</w:t>
      </w:r>
      <w:r w:rsidRPr="001B4875">
        <w:tab/>
        <w:t>Signaux d’information et d’avertissement</w:t>
      </w:r>
    </w:p>
    <w:p w14:paraId="1FDC6659" w14:textId="77777777" w:rsidR="001B4875" w:rsidRPr="001B4875" w:rsidRDefault="001B4875" w:rsidP="009B57F9">
      <w:pPr>
        <w:pStyle w:val="SingleTxtG"/>
        <w:ind w:left="2268"/>
      </w:pPr>
      <w:r w:rsidRPr="001B4875">
        <w:t>Si le demandeur de l’homologation le demande, la vérification des signaux d’information et d’avertissement peut faire partie de la procédure d’homologation de type d’un AECD. Dans ce cas, les dispositions des paragraphes 17.5.1 à 17.5.3 s’appliquent. Cette information doit figurer dans le document de communication de l’annexe 2, point</w:t>
      </w:r>
      <w:r w:rsidRPr="001B4875">
        <w:rPr>
          <w:strike/>
        </w:rPr>
        <w:t xml:space="preserve"> 12</w:t>
      </w:r>
      <w:r w:rsidRPr="001B4875">
        <w:t xml:space="preserve"> </w:t>
      </w:r>
      <w:r w:rsidRPr="001B4875">
        <w:rPr>
          <w:b/>
        </w:rPr>
        <w:t>13</w:t>
      </w:r>
      <w:r w:rsidRPr="001B4875">
        <w:t xml:space="preserve">. Si la vérification des signaux d’information et d’avertissement ne fait pas partie de la procédure d’homologation d’un AECD en application de la partie </w:t>
      </w:r>
      <w:proofErr w:type="spellStart"/>
      <w:r w:rsidRPr="001B4875">
        <w:t>Ib</w:t>
      </w:r>
      <w:proofErr w:type="spellEnd"/>
      <w:r w:rsidRPr="001B4875">
        <w:t>, elle doit faire partie de la procédure d’homologation en application de la partie II.</w:t>
      </w:r>
      <w:r w:rsidR="00806DBA">
        <w:t> </w:t>
      </w:r>
      <w:r w:rsidRPr="001B4875">
        <w:t>»</w:t>
      </w:r>
      <w:r w:rsidR="00806DBA">
        <w:t>.</w:t>
      </w:r>
    </w:p>
    <w:p w14:paraId="654F152F" w14:textId="77777777" w:rsidR="001B4875" w:rsidRPr="001B4875" w:rsidRDefault="001B4875" w:rsidP="001B4875">
      <w:pPr>
        <w:pStyle w:val="SingleTxtG"/>
        <w:rPr>
          <w:i/>
        </w:rPr>
      </w:pPr>
      <w:r w:rsidRPr="001B4875">
        <w:rPr>
          <w:i/>
        </w:rPr>
        <w:t>Paragraphe 17.6.4</w:t>
      </w:r>
      <w:r w:rsidRPr="001B4875">
        <w:t>,</w:t>
      </w:r>
      <w:r w:rsidRPr="001B4875">
        <w:rPr>
          <w:i/>
        </w:rPr>
        <w:t xml:space="preserve"> </w:t>
      </w:r>
      <w:r w:rsidRPr="001B4875">
        <w:rPr>
          <w:iCs/>
        </w:rPr>
        <w:t>lire</w:t>
      </w:r>
      <w:r w:rsidR="00806DBA">
        <w:rPr>
          <w:iCs/>
        </w:rPr>
        <w:t> </w:t>
      </w:r>
      <w:r w:rsidRPr="001B4875">
        <w:rPr>
          <w:iCs/>
        </w:rPr>
        <w:t>:</w:t>
      </w:r>
    </w:p>
    <w:p w14:paraId="25EC9666" w14:textId="77777777" w:rsidR="001B4875" w:rsidRPr="001B4875" w:rsidRDefault="001B4875" w:rsidP="008633E8">
      <w:pPr>
        <w:pStyle w:val="SingleTxtG"/>
        <w:ind w:left="2268" w:hanging="1134"/>
      </w:pPr>
      <w:bookmarkStart w:id="2" w:name="_Toc387935155"/>
      <w:r w:rsidRPr="001B4875">
        <w:t>«</w:t>
      </w:r>
      <w:r w:rsidR="00806DBA">
        <w:t> </w:t>
      </w:r>
      <w:r w:rsidRPr="001B4875">
        <w:t>17.6.4</w:t>
      </w:r>
      <w:r w:rsidRPr="001B4875">
        <w:tab/>
      </w:r>
      <w:r w:rsidRPr="0043772C">
        <w:t xml:space="preserve">Si l’AECD est équipé d’une alimentation électrique de secours, il convient de vérifier, à la demande du demandeur de l’homologation, qu’il peut fonctionner de façon autonome pendant au moins </w:t>
      </w:r>
      <w:r w:rsidR="00D70402">
        <w:t>5</w:t>
      </w:r>
      <w:r w:rsidRPr="0043772C">
        <w:t xml:space="preserve"> minutes dans un premier temps, en mode communication vocale, puis pendant </w:t>
      </w:r>
      <w:r w:rsidR="00D70402">
        <w:t>60</w:t>
      </w:r>
      <w:r w:rsidRPr="0043772C">
        <w:t xml:space="preserve"> minutes en mode rappel (mode inactif enregistré dans un réseau) et enfin au moins pendant </w:t>
      </w:r>
      <w:r w:rsidR="000C543B">
        <w:t>5 </w:t>
      </w:r>
      <w:r w:rsidRPr="0043772C">
        <w:t>minutes en mode communication vocale. Cette information doit figurer dans le document de communication défini à l’annexe 2, point</w:t>
      </w:r>
      <w:r w:rsidRPr="0043772C">
        <w:rPr>
          <w:strike/>
        </w:rPr>
        <w:t xml:space="preserve"> 10</w:t>
      </w:r>
      <w:r w:rsidRPr="0043772C">
        <w:t xml:space="preserve"> </w:t>
      </w:r>
      <w:r w:rsidRPr="0043772C">
        <w:rPr>
          <w:b/>
        </w:rPr>
        <w:t>11</w:t>
      </w:r>
      <w:r w:rsidRPr="0043772C">
        <w:t>.</w:t>
      </w:r>
      <w:r w:rsidR="00806DBA" w:rsidRPr="0043772C">
        <w:t> </w:t>
      </w:r>
      <w:r w:rsidRPr="0043772C">
        <w:t>»</w:t>
      </w:r>
      <w:r w:rsidR="00806DBA" w:rsidRPr="0043772C">
        <w:t>.</w:t>
      </w:r>
    </w:p>
    <w:bookmarkEnd w:id="2"/>
    <w:p w14:paraId="0052973B" w14:textId="77777777" w:rsidR="001B4875" w:rsidRPr="001B4875" w:rsidRDefault="001B4875" w:rsidP="001B4875">
      <w:pPr>
        <w:pStyle w:val="SingleTxtG"/>
        <w:rPr>
          <w:iCs/>
        </w:rPr>
      </w:pPr>
      <w:r w:rsidRPr="001B4875">
        <w:rPr>
          <w:i/>
        </w:rPr>
        <w:t>Paragraphe 26.2.1.2.2</w:t>
      </w:r>
      <w:r w:rsidRPr="001B4875">
        <w:t>,</w:t>
      </w:r>
      <w:r w:rsidRPr="001B4875">
        <w:rPr>
          <w:iCs/>
        </w:rPr>
        <w:t xml:space="preserve"> lire</w:t>
      </w:r>
      <w:r w:rsidR="00806DBA">
        <w:rPr>
          <w:iCs/>
        </w:rPr>
        <w:t> </w:t>
      </w:r>
      <w:r w:rsidRPr="001B4875">
        <w:rPr>
          <w:iCs/>
        </w:rPr>
        <w:t>:</w:t>
      </w:r>
    </w:p>
    <w:p w14:paraId="7B80738B" w14:textId="77777777" w:rsidR="001B4875" w:rsidRPr="001B4875" w:rsidRDefault="001B4875" w:rsidP="0043772C">
      <w:pPr>
        <w:pStyle w:val="SingleTxtG"/>
        <w:ind w:left="2268" w:hanging="1134"/>
      </w:pPr>
      <w:r w:rsidRPr="001B4875">
        <w:t>«</w:t>
      </w:r>
      <w:r w:rsidR="0062148C">
        <w:t> </w:t>
      </w:r>
      <w:r w:rsidRPr="001B4875">
        <w:t>26.2.1.2.2</w:t>
      </w:r>
      <w:r w:rsidRPr="001B4875">
        <w:tab/>
        <w:t xml:space="preserve">Dans le cas de l’extension d’homologations de type en vertu du présent Règlement, ou dans le cas de l’homologation de types de véhicules déjà accordée en vertu </w:t>
      </w:r>
      <w:proofErr w:type="spellStart"/>
      <w:r w:rsidRPr="001B4875">
        <w:t>d</w:t>
      </w:r>
      <w:r w:rsidRPr="001B4875">
        <w:rPr>
          <w:strike/>
        </w:rPr>
        <w:t>es</w:t>
      </w:r>
      <w:r w:rsidRPr="001B4875">
        <w:rPr>
          <w:b/>
        </w:rPr>
        <w:t>u</w:t>
      </w:r>
      <w:proofErr w:type="spellEnd"/>
      <w:r w:rsidRPr="001B4875">
        <w:t xml:space="preserve"> Règlement</w:t>
      </w:r>
      <w:r w:rsidRPr="001B4875">
        <w:rPr>
          <w:strike/>
        </w:rPr>
        <w:t>s</w:t>
      </w:r>
      <w:r w:rsidRPr="001B4875">
        <w:t xml:space="preserve"> ONU </w:t>
      </w:r>
      <w:r w:rsidR="00806DBA" w:rsidRPr="002F6D0D">
        <w:rPr>
          <w:rFonts w:eastAsia="MS Mincho"/>
        </w:rPr>
        <w:t>n</w:t>
      </w:r>
      <w:r w:rsidR="00806DBA" w:rsidRPr="002F6D0D">
        <w:rPr>
          <w:rFonts w:eastAsia="MS Mincho"/>
          <w:vertAlign w:val="superscript"/>
        </w:rPr>
        <w:t>o</w:t>
      </w:r>
      <w:r w:rsidR="00806DBA" w:rsidRPr="002F6D0D">
        <w:rPr>
          <w:rFonts w:eastAsia="MS Mincho"/>
          <w:strike/>
          <w:vertAlign w:val="superscript"/>
        </w:rPr>
        <w:t>s</w:t>
      </w:r>
      <w:r w:rsidR="00806DBA" w:rsidRPr="002F6D0D">
        <w:t> </w:t>
      </w:r>
      <w:r w:rsidRPr="001B4875">
        <w:t>94</w:t>
      </w:r>
      <w:r w:rsidRPr="001B4875">
        <w:rPr>
          <w:strike/>
        </w:rPr>
        <w:t xml:space="preserve"> ou</w:t>
      </w:r>
      <w:r w:rsidR="0062148C" w:rsidRPr="00037800">
        <w:rPr>
          <w:strike/>
        </w:rPr>
        <w:t xml:space="preserve"> </w:t>
      </w:r>
      <w:r w:rsidRPr="001B4875">
        <w:rPr>
          <w:strike/>
        </w:rPr>
        <w:t>95</w:t>
      </w:r>
      <w:r w:rsidRPr="001B4875">
        <w:t xml:space="preserve"> avant l’entrée en vigueur du présent Règlement, lorsqu’il est démontré, documentation existante à l’appui (rapport, images, données de simulation ou éléments équivalents) que lors d’un choc avant (Règlement ONU </w:t>
      </w:r>
      <w:r w:rsidR="00806DBA">
        <w:rPr>
          <w:rFonts w:eastAsia="MS Mincho"/>
        </w:rPr>
        <w:t>n</w:t>
      </w:r>
      <w:r w:rsidR="00806DBA">
        <w:rPr>
          <w:rFonts w:eastAsia="MS Mincho"/>
          <w:vertAlign w:val="superscript"/>
        </w:rPr>
        <w:t>o</w:t>
      </w:r>
      <w:r w:rsidR="00806DBA">
        <w:t> </w:t>
      </w:r>
      <w:r w:rsidRPr="001B4875">
        <w:t>94)</w:t>
      </w:r>
      <w:r w:rsidR="00806DBA">
        <w:t> </w:t>
      </w:r>
      <w:r w:rsidRPr="001B4875">
        <w:t>:</w:t>
      </w:r>
    </w:p>
    <w:p w14:paraId="09DD95C9" w14:textId="77777777" w:rsidR="001B4875" w:rsidRPr="001B4875" w:rsidRDefault="001B4875" w:rsidP="007D25DB">
      <w:pPr>
        <w:pStyle w:val="SingleTxtG"/>
        <w:ind w:left="2835" w:hanging="567"/>
      </w:pPr>
      <w:r w:rsidRPr="001B4875">
        <w:t>a)</w:t>
      </w:r>
      <w:r w:rsidRPr="001B4875">
        <w:tab/>
        <w:t>Un signal de déclenchement a été émis</w:t>
      </w:r>
      <w:r w:rsidR="0062148C">
        <w:t> </w:t>
      </w:r>
      <w:r w:rsidRPr="001B4875">
        <w:t>;</w:t>
      </w:r>
    </w:p>
    <w:p w14:paraId="14C7EC4E" w14:textId="77777777" w:rsidR="001B4875" w:rsidRPr="001B4875" w:rsidRDefault="001B4875" w:rsidP="007D25DB">
      <w:pPr>
        <w:pStyle w:val="SingleTxtG"/>
        <w:ind w:left="2835" w:hanging="567"/>
      </w:pPr>
      <w:r w:rsidRPr="001B4875">
        <w:t>b)</w:t>
      </w:r>
      <w:r w:rsidRPr="001B4875">
        <w:tab/>
        <w:t>L’installation de l’AECD n’est pas perturbée par le choc subi par le véhicule.</w:t>
      </w:r>
      <w:r w:rsidR="0062148C">
        <w:t> </w:t>
      </w:r>
      <w:r w:rsidRPr="001B4875">
        <w:t>»</w:t>
      </w:r>
      <w:r w:rsidR="0062148C">
        <w:t>.</w:t>
      </w:r>
    </w:p>
    <w:p w14:paraId="54C12D39" w14:textId="77777777" w:rsidR="001B4875" w:rsidRPr="001B4875" w:rsidRDefault="001B4875" w:rsidP="001B4875">
      <w:pPr>
        <w:pStyle w:val="SingleTxtG"/>
        <w:rPr>
          <w:iCs/>
        </w:rPr>
      </w:pPr>
      <w:r w:rsidRPr="001B4875">
        <w:rPr>
          <w:i/>
        </w:rPr>
        <w:t>Paragraphe 26.2.1.3.2</w:t>
      </w:r>
      <w:r w:rsidRPr="001B4875">
        <w:rPr>
          <w:iCs/>
        </w:rPr>
        <w:t>, lire</w:t>
      </w:r>
      <w:r w:rsidR="002F6D0D">
        <w:rPr>
          <w:iCs/>
        </w:rPr>
        <w:t> </w:t>
      </w:r>
      <w:r w:rsidRPr="001B4875">
        <w:rPr>
          <w:iCs/>
        </w:rPr>
        <w:t>:</w:t>
      </w:r>
    </w:p>
    <w:p w14:paraId="11F0C917" w14:textId="77777777" w:rsidR="001B4875" w:rsidRPr="001B4875" w:rsidRDefault="001B4875" w:rsidP="0043772C">
      <w:pPr>
        <w:pStyle w:val="SingleTxtG"/>
        <w:ind w:left="2268" w:hanging="1134"/>
      </w:pPr>
      <w:r w:rsidRPr="001B4875">
        <w:t>«</w:t>
      </w:r>
      <w:r w:rsidR="002F6D0D">
        <w:t> </w:t>
      </w:r>
      <w:r w:rsidRPr="001B4875">
        <w:t>26.2.1.3.2.</w:t>
      </w:r>
      <w:r w:rsidRPr="001B4875">
        <w:tab/>
        <w:t xml:space="preserve">Dans le cas de l’extension d’homologations de type en vertu du présent Règlement, ou dans le cas de l’homologation de types de véhicules déjà accordée en vertu </w:t>
      </w:r>
      <w:proofErr w:type="spellStart"/>
      <w:r w:rsidRPr="001B4875">
        <w:t>d</w:t>
      </w:r>
      <w:r w:rsidRPr="001B4875">
        <w:rPr>
          <w:strike/>
        </w:rPr>
        <w:t>es</w:t>
      </w:r>
      <w:r w:rsidRPr="001B4875">
        <w:rPr>
          <w:b/>
        </w:rPr>
        <w:t>u</w:t>
      </w:r>
      <w:proofErr w:type="spellEnd"/>
      <w:r w:rsidRPr="001B4875">
        <w:t xml:space="preserve"> Règlement</w:t>
      </w:r>
      <w:r w:rsidRPr="00DE7971">
        <w:rPr>
          <w:strike/>
        </w:rPr>
        <w:t>s</w:t>
      </w:r>
      <w:r w:rsidRPr="001B4875">
        <w:t xml:space="preserve"> ONU </w:t>
      </w:r>
      <w:r w:rsidR="00037800">
        <w:rPr>
          <w:rFonts w:eastAsia="MS Mincho"/>
        </w:rPr>
        <w:t>n</w:t>
      </w:r>
      <w:r w:rsidR="00037800">
        <w:rPr>
          <w:rFonts w:eastAsia="MS Mincho"/>
          <w:vertAlign w:val="superscript"/>
        </w:rPr>
        <w:t>o</w:t>
      </w:r>
      <w:r w:rsidR="00037800" w:rsidRPr="00037800">
        <w:rPr>
          <w:rFonts w:eastAsia="MS Mincho"/>
          <w:strike/>
          <w:vertAlign w:val="superscript"/>
        </w:rPr>
        <w:t>s</w:t>
      </w:r>
      <w:r w:rsidR="00037800" w:rsidRPr="00037800">
        <w:rPr>
          <w:strike/>
        </w:rPr>
        <w:t> </w:t>
      </w:r>
      <w:r w:rsidRPr="001B4875">
        <w:rPr>
          <w:strike/>
        </w:rPr>
        <w:t>94 ou</w:t>
      </w:r>
      <w:r w:rsidRPr="001B4875">
        <w:t xml:space="preserve"> 95 avant l’entrée en vigueur du présent Règlement, lorsqu’il est démontré, documentation existante à l’appui (rapport, images, données de simulation ou éléments équivalents) que lors d’un choc latéral (Règlement ONU </w:t>
      </w:r>
      <w:r w:rsidR="002F6D0D">
        <w:rPr>
          <w:rFonts w:eastAsia="MS Mincho"/>
        </w:rPr>
        <w:t>n</w:t>
      </w:r>
      <w:r w:rsidR="002F6D0D">
        <w:rPr>
          <w:rFonts w:eastAsia="MS Mincho"/>
          <w:vertAlign w:val="superscript"/>
        </w:rPr>
        <w:t>o</w:t>
      </w:r>
      <w:r w:rsidR="002F6D0D">
        <w:t> </w:t>
      </w:r>
      <w:r w:rsidRPr="001B4875">
        <w:t>95)</w:t>
      </w:r>
      <w:r w:rsidR="002F6D0D">
        <w:t> </w:t>
      </w:r>
      <w:r w:rsidRPr="001B4875">
        <w:t>:</w:t>
      </w:r>
    </w:p>
    <w:p w14:paraId="5D5F219D" w14:textId="77777777" w:rsidR="001B4875" w:rsidRPr="001B4875" w:rsidRDefault="001B4875" w:rsidP="007D25DB">
      <w:pPr>
        <w:pStyle w:val="SingleTxtG"/>
        <w:ind w:left="2835" w:hanging="567"/>
      </w:pPr>
      <w:r w:rsidRPr="001B4875">
        <w:t>a)</w:t>
      </w:r>
      <w:r w:rsidRPr="001B4875">
        <w:tab/>
        <w:t>Un signal de déclenchement a été émis</w:t>
      </w:r>
      <w:r w:rsidR="00037800">
        <w:t> </w:t>
      </w:r>
      <w:r w:rsidRPr="001B4875">
        <w:t>;</w:t>
      </w:r>
    </w:p>
    <w:p w14:paraId="25996EF6" w14:textId="77777777" w:rsidR="001B4875" w:rsidRPr="001B4875" w:rsidRDefault="001B4875" w:rsidP="007D25DB">
      <w:pPr>
        <w:pStyle w:val="SingleTxtG"/>
        <w:ind w:left="2835" w:hanging="567"/>
      </w:pPr>
      <w:r w:rsidRPr="001B4875">
        <w:lastRenderedPageBreak/>
        <w:t>b)</w:t>
      </w:r>
      <w:r w:rsidRPr="001B4875">
        <w:tab/>
        <w:t>L’installation de l’AECD n’est pas perturbée par le choc subi par le véhicule.</w:t>
      </w:r>
      <w:r w:rsidR="00037800">
        <w:t> </w:t>
      </w:r>
      <w:r w:rsidRPr="001B4875">
        <w:t>»</w:t>
      </w:r>
      <w:r w:rsidR="00037800">
        <w:t>.</w:t>
      </w:r>
    </w:p>
    <w:p w14:paraId="0A428E90" w14:textId="77777777" w:rsidR="001B4875" w:rsidRPr="001B4875" w:rsidRDefault="001B4875" w:rsidP="001B4875">
      <w:pPr>
        <w:pStyle w:val="SingleTxtG"/>
        <w:rPr>
          <w:iCs/>
        </w:rPr>
      </w:pPr>
      <w:r w:rsidRPr="001B4875">
        <w:rPr>
          <w:i/>
        </w:rPr>
        <w:t>Paragraphe 26.2.2.1.2</w:t>
      </w:r>
      <w:r w:rsidRPr="001B4875">
        <w:t>,</w:t>
      </w:r>
      <w:r w:rsidRPr="001B4875">
        <w:rPr>
          <w:i/>
        </w:rPr>
        <w:t xml:space="preserve"> </w:t>
      </w:r>
      <w:r w:rsidRPr="001B4875">
        <w:rPr>
          <w:iCs/>
        </w:rPr>
        <w:t>lire</w:t>
      </w:r>
      <w:r w:rsidR="00037800">
        <w:rPr>
          <w:iCs/>
        </w:rPr>
        <w:t> </w:t>
      </w:r>
      <w:r w:rsidRPr="001B4875">
        <w:rPr>
          <w:iCs/>
        </w:rPr>
        <w:t>:</w:t>
      </w:r>
    </w:p>
    <w:p w14:paraId="3663F0D2" w14:textId="77777777" w:rsidR="001B4875" w:rsidRPr="001B4875" w:rsidRDefault="001B4875" w:rsidP="0043772C">
      <w:pPr>
        <w:pStyle w:val="SingleTxtG"/>
        <w:ind w:left="2268" w:hanging="1134"/>
      </w:pPr>
      <w:r w:rsidRPr="001B4875">
        <w:t>«</w:t>
      </w:r>
      <w:r w:rsidR="00037800">
        <w:t> </w:t>
      </w:r>
      <w:r w:rsidRPr="001B4875">
        <w:t>26.2.2.1.2</w:t>
      </w:r>
      <w:r w:rsidRPr="001B4875">
        <w:tab/>
        <w:t xml:space="preserve">Dans le cas de l’extension d’homologations de type en vertu du présent Règlement ou dans le cas de l’homologation de types de véhicules déjà homologués en vertu </w:t>
      </w:r>
      <w:proofErr w:type="spellStart"/>
      <w:r w:rsidRPr="001B4875">
        <w:t>d</w:t>
      </w:r>
      <w:r w:rsidRPr="001B4875">
        <w:rPr>
          <w:strike/>
        </w:rPr>
        <w:t>es</w:t>
      </w:r>
      <w:r w:rsidRPr="001B4875">
        <w:rPr>
          <w:b/>
        </w:rPr>
        <w:t>u</w:t>
      </w:r>
      <w:proofErr w:type="spellEnd"/>
      <w:r w:rsidRPr="001B4875">
        <w:t xml:space="preserve"> Règlement</w:t>
      </w:r>
      <w:r w:rsidRPr="00DE7971">
        <w:rPr>
          <w:strike/>
        </w:rPr>
        <w:t>s</w:t>
      </w:r>
      <w:r w:rsidRPr="001B4875">
        <w:t xml:space="preserve"> ONU </w:t>
      </w:r>
      <w:r w:rsidR="00037800">
        <w:rPr>
          <w:rFonts w:eastAsia="MS Mincho"/>
        </w:rPr>
        <w:t>n</w:t>
      </w:r>
      <w:r w:rsidR="00037800">
        <w:rPr>
          <w:rFonts w:eastAsia="MS Mincho"/>
          <w:vertAlign w:val="superscript"/>
        </w:rPr>
        <w:t>o</w:t>
      </w:r>
      <w:r w:rsidR="00037800" w:rsidRPr="00037800">
        <w:rPr>
          <w:rFonts w:eastAsia="MS Mincho"/>
          <w:strike/>
          <w:vertAlign w:val="superscript"/>
        </w:rPr>
        <w:t>s</w:t>
      </w:r>
      <w:r w:rsidR="00037800" w:rsidRPr="00037800">
        <w:rPr>
          <w:strike/>
        </w:rPr>
        <w:t> </w:t>
      </w:r>
      <w:r w:rsidRPr="001B4875">
        <w:rPr>
          <w:strike/>
        </w:rPr>
        <w:t>94</w:t>
      </w:r>
      <w:r w:rsidRPr="001B4875">
        <w:t xml:space="preserve"> ou 95 avant l’entrée en vigueur du présent Règlement, lorsqu’il est démontré, documentation existante à l’appui (rapport, images, données de simulation ou documents équivalents) que lors d’un essai de choc latéral (Règlement ONU </w:t>
      </w:r>
      <w:r w:rsidR="00037800">
        <w:rPr>
          <w:rFonts w:eastAsia="MS Mincho"/>
        </w:rPr>
        <w:t>n</w:t>
      </w:r>
      <w:r w:rsidR="00037800">
        <w:rPr>
          <w:rFonts w:eastAsia="MS Mincho"/>
          <w:vertAlign w:val="superscript"/>
        </w:rPr>
        <w:t>o</w:t>
      </w:r>
      <w:r w:rsidR="00037800">
        <w:t> </w:t>
      </w:r>
      <w:r w:rsidRPr="001B4875">
        <w:t>95)</w:t>
      </w:r>
      <w:r w:rsidR="00037800">
        <w:t> </w:t>
      </w:r>
      <w:r w:rsidRPr="001B4875">
        <w:t>:</w:t>
      </w:r>
    </w:p>
    <w:p w14:paraId="331A7F35" w14:textId="77777777" w:rsidR="001B4875" w:rsidRPr="001B4875" w:rsidRDefault="001B4875" w:rsidP="007D25DB">
      <w:pPr>
        <w:pStyle w:val="SingleTxtG"/>
        <w:ind w:left="2835" w:hanging="567"/>
      </w:pPr>
      <w:r w:rsidRPr="001B4875">
        <w:t>a)</w:t>
      </w:r>
      <w:r w:rsidRPr="001B4875">
        <w:tab/>
        <w:t>Un signal de déclenchement a été émis</w:t>
      </w:r>
      <w:r w:rsidR="00037800">
        <w:t> </w:t>
      </w:r>
      <w:r w:rsidRPr="001B4875">
        <w:t>;</w:t>
      </w:r>
    </w:p>
    <w:p w14:paraId="1A8EE2B5" w14:textId="77777777" w:rsidR="001B4875" w:rsidRPr="001B4875" w:rsidRDefault="001B4875" w:rsidP="007D25DB">
      <w:pPr>
        <w:pStyle w:val="SingleTxtG"/>
        <w:ind w:left="2835" w:hanging="567"/>
      </w:pPr>
      <w:r w:rsidRPr="001B4875">
        <w:t>b)</w:t>
      </w:r>
      <w:r w:rsidRPr="001B4875">
        <w:tab/>
        <w:t>L’installation de l’AECD n’est pas perturbée par le choc subi par le véhicule.</w:t>
      </w:r>
      <w:r w:rsidR="00037800">
        <w:t> </w:t>
      </w:r>
      <w:r w:rsidRPr="001B4875">
        <w:t>»</w:t>
      </w:r>
      <w:r w:rsidR="00037800">
        <w:t>.</w:t>
      </w:r>
    </w:p>
    <w:p w14:paraId="769BF40C" w14:textId="77777777" w:rsidR="001B4875" w:rsidRPr="001B4875" w:rsidRDefault="001B4875" w:rsidP="001B4875">
      <w:pPr>
        <w:pStyle w:val="SingleTxtG"/>
        <w:rPr>
          <w:iCs/>
        </w:rPr>
      </w:pPr>
      <w:r w:rsidRPr="001B4875">
        <w:rPr>
          <w:i/>
        </w:rPr>
        <w:t>Paragraphe 26.3</w:t>
      </w:r>
      <w:r w:rsidRPr="001B4875">
        <w:t>,</w:t>
      </w:r>
      <w:r w:rsidRPr="001B4875">
        <w:rPr>
          <w:i/>
        </w:rPr>
        <w:t xml:space="preserve"> </w:t>
      </w:r>
      <w:r w:rsidRPr="001B4875">
        <w:rPr>
          <w:iCs/>
        </w:rPr>
        <w:t>lire</w:t>
      </w:r>
      <w:r w:rsidR="00037800">
        <w:rPr>
          <w:iCs/>
        </w:rPr>
        <w:t> </w:t>
      </w:r>
      <w:r w:rsidRPr="001B4875">
        <w:rPr>
          <w:iCs/>
        </w:rPr>
        <w:t>:</w:t>
      </w:r>
    </w:p>
    <w:p w14:paraId="57EE5656" w14:textId="77777777" w:rsidR="001B4875" w:rsidRPr="001B4875" w:rsidRDefault="001B4875" w:rsidP="0043772C">
      <w:pPr>
        <w:pStyle w:val="SingleTxtG"/>
        <w:ind w:left="2268" w:hanging="1134"/>
      </w:pPr>
      <w:r w:rsidRPr="001B4875">
        <w:t>«</w:t>
      </w:r>
      <w:r w:rsidR="00037800">
        <w:t> </w:t>
      </w:r>
      <w:r w:rsidRPr="001B4875">
        <w:t>26.3</w:t>
      </w:r>
      <w:r w:rsidRPr="001B4875">
        <w:tab/>
        <w:t>Détermination de la position</w:t>
      </w:r>
    </w:p>
    <w:p w14:paraId="6D730352" w14:textId="77777777" w:rsidR="001B4875" w:rsidRPr="001B4875" w:rsidRDefault="001B4875" w:rsidP="0043772C">
      <w:pPr>
        <w:pStyle w:val="SingleTxtG"/>
        <w:ind w:left="2268"/>
      </w:pPr>
      <w:r w:rsidRPr="001B4875">
        <w:t>…</w:t>
      </w:r>
    </w:p>
    <w:p w14:paraId="70535813" w14:textId="77777777" w:rsidR="001B4875" w:rsidRPr="001B4875" w:rsidRDefault="001B4875" w:rsidP="0043772C">
      <w:pPr>
        <w:pStyle w:val="SingleTxtG"/>
        <w:ind w:left="2268"/>
      </w:pPr>
      <w:r w:rsidRPr="001B4875">
        <w:t>La capacité de positionnement de l’AECS peut être démontrée au moyen des méthodes d’essai décrites à l’annexe 10 (Méthodes d’essai pour les solutions de navigation). L’information correspondante doit figurer dans le document de communication visé à l’annexe 3, point</w:t>
      </w:r>
      <w:r w:rsidRPr="001B4875">
        <w:rPr>
          <w:strike/>
        </w:rPr>
        <w:t xml:space="preserve"> 11</w:t>
      </w:r>
      <w:r w:rsidRPr="001B4875">
        <w:t xml:space="preserve"> </w:t>
      </w:r>
      <w:r w:rsidRPr="001B4875">
        <w:rPr>
          <w:b/>
        </w:rPr>
        <w:t>10</w:t>
      </w:r>
      <w:r w:rsidRPr="001B4875">
        <w:t>.</w:t>
      </w:r>
    </w:p>
    <w:p w14:paraId="4866B156" w14:textId="77777777" w:rsidR="001B4875" w:rsidRPr="001B4875" w:rsidRDefault="001B4875" w:rsidP="0043772C">
      <w:pPr>
        <w:pStyle w:val="SingleTxtG"/>
        <w:ind w:left="2268" w:hanging="1134"/>
      </w:pPr>
      <w:r w:rsidRPr="001B4875">
        <w:t>26.3.1</w:t>
      </w:r>
      <w:r w:rsidRPr="001B4875">
        <w:tab/>
        <w:t>L’AECS doit être capable de produire la solution de navigation dans un format conforme au protocole NMEA-0183 (messages RMC, GGA, VTG, GSA ou GSV). La configuration de l’AEC</w:t>
      </w:r>
      <w:r w:rsidRPr="001B4875">
        <w:rPr>
          <w:strike/>
        </w:rPr>
        <w:t>D</w:t>
      </w:r>
      <w:r w:rsidRPr="001B4875">
        <w:rPr>
          <w:b/>
        </w:rPr>
        <w:t>S</w:t>
      </w:r>
      <w:r w:rsidRPr="001B4875">
        <w:t xml:space="preserve"> pour la production de messages NMEA-0183 à destination de récepteurs extérieurs doit être décrite dans le mode d’emploi.</w:t>
      </w:r>
      <w:r w:rsidR="00037800">
        <w:t> </w:t>
      </w:r>
      <w:r w:rsidRPr="001B4875">
        <w:t>»</w:t>
      </w:r>
      <w:r w:rsidR="00037800">
        <w:t>.</w:t>
      </w:r>
    </w:p>
    <w:p w14:paraId="26AE0164" w14:textId="77777777" w:rsidR="001B4875" w:rsidRPr="001B4875" w:rsidRDefault="001B4875" w:rsidP="001B4875">
      <w:pPr>
        <w:pStyle w:val="SingleTxtG"/>
        <w:rPr>
          <w:iCs/>
        </w:rPr>
      </w:pPr>
      <w:r w:rsidRPr="001B4875">
        <w:rPr>
          <w:i/>
        </w:rPr>
        <w:t>Paragraphe 26.5.3</w:t>
      </w:r>
      <w:r w:rsidRPr="009905FA">
        <w:t>,</w:t>
      </w:r>
      <w:r w:rsidRPr="001B4875">
        <w:rPr>
          <w:iCs/>
        </w:rPr>
        <w:t xml:space="preserve"> lire</w:t>
      </w:r>
      <w:r w:rsidR="009905FA">
        <w:rPr>
          <w:iCs/>
        </w:rPr>
        <w:t> </w:t>
      </w:r>
      <w:r w:rsidRPr="001B4875">
        <w:rPr>
          <w:iCs/>
        </w:rPr>
        <w:t>:</w:t>
      </w:r>
    </w:p>
    <w:p w14:paraId="7C78284D" w14:textId="77777777" w:rsidR="001B4875" w:rsidRPr="001B4875" w:rsidRDefault="001B4875" w:rsidP="009905FA">
      <w:pPr>
        <w:pStyle w:val="SingleTxtG"/>
        <w:ind w:left="2268" w:hanging="1134"/>
      </w:pPr>
      <w:r w:rsidRPr="001B4875">
        <w:t>«</w:t>
      </w:r>
      <w:r w:rsidR="00DE7971">
        <w:t> </w:t>
      </w:r>
      <w:r w:rsidRPr="001B4875">
        <w:t>26.5.3.</w:t>
      </w:r>
      <w:r w:rsidRPr="001B4875">
        <w:tab/>
        <w:t>Un signal d’avertissement doit être émis en cas de défaillance interne de l’AEC</w:t>
      </w:r>
      <w:r w:rsidRPr="001B4875">
        <w:rPr>
          <w:strike/>
        </w:rPr>
        <w:t>D</w:t>
      </w:r>
      <w:r w:rsidRPr="001B4875">
        <w:rPr>
          <w:b/>
        </w:rPr>
        <w:t>S</w:t>
      </w:r>
      <w:r w:rsidRPr="001B4875">
        <w:t> ; ce signal doit être affiché aussi longtemps que dure la défaillance. Le signal peut être effacé temporairement, mais doit se rallumer chaque fois que l’allumage du véhicule ou le coupe-circuit principal sont activés (selon le cas).</w:t>
      </w:r>
      <w:r w:rsidR="00956100">
        <w:t> </w:t>
      </w:r>
      <w:r w:rsidRPr="001B4875">
        <w:t>»</w:t>
      </w:r>
      <w:r w:rsidR="00956100">
        <w:t>.</w:t>
      </w:r>
    </w:p>
    <w:p w14:paraId="28AEFD0C" w14:textId="77777777" w:rsidR="001B4875" w:rsidRPr="001B4875" w:rsidRDefault="001B4875" w:rsidP="001B4875">
      <w:pPr>
        <w:pStyle w:val="SingleTxtG"/>
        <w:rPr>
          <w:b/>
          <w:iCs/>
        </w:rPr>
      </w:pPr>
      <w:r w:rsidRPr="001B4875">
        <w:rPr>
          <w:i/>
        </w:rPr>
        <w:t>Paragraphe 34.1</w:t>
      </w:r>
      <w:r w:rsidRPr="001B4875">
        <w:t>,</w:t>
      </w:r>
      <w:r w:rsidRPr="001B4875">
        <w:rPr>
          <w:iCs/>
        </w:rPr>
        <w:t xml:space="preserve"> lire</w:t>
      </w:r>
      <w:r w:rsidR="00956100">
        <w:rPr>
          <w:iCs/>
        </w:rPr>
        <w:t> </w:t>
      </w:r>
      <w:r w:rsidRPr="001B4875">
        <w:rPr>
          <w:iCs/>
        </w:rPr>
        <w:t>:</w:t>
      </w:r>
    </w:p>
    <w:p w14:paraId="5C2E7E90" w14:textId="77777777" w:rsidR="001B4875" w:rsidRPr="001B4875" w:rsidRDefault="001B4875" w:rsidP="009905FA">
      <w:pPr>
        <w:pStyle w:val="SingleTxtG"/>
        <w:ind w:left="2268" w:hanging="1134"/>
      </w:pPr>
      <w:r w:rsidRPr="001B4875">
        <w:t>«</w:t>
      </w:r>
      <w:r w:rsidR="00956100">
        <w:t> </w:t>
      </w:r>
      <w:r w:rsidRPr="001B4875">
        <w:t>34.1</w:t>
      </w:r>
      <w:r w:rsidRPr="001B4875">
        <w:tab/>
        <w:t>Si le type de véhicule présenté à l’homologation en vertu du paragraphe 33 satisfait aux prescriptions du paragraphe 35 du présent Règlement, l’homologation est accordée.</w:t>
      </w:r>
    </w:p>
    <w:p w14:paraId="7EBA45E8" w14:textId="77777777" w:rsidR="001B4875" w:rsidRPr="001B4875" w:rsidRDefault="001B4875" w:rsidP="009905FA">
      <w:pPr>
        <w:pStyle w:val="SingleTxtG"/>
        <w:ind w:left="2268"/>
      </w:pPr>
      <w:r w:rsidRPr="001B4875">
        <w:t>Avant d’accorder l’homologation à un type de véhicule, l’autorité compétente doit s’assurer que tous les éléments énumérés au paragraphe</w:t>
      </w:r>
      <w:r w:rsidRPr="001B4875">
        <w:rPr>
          <w:strike/>
        </w:rPr>
        <w:t xml:space="preserve"> 17.6.1</w:t>
      </w:r>
      <w:r w:rsidRPr="001B4875">
        <w:t xml:space="preserve"> </w:t>
      </w:r>
      <w:r w:rsidRPr="001B4875">
        <w:rPr>
          <w:b/>
        </w:rPr>
        <w:t>35.10.1</w:t>
      </w:r>
      <w:r w:rsidRPr="001B4875">
        <w:t xml:space="preserve"> sont soumis à des essais conformément à l’annexe 9. Si l’AECS est alimenté en électricité autrement que par l’alimentation électrique de secours visée au paragraphe</w:t>
      </w:r>
      <w:r w:rsidRPr="001B4875">
        <w:rPr>
          <w:strike/>
        </w:rPr>
        <w:t xml:space="preserve"> 17.6.2</w:t>
      </w:r>
      <w:r w:rsidRPr="001B4875">
        <w:t xml:space="preserve"> </w:t>
      </w:r>
      <w:r w:rsidRPr="001B4875">
        <w:rPr>
          <w:b/>
        </w:rPr>
        <w:t>35.10.2</w:t>
      </w:r>
      <w:r w:rsidRPr="001B4875">
        <w:t>, son alimentation électrique doit être soumise à des essais conformément à l’annexe 9 du présent Règlement.</w:t>
      </w:r>
      <w:r w:rsidR="00511CD1">
        <w:t> </w:t>
      </w:r>
      <w:r w:rsidRPr="001B4875">
        <w:t>»</w:t>
      </w:r>
      <w:r w:rsidR="00511CD1">
        <w:t>.</w:t>
      </w:r>
    </w:p>
    <w:p w14:paraId="4B18CF30" w14:textId="77777777" w:rsidR="001B4875" w:rsidRPr="001B4875" w:rsidRDefault="001B4875" w:rsidP="001B4875">
      <w:pPr>
        <w:pStyle w:val="SingleTxtG"/>
        <w:rPr>
          <w:iCs/>
        </w:rPr>
      </w:pPr>
      <w:r w:rsidRPr="001B4875">
        <w:rPr>
          <w:i/>
        </w:rPr>
        <w:t>Paragraphe 35.5.1.2.2</w:t>
      </w:r>
      <w:r w:rsidRPr="001B4875">
        <w:t>,</w:t>
      </w:r>
      <w:r w:rsidRPr="001B4875">
        <w:rPr>
          <w:i/>
        </w:rPr>
        <w:t xml:space="preserve"> </w:t>
      </w:r>
      <w:r w:rsidRPr="001B4875">
        <w:rPr>
          <w:iCs/>
        </w:rPr>
        <w:t>lire</w:t>
      </w:r>
      <w:r w:rsidR="00511CD1">
        <w:rPr>
          <w:iCs/>
        </w:rPr>
        <w:t> </w:t>
      </w:r>
      <w:r w:rsidRPr="001B4875">
        <w:rPr>
          <w:iCs/>
        </w:rPr>
        <w:t>:</w:t>
      </w:r>
    </w:p>
    <w:p w14:paraId="11D152A9" w14:textId="77777777" w:rsidR="001B4875" w:rsidRPr="001B4875" w:rsidRDefault="001B4875" w:rsidP="009905FA">
      <w:pPr>
        <w:pStyle w:val="SingleTxtG"/>
        <w:ind w:left="2268" w:hanging="1134"/>
      </w:pPr>
      <w:r w:rsidRPr="001B4875">
        <w:t>«</w:t>
      </w:r>
      <w:r w:rsidR="00511CD1">
        <w:t> </w:t>
      </w:r>
      <w:r w:rsidRPr="001B4875">
        <w:t>35.5.1.2.2</w:t>
      </w:r>
      <w:r w:rsidRPr="001B4875">
        <w:tab/>
        <w:t xml:space="preserve">Dans le cas de l’extension d’homologations de type en vertu du présent Règlement, ou dans le cas de l’homologation de types de véhicules déjà accordée en vertu </w:t>
      </w:r>
      <w:proofErr w:type="spellStart"/>
      <w:r w:rsidRPr="001B4875">
        <w:t>d</w:t>
      </w:r>
      <w:r w:rsidRPr="001B4875">
        <w:rPr>
          <w:strike/>
        </w:rPr>
        <w:t>es</w:t>
      </w:r>
      <w:r w:rsidRPr="001B4875">
        <w:rPr>
          <w:b/>
        </w:rPr>
        <w:t>u</w:t>
      </w:r>
      <w:proofErr w:type="spellEnd"/>
      <w:r w:rsidRPr="001B4875">
        <w:t xml:space="preserve"> Règlement</w:t>
      </w:r>
      <w:r w:rsidRPr="00B62401">
        <w:rPr>
          <w:strike/>
        </w:rPr>
        <w:t>s</w:t>
      </w:r>
      <w:r w:rsidRPr="001B4875">
        <w:t xml:space="preserve"> ONU </w:t>
      </w:r>
      <w:r w:rsidR="00511CD1">
        <w:rPr>
          <w:rFonts w:eastAsia="MS Mincho"/>
        </w:rPr>
        <w:t>n</w:t>
      </w:r>
      <w:r w:rsidR="00511CD1">
        <w:rPr>
          <w:rFonts w:eastAsia="MS Mincho"/>
          <w:vertAlign w:val="superscript"/>
        </w:rPr>
        <w:t>o</w:t>
      </w:r>
      <w:r w:rsidR="00511CD1" w:rsidRPr="00511CD1">
        <w:rPr>
          <w:rFonts w:eastAsia="MS Mincho"/>
          <w:strike/>
          <w:vertAlign w:val="superscript"/>
        </w:rPr>
        <w:t>s</w:t>
      </w:r>
      <w:r w:rsidR="00511CD1">
        <w:rPr>
          <w:rFonts w:eastAsia="MS Mincho"/>
        </w:rPr>
        <w:t> </w:t>
      </w:r>
      <w:r w:rsidRPr="001B4875">
        <w:t>94</w:t>
      </w:r>
      <w:r w:rsidRPr="001B4875">
        <w:rPr>
          <w:strike/>
        </w:rPr>
        <w:t xml:space="preserve"> ou 95</w:t>
      </w:r>
      <w:r w:rsidRPr="001B4875">
        <w:t xml:space="preserve"> avant l’entrée en vigueur du présent Règlement, lorsqu’il est démontré, documentation existante à l’appui (rapport, images, données de simulation ou éléments équivalents) que lors d’un choc avant (Règlement ONU </w:t>
      </w:r>
      <w:r w:rsidR="00511CD1">
        <w:rPr>
          <w:rFonts w:eastAsia="MS Mincho"/>
        </w:rPr>
        <w:t>n</w:t>
      </w:r>
      <w:r w:rsidR="00511CD1">
        <w:rPr>
          <w:rFonts w:eastAsia="MS Mincho"/>
          <w:vertAlign w:val="superscript"/>
        </w:rPr>
        <w:t>o</w:t>
      </w:r>
      <w:r w:rsidR="00511CD1">
        <w:t> </w:t>
      </w:r>
      <w:r w:rsidRPr="001B4875">
        <w:t>94)</w:t>
      </w:r>
      <w:r w:rsidR="00511CD1">
        <w:t> </w:t>
      </w:r>
      <w:r w:rsidRPr="001B4875">
        <w:t>:</w:t>
      </w:r>
    </w:p>
    <w:p w14:paraId="265CD84A" w14:textId="77777777" w:rsidR="001B4875" w:rsidRPr="001B4875" w:rsidRDefault="001B4875" w:rsidP="00A250BD">
      <w:pPr>
        <w:pStyle w:val="SingleTxtG"/>
        <w:ind w:left="2835" w:hanging="567"/>
      </w:pPr>
      <w:r w:rsidRPr="001B4875">
        <w:t>a)</w:t>
      </w:r>
      <w:r w:rsidRPr="001B4875">
        <w:tab/>
        <w:t>Un signal de déclenchement a été émis</w:t>
      </w:r>
      <w:r w:rsidR="00511CD1">
        <w:t> </w:t>
      </w:r>
      <w:r w:rsidRPr="001B4875">
        <w:t>;</w:t>
      </w:r>
    </w:p>
    <w:p w14:paraId="52E25FE1" w14:textId="77777777" w:rsidR="001B4875" w:rsidRPr="001B4875" w:rsidRDefault="001B4875" w:rsidP="00A250BD">
      <w:pPr>
        <w:pStyle w:val="SingleTxtG"/>
        <w:ind w:left="2835" w:hanging="567"/>
      </w:pPr>
      <w:r w:rsidRPr="001B4875">
        <w:t>b)</w:t>
      </w:r>
      <w:r w:rsidRPr="001B4875">
        <w:tab/>
        <w:t>L’installation de l’AECS n’est pas perturbée par le choc subi par le véhicule.</w:t>
      </w:r>
      <w:r w:rsidR="00511CD1">
        <w:t> </w:t>
      </w:r>
      <w:r w:rsidRPr="001B4875">
        <w:t>»</w:t>
      </w:r>
      <w:r w:rsidR="00511CD1">
        <w:t>.</w:t>
      </w:r>
    </w:p>
    <w:p w14:paraId="51852223" w14:textId="77777777" w:rsidR="001B4875" w:rsidRPr="001B4875" w:rsidRDefault="001B4875" w:rsidP="001B4875">
      <w:pPr>
        <w:pStyle w:val="SingleTxtG"/>
      </w:pPr>
      <w:r w:rsidRPr="001B4875">
        <w:rPr>
          <w:i/>
        </w:rPr>
        <w:lastRenderedPageBreak/>
        <w:t>Paragraphe 35.5.1.3.2</w:t>
      </w:r>
      <w:r w:rsidRPr="001B4875">
        <w:t>, lire</w:t>
      </w:r>
      <w:r w:rsidR="00511CD1">
        <w:t> </w:t>
      </w:r>
      <w:r w:rsidRPr="001B4875">
        <w:t>:</w:t>
      </w:r>
    </w:p>
    <w:p w14:paraId="7B7B8C07" w14:textId="77777777" w:rsidR="001B4875" w:rsidRPr="001B4875" w:rsidRDefault="001B4875" w:rsidP="009905FA">
      <w:pPr>
        <w:pStyle w:val="SingleTxtG"/>
        <w:ind w:left="2268" w:hanging="1134"/>
      </w:pPr>
      <w:r w:rsidRPr="001B4875">
        <w:t>«</w:t>
      </w:r>
      <w:r w:rsidR="00853CE4">
        <w:t> </w:t>
      </w:r>
      <w:r w:rsidRPr="001B4875">
        <w:t>35.5.1.3.2</w:t>
      </w:r>
      <w:r w:rsidRPr="001B4875">
        <w:tab/>
        <w:t xml:space="preserve">Dans le cas de l’extension d’homologations de type en vertu du présent Règlement, ou dans le cas de l’homologation de types de véhicules déjà accordée en vertu </w:t>
      </w:r>
      <w:proofErr w:type="spellStart"/>
      <w:r w:rsidRPr="001B4875">
        <w:t>d</w:t>
      </w:r>
      <w:r w:rsidRPr="001B4875">
        <w:rPr>
          <w:strike/>
        </w:rPr>
        <w:t>es</w:t>
      </w:r>
      <w:r w:rsidRPr="001B4875">
        <w:rPr>
          <w:b/>
        </w:rPr>
        <w:t>u</w:t>
      </w:r>
      <w:proofErr w:type="spellEnd"/>
      <w:r w:rsidRPr="001B4875">
        <w:t xml:space="preserve"> Règlement</w:t>
      </w:r>
      <w:r w:rsidRPr="00B62401">
        <w:rPr>
          <w:strike/>
        </w:rPr>
        <w:t>s</w:t>
      </w:r>
      <w:r w:rsidRPr="001B4875">
        <w:t xml:space="preserve"> ONU </w:t>
      </w:r>
      <w:r w:rsidR="00853CE4">
        <w:rPr>
          <w:rFonts w:eastAsia="MS Mincho"/>
        </w:rPr>
        <w:t>n</w:t>
      </w:r>
      <w:r w:rsidR="00853CE4">
        <w:rPr>
          <w:rFonts w:eastAsia="MS Mincho"/>
          <w:vertAlign w:val="superscript"/>
        </w:rPr>
        <w:t>o</w:t>
      </w:r>
      <w:r w:rsidR="00853CE4" w:rsidRPr="00853CE4">
        <w:rPr>
          <w:rFonts w:eastAsia="MS Mincho"/>
          <w:strike/>
          <w:vertAlign w:val="superscript"/>
        </w:rPr>
        <w:t>s</w:t>
      </w:r>
      <w:r w:rsidR="00853CE4" w:rsidRPr="00853CE4">
        <w:rPr>
          <w:strike/>
        </w:rPr>
        <w:t> </w:t>
      </w:r>
      <w:r w:rsidRPr="001B4875">
        <w:rPr>
          <w:strike/>
        </w:rPr>
        <w:t>94</w:t>
      </w:r>
      <w:r w:rsidRPr="001B4875">
        <w:t xml:space="preserve"> ou 95 avant l’entrée en vigueur du présent Règlement, lorsqu’il est démontré, documentation existante à l’appui (rapport, images, données de simulation ou éléments équivalents) que lors d’un choc latéral (Règlement ONU </w:t>
      </w:r>
      <w:r w:rsidR="00B62401">
        <w:rPr>
          <w:rFonts w:eastAsia="MS Mincho"/>
        </w:rPr>
        <w:t>n</w:t>
      </w:r>
      <w:r w:rsidR="00B62401">
        <w:rPr>
          <w:rFonts w:eastAsia="MS Mincho"/>
          <w:vertAlign w:val="superscript"/>
        </w:rPr>
        <w:t>o</w:t>
      </w:r>
      <w:r w:rsidR="00B62401">
        <w:t> </w:t>
      </w:r>
      <w:r w:rsidRPr="001B4875">
        <w:t>95)</w:t>
      </w:r>
      <w:r w:rsidR="00853CE4">
        <w:t> </w:t>
      </w:r>
      <w:r w:rsidRPr="001B4875">
        <w:t>:</w:t>
      </w:r>
    </w:p>
    <w:p w14:paraId="4DB7D749" w14:textId="77777777" w:rsidR="001B4875" w:rsidRPr="001B4875" w:rsidRDefault="001B4875" w:rsidP="00A250BD">
      <w:pPr>
        <w:pStyle w:val="SingleTxtG"/>
        <w:ind w:left="2835" w:hanging="567"/>
      </w:pPr>
      <w:r w:rsidRPr="001B4875">
        <w:t>a)</w:t>
      </w:r>
      <w:r w:rsidRPr="001B4875">
        <w:tab/>
        <w:t>Un signal de déclenchement a été émis</w:t>
      </w:r>
      <w:r w:rsidR="00DA5C80">
        <w:t> </w:t>
      </w:r>
      <w:r w:rsidRPr="001B4875">
        <w:t>;</w:t>
      </w:r>
    </w:p>
    <w:p w14:paraId="20CAF758" w14:textId="77777777" w:rsidR="001B4875" w:rsidRPr="001B4875" w:rsidRDefault="001B4875" w:rsidP="00A250BD">
      <w:pPr>
        <w:pStyle w:val="SingleTxtG"/>
        <w:ind w:left="2835" w:hanging="567"/>
      </w:pPr>
      <w:r w:rsidRPr="001B4875">
        <w:t>b)</w:t>
      </w:r>
      <w:r w:rsidRPr="001B4875">
        <w:tab/>
        <w:t>L’installation de l’AECS n’est pas perturbée par le choc subi par le véhicule.</w:t>
      </w:r>
      <w:r w:rsidR="00DA5C80">
        <w:t> </w:t>
      </w:r>
      <w:r w:rsidRPr="001B4875">
        <w:t>»</w:t>
      </w:r>
      <w:r w:rsidR="00DA5C80">
        <w:t>.</w:t>
      </w:r>
    </w:p>
    <w:p w14:paraId="257FAD0F" w14:textId="77777777" w:rsidR="001B4875" w:rsidRPr="001B4875" w:rsidRDefault="001B4875" w:rsidP="001B4875">
      <w:pPr>
        <w:pStyle w:val="SingleTxtG"/>
        <w:rPr>
          <w:iCs/>
        </w:rPr>
      </w:pPr>
      <w:r w:rsidRPr="001B4875">
        <w:rPr>
          <w:i/>
        </w:rPr>
        <w:t>Paragraphe 35.5.2.1.2</w:t>
      </w:r>
      <w:r w:rsidRPr="001B4875">
        <w:t>,</w:t>
      </w:r>
      <w:r w:rsidRPr="001B4875">
        <w:rPr>
          <w:iCs/>
        </w:rPr>
        <w:t xml:space="preserve"> lire</w:t>
      </w:r>
      <w:r w:rsidR="00DA5C80">
        <w:rPr>
          <w:iCs/>
        </w:rPr>
        <w:t> </w:t>
      </w:r>
      <w:r w:rsidRPr="001B4875">
        <w:rPr>
          <w:iCs/>
        </w:rPr>
        <w:t>:</w:t>
      </w:r>
    </w:p>
    <w:p w14:paraId="2E1ED3DE" w14:textId="77777777" w:rsidR="001B4875" w:rsidRPr="001B4875" w:rsidRDefault="001B4875" w:rsidP="009905FA">
      <w:pPr>
        <w:pStyle w:val="SingleTxtG"/>
        <w:ind w:left="2268" w:hanging="1134"/>
      </w:pPr>
      <w:r w:rsidRPr="001B4875">
        <w:t>«</w:t>
      </w:r>
      <w:r w:rsidR="00DA5C80">
        <w:t> </w:t>
      </w:r>
      <w:r w:rsidRPr="001B4875">
        <w:t>35.5.2.1.2</w:t>
      </w:r>
      <w:r w:rsidRPr="001B4875">
        <w:tab/>
        <w:t xml:space="preserve">Dans le cas de l’extension d’homologations de type en vertu du présent Règlement ou dans le cas de l’homologation de types de véhicules déjà homologués en vertu </w:t>
      </w:r>
      <w:proofErr w:type="spellStart"/>
      <w:r w:rsidRPr="001B4875">
        <w:t>d</w:t>
      </w:r>
      <w:r w:rsidRPr="001B4875">
        <w:rPr>
          <w:strike/>
        </w:rPr>
        <w:t>es</w:t>
      </w:r>
      <w:r w:rsidRPr="001B4875">
        <w:rPr>
          <w:b/>
        </w:rPr>
        <w:t>u</w:t>
      </w:r>
      <w:proofErr w:type="spellEnd"/>
      <w:r w:rsidRPr="001B4875">
        <w:t xml:space="preserve"> Règlement</w:t>
      </w:r>
      <w:r w:rsidRPr="000F2875">
        <w:rPr>
          <w:strike/>
        </w:rPr>
        <w:t>s</w:t>
      </w:r>
      <w:r w:rsidRPr="001B4875">
        <w:t xml:space="preserve"> ONU </w:t>
      </w:r>
      <w:r w:rsidR="00DA5C80">
        <w:rPr>
          <w:rFonts w:eastAsia="MS Mincho"/>
        </w:rPr>
        <w:t>n</w:t>
      </w:r>
      <w:r w:rsidR="00DA5C80">
        <w:rPr>
          <w:rFonts w:eastAsia="MS Mincho"/>
          <w:vertAlign w:val="superscript"/>
        </w:rPr>
        <w:t>o</w:t>
      </w:r>
      <w:r w:rsidR="00DA5C80" w:rsidRPr="00DA5C80">
        <w:rPr>
          <w:rFonts w:eastAsia="MS Mincho"/>
          <w:strike/>
          <w:vertAlign w:val="superscript"/>
        </w:rPr>
        <w:t>s</w:t>
      </w:r>
      <w:r w:rsidR="00DA5C80" w:rsidRPr="00DA5C80">
        <w:rPr>
          <w:strike/>
        </w:rPr>
        <w:t> </w:t>
      </w:r>
      <w:r w:rsidRPr="001B4875">
        <w:rPr>
          <w:strike/>
        </w:rPr>
        <w:t>94</w:t>
      </w:r>
      <w:r w:rsidRPr="001B4875">
        <w:t xml:space="preserve"> ou 95 avant l’entrée en vigueur du présent Règlement, lorsqu’il est démontré, documentation existante à l’appui (rapport, images, données de simulation ou documents équivalents) que lors d’un essai</w:t>
      </w:r>
      <w:r w:rsidRPr="00F040E7">
        <w:rPr>
          <w:strike/>
        </w:rPr>
        <w:t xml:space="preserve"> </w:t>
      </w:r>
      <w:r w:rsidRPr="001B4875">
        <w:rPr>
          <w:strike/>
        </w:rPr>
        <w:t>de choc avant (Règlement ONU n</w:t>
      </w:r>
      <w:r w:rsidRPr="001B4875">
        <w:rPr>
          <w:strike/>
          <w:vertAlign w:val="superscript"/>
        </w:rPr>
        <w:t>o</w:t>
      </w:r>
      <w:r w:rsidRPr="001B4875">
        <w:rPr>
          <w:strike/>
        </w:rPr>
        <w:t> 94) ou</w:t>
      </w:r>
      <w:r w:rsidRPr="001B4875">
        <w:t xml:space="preserve"> de choc latéral (Règlement ONU </w:t>
      </w:r>
      <w:r w:rsidR="00DA5C80">
        <w:rPr>
          <w:rFonts w:eastAsia="MS Mincho"/>
        </w:rPr>
        <w:t>n</w:t>
      </w:r>
      <w:r w:rsidR="00DA5C80">
        <w:rPr>
          <w:rFonts w:eastAsia="MS Mincho"/>
          <w:vertAlign w:val="superscript"/>
        </w:rPr>
        <w:t>o</w:t>
      </w:r>
      <w:r w:rsidR="00DA5C80">
        <w:t> </w:t>
      </w:r>
      <w:r w:rsidRPr="001B4875">
        <w:t>95)</w:t>
      </w:r>
      <w:r w:rsidR="00DA5C80">
        <w:t> </w:t>
      </w:r>
      <w:r w:rsidRPr="001B4875">
        <w:t>:</w:t>
      </w:r>
    </w:p>
    <w:p w14:paraId="6FB2C70F" w14:textId="77777777" w:rsidR="001B4875" w:rsidRPr="001B4875" w:rsidRDefault="001B4875" w:rsidP="00A250BD">
      <w:pPr>
        <w:pStyle w:val="SingleTxtG"/>
        <w:ind w:left="2835" w:hanging="567"/>
      </w:pPr>
      <w:r w:rsidRPr="001B4875">
        <w:t>a)</w:t>
      </w:r>
      <w:r w:rsidRPr="001B4875">
        <w:tab/>
        <w:t>Un signal de déclenchement a été émis</w:t>
      </w:r>
      <w:r w:rsidR="00DA5C80">
        <w:t> </w:t>
      </w:r>
      <w:r w:rsidRPr="001B4875">
        <w:t>;</w:t>
      </w:r>
    </w:p>
    <w:p w14:paraId="388B7B5E" w14:textId="77777777" w:rsidR="001B4875" w:rsidRPr="001B4875" w:rsidRDefault="001B4875" w:rsidP="00A250BD">
      <w:pPr>
        <w:pStyle w:val="SingleTxtG"/>
        <w:ind w:left="2835" w:hanging="567"/>
      </w:pPr>
      <w:r w:rsidRPr="001B4875">
        <w:t>b)</w:t>
      </w:r>
      <w:r w:rsidRPr="001B4875">
        <w:tab/>
        <w:t>L’installation de l’AECD n’est pas perturbée par le choc subi par le véhicule.</w:t>
      </w:r>
      <w:r w:rsidR="00DA5C80">
        <w:t> </w:t>
      </w:r>
      <w:r w:rsidRPr="001B4875">
        <w:t>»</w:t>
      </w:r>
      <w:r w:rsidR="00DA5C80">
        <w:t>.</w:t>
      </w:r>
    </w:p>
    <w:p w14:paraId="5A0894CC" w14:textId="77777777" w:rsidR="001B4875" w:rsidRPr="001B4875" w:rsidRDefault="001B4875" w:rsidP="00DA5C80">
      <w:pPr>
        <w:pStyle w:val="HChG"/>
      </w:pPr>
      <w:r w:rsidRPr="001B4875">
        <w:tab/>
        <w:t>II.</w:t>
      </w:r>
      <w:r w:rsidRPr="001B4875">
        <w:tab/>
        <w:t>Justification</w:t>
      </w:r>
    </w:p>
    <w:p w14:paraId="1641332C" w14:textId="77777777" w:rsidR="00F9573C" w:rsidRDefault="001B4875" w:rsidP="00DA5C80">
      <w:pPr>
        <w:pStyle w:val="SingleTxtG"/>
        <w:ind w:firstLine="567"/>
      </w:pPr>
      <w:r w:rsidRPr="001B4875">
        <w:t xml:space="preserve">L’objet du présent rectificatif est de rectifier </w:t>
      </w:r>
      <w:bookmarkStart w:id="3" w:name="_GoBack"/>
      <w:bookmarkEnd w:id="3"/>
      <w:r w:rsidRPr="001B4875">
        <w:t>les références incorrectes dans le texte du Règlement ONU n</w:t>
      </w:r>
      <w:r w:rsidRPr="001B4875">
        <w:rPr>
          <w:vertAlign w:val="superscript"/>
        </w:rPr>
        <w:t>o</w:t>
      </w:r>
      <w:r w:rsidR="00DA5C80">
        <w:t> </w:t>
      </w:r>
      <w:r w:rsidRPr="001B4875">
        <w:t>144.</w:t>
      </w:r>
    </w:p>
    <w:p w14:paraId="5E54E963" w14:textId="77777777" w:rsidR="001B4875" w:rsidRPr="001B4875" w:rsidRDefault="001B4875" w:rsidP="001B4875">
      <w:pPr>
        <w:pStyle w:val="SingleTxtG"/>
        <w:spacing w:before="240" w:after="0"/>
        <w:jc w:val="center"/>
        <w:rPr>
          <w:u w:val="single"/>
        </w:rPr>
      </w:pPr>
      <w:r>
        <w:rPr>
          <w:u w:val="single"/>
        </w:rPr>
        <w:tab/>
      </w:r>
      <w:r>
        <w:rPr>
          <w:u w:val="single"/>
        </w:rPr>
        <w:tab/>
      </w:r>
      <w:r>
        <w:rPr>
          <w:u w:val="single"/>
        </w:rPr>
        <w:tab/>
      </w:r>
    </w:p>
    <w:sectPr w:rsidR="001B4875" w:rsidRPr="001B4875" w:rsidSect="001B487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51ED" w14:textId="77777777" w:rsidR="003E254B" w:rsidRDefault="003E254B" w:rsidP="00F95C08">
      <w:pPr>
        <w:spacing w:line="240" w:lineRule="auto"/>
      </w:pPr>
    </w:p>
  </w:endnote>
  <w:endnote w:type="continuationSeparator" w:id="0">
    <w:p w14:paraId="1375394A" w14:textId="77777777" w:rsidR="003E254B" w:rsidRPr="00AC3823" w:rsidRDefault="003E254B" w:rsidP="00AC3823">
      <w:pPr>
        <w:pStyle w:val="Pieddepage"/>
      </w:pPr>
    </w:p>
  </w:endnote>
  <w:endnote w:type="continuationNotice" w:id="1">
    <w:p w14:paraId="5707397E" w14:textId="77777777" w:rsidR="003E254B" w:rsidRDefault="003E25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2D31" w14:textId="77777777" w:rsidR="001B4875" w:rsidRPr="001B4875" w:rsidRDefault="001B4875" w:rsidP="001B4875">
    <w:pPr>
      <w:pStyle w:val="Pieddepage"/>
      <w:tabs>
        <w:tab w:val="right" w:pos="9638"/>
      </w:tabs>
    </w:pPr>
    <w:r w:rsidRPr="001B4875">
      <w:rPr>
        <w:b/>
        <w:sz w:val="18"/>
      </w:rPr>
      <w:fldChar w:fldCharType="begin"/>
    </w:r>
    <w:r w:rsidRPr="001B4875">
      <w:rPr>
        <w:b/>
        <w:sz w:val="18"/>
      </w:rPr>
      <w:instrText xml:space="preserve"> PAGE  \* MERGEFORMAT </w:instrText>
    </w:r>
    <w:r w:rsidRPr="001B4875">
      <w:rPr>
        <w:b/>
        <w:sz w:val="18"/>
      </w:rPr>
      <w:fldChar w:fldCharType="separate"/>
    </w:r>
    <w:r w:rsidRPr="001B4875">
      <w:rPr>
        <w:b/>
        <w:noProof/>
        <w:sz w:val="18"/>
      </w:rPr>
      <w:t>2</w:t>
    </w:r>
    <w:r w:rsidRPr="001B4875">
      <w:rPr>
        <w:b/>
        <w:sz w:val="18"/>
      </w:rPr>
      <w:fldChar w:fldCharType="end"/>
    </w:r>
    <w:r>
      <w:rPr>
        <w:b/>
        <w:sz w:val="18"/>
      </w:rPr>
      <w:tab/>
    </w:r>
    <w:r>
      <w:t>GE.19-12285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0F03" w14:textId="77777777" w:rsidR="001B4875" w:rsidRPr="001B4875" w:rsidRDefault="001B4875" w:rsidP="001B4875">
    <w:pPr>
      <w:pStyle w:val="Pieddepage"/>
      <w:tabs>
        <w:tab w:val="right" w:pos="9638"/>
      </w:tabs>
      <w:rPr>
        <w:b/>
        <w:sz w:val="18"/>
      </w:rPr>
    </w:pPr>
    <w:r>
      <w:t>GE.19-12285</w:t>
    </w:r>
    <w:r>
      <w:tab/>
    </w:r>
    <w:r w:rsidRPr="001B4875">
      <w:rPr>
        <w:b/>
        <w:sz w:val="18"/>
      </w:rPr>
      <w:fldChar w:fldCharType="begin"/>
    </w:r>
    <w:r w:rsidRPr="001B4875">
      <w:rPr>
        <w:b/>
        <w:sz w:val="18"/>
      </w:rPr>
      <w:instrText xml:space="preserve"> PAGE  \* MERGEFORMAT </w:instrText>
    </w:r>
    <w:r w:rsidRPr="001B4875">
      <w:rPr>
        <w:b/>
        <w:sz w:val="18"/>
      </w:rPr>
      <w:fldChar w:fldCharType="separate"/>
    </w:r>
    <w:r w:rsidRPr="001B4875">
      <w:rPr>
        <w:b/>
        <w:noProof/>
        <w:sz w:val="18"/>
      </w:rPr>
      <w:t>3</w:t>
    </w:r>
    <w:r w:rsidRPr="001B48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44A4" w14:textId="77777777" w:rsidR="007F20FA" w:rsidRPr="001B4875" w:rsidRDefault="001B4875" w:rsidP="001B4875">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B75C8FE" wp14:editId="70ACA1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19-12285  (F)</w:t>
    </w:r>
    <w:r w:rsidR="00EE18A8">
      <w:rPr>
        <w:sz w:val="20"/>
      </w:rPr>
      <w:t xml:space="preserve">    160819    220819</w:t>
    </w:r>
    <w:r>
      <w:rPr>
        <w:sz w:val="20"/>
      </w:rPr>
      <w:br/>
    </w:r>
    <w:r w:rsidRPr="001B4875">
      <w:rPr>
        <w:rFonts w:ascii="C39T30Lfz" w:hAnsi="C39T30Lfz"/>
        <w:sz w:val="56"/>
      </w:rPr>
      <w:t></w:t>
    </w:r>
    <w:r w:rsidRPr="001B4875">
      <w:rPr>
        <w:rFonts w:ascii="C39T30Lfz" w:hAnsi="C39T30Lfz"/>
        <w:sz w:val="56"/>
      </w:rPr>
      <w:t></w:t>
    </w:r>
    <w:r w:rsidRPr="001B4875">
      <w:rPr>
        <w:rFonts w:ascii="C39T30Lfz" w:hAnsi="C39T30Lfz"/>
        <w:sz w:val="56"/>
      </w:rPr>
      <w:t></w:t>
    </w:r>
    <w:r w:rsidRPr="001B4875">
      <w:rPr>
        <w:rFonts w:ascii="C39T30Lfz" w:hAnsi="C39T30Lfz"/>
        <w:sz w:val="56"/>
      </w:rPr>
      <w:t></w:t>
    </w:r>
    <w:r w:rsidRPr="001B4875">
      <w:rPr>
        <w:rFonts w:ascii="C39T30Lfz" w:hAnsi="C39T30Lfz"/>
        <w:sz w:val="56"/>
      </w:rPr>
      <w:t></w:t>
    </w:r>
    <w:r w:rsidRPr="001B4875">
      <w:rPr>
        <w:rFonts w:ascii="C39T30Lfz" w:hAnsi="C39T30Lfz"/>
        <w:sz w:val="56"/>
      </w:rPr>
      <w:t></w:t>
    </w:r>
    <w:r w:rsidRPr="001B4875">
      <w:rPr>
        <w:rFonts w:ascii="C39T30Lfz" w:hAnsi="C39T30Lfz"/>
        <w:sz w:val="56"/>
      </w:rPr>
      <w:t></w:t>
    </w:r>
    <w:r w:rsidRPr="001B4875">
      <w:rPr>
        <w:rFonts w:ascii="C39T30Lfz" w:hAnsi="C39T30Lfz"/>
        <w:sz w:val="56"/>
      </w:rPr>
      <w:t></w:t>
    </w:r>
    <w:r w:rsidRPr="001B4875">
      <w:rPr>
        <w:rFonts w:ascii="C39T30Lfz" w:hAnsi="C39T30Lfz"/>
        <w:sz w:val="56"/>
      </w:rPr>
      <w:t></w:t>
    </w:r>
    <w:r>
      <w:rPr>
        <w:noProof/>
        <w:sz w:val="20"/>
      </w:rPr>
      <w:drawing>
        <wp:anchor distT="0" distB="0" distL="114300" distR="114300" simplePos="0" relativeHeight="251658240" behindDoc="0" locked="0" layoutInCell="1" allowOverlap="1" wp14:anchorId="29BB79B2" wp14:editId="18387A4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6606" w14:textId="77777777" w:rsidR="003E254B" w:rsidRPr="00AC3823" w:rsidRDefault="003E254B" w:rsidP="00AC3823">
      <w:pPr>
        <w:pStyle w:val="Pieddepage"/>
        <w:tabs>
          <w:tab w:val="right" w:pos="2155"/>
        </w:tabs>
        <w:spacing w:after="80" w:line="240" w:lineRule="atLeast"/>
        <w:ind w:left="680"/>
        <w:rPr>
          <w:u w:val="single"/>
        </w:rPr>
      </w:pPr>
      <w:r>
        <w:rPr>
          <w:u w:val="single"/>
        </w:rPr>
        <w:tab/>
      </w:r>
    </w:p>
  </w:footnote>
  <w:footnote w:type="continuationSeparator" w:id="0">
    <w:p w14:paraId="7727D781" w14:textId="77777777" w:rsidR="003E254B" w:rsidRPr="00AC3823" w:rsidRDefault="003E254B" w:rsidP="00AC3823">
      <w:pPr>
        <w:pStyle w:val="Pieddepage"/>
        <w:tabs>
          <w:tab w:val="right" w:pos="2155"/>
        </w:tabs>
        <w:spacing w:after="80" w:line="240" w:lineRule="atLeast"/>
        <w:ind w:left="680"/>
        <w:rPr>
          <w:u w:val="single"/>
        </w:rPr>
      </w:pPr>
      <w:r>
        <w:rPr>
          <w:u w:val="single"/>
        </w:rPr>
        <w:tab/>
      </w:r>
    </w:p>
  </w:footnote>
  <w:footnote w:type="continuationNotice" w:id="1">
    <w:p w14:paraId="243564ED" w14:textId="77777777" w:rsidR="003E254B" w:rsidRPr="00AC3823" w:rsidRDefault="003E254B">
      <w:pPr>
        <w:spacing w:line="240" w:lineRule="auto"/>
        <w:rPr>
          <w:sz w:val="2"/>
          <w:szCs w:val="2"/>
        </w:rPr>
      </w:pPr>
    </w:p>
  </w:footnote>
  <w:footnote w:id="2">
    <w:p w14:paraId="49B8D79B" w14:textId="77777777" w:rsidR="00806DBA" w:rsidRPr="00806DBA" w:rsidRDefault="00806DBA">
      <w:pPr>
        <w:pStyle w:val="Notedebasdepage"/>
      </w:pPr>
      <w:r>
        <w:rPr>
          <w:rStyle w:val="Appelnotedebasdep"/>
        </w:rPr>
        <w:tab/>
      </w:r>
      <w:r w:rsidRPr="00806DBA">
        <w:rPr>
          <w:rStyle w:val="Appelnotedebasdep"/>
          <w:sz w:val="20"/>
          <w:vertAlign w:val="baseline"/>
        </w:rPr>
        <w:t>*</w:t>
      </w:r>
      <w:r>
        <w:rPr>
          <w:rStyle w:val="Appelnotedebasdep"/>
          <w:sz w:val="20"/>
          <w:vertAlign w:val="baseline"/>
        </w:rPr>
        <w:tab/>
      </w:r>
      <w:r w:rsidRPr="00806DBA">
        <w:rPr>
          <w:spacing w:val="-1"/>
          <w:szCs w:val="18"/>
        </w:rPr>
        <w:t>Conformément au programme de travail du Comité des transports intérieurs pour la période 2018</w:t>
      </w:r>
      <w:r>
        <w:rPr>
          <w:spacing w:val="-1"/>
          <w:szCs w:val="18"/>
        </w:rPr>
        <w:noBreakHyphen/>
      </w:r>
      <w:r w:rsidRPr="00806DBA">
        <w:rPr>
          <w:spacing w:val="-1"/>
          <w:szCs w:val="18"/>
        </w:rPr>
        <w:t>2019</w:t>
      </w:r>
      <w:r w:rsidRPr="00FA408F">
        <w:rPr>
          <w:szCs w:val="18"/>
        </w:rPr>
        <w:t xml:space="preserve"> (ECE/TRANS/274, par. 123, et ECE/TRANS/2018/21/Add.1, module 3.1), le Forum mondial a pour mission d</w:t>
      </w:r>
      <w:r>
        <w:rPr>
          <w:szCs w:val="18"/>
        </w:rPr>
        <w:t>’</w:t>
      </w:r>
      <w:r w:rsidRPr="00FA408F">
        <w:rPr>
          <w:szCs w:val="18"/>
        </w:rPr>
        <w:t>élaborer, d</w:t>
      </w:r>
      <w:r>
        <w:rPr>
          <w:szCs w:val="18"/>
        </w:rPr>
        <w:t>’</w:t>
      </w:r>
      <w:r w:rsidRPr="00FA408F">
        <w:rPr>
          <w:szCs w:val="18"/>
        </w:rPr>
        <w:t>harmoniser et de mettre à jour les Règlements ONU en vue d</w:t>
      </w:r>
      <w:r>
        <w:rPr>
          <w:szCs w:val="18"/>
        </w:rPr>
        <w:t>’</w:t>
      </w:r>
      <w:r w:rsidRPr="00FA408F">
        <w:rPr>
          <w:szCs w:val="18"/>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41C7" w14:textId="11FF9455" w:rsidR="001B4875" w:rsidRPr="001B4875" w:rsidRDefault="000C543B">
    <w:pPr>
      <w:pStyle w:val="En-tte"/>
    </w:pPr>
    <w:fldSimple w:instr=" TITLE  \* MERGEFORMAT ">
      <w:r w:rsidR="0039375F">
        <w:t>ECE/TRANS/WP.29/GRSG/2019/18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63B4" w14:textId="7B6DF01E" w:rsidR="001B4875" w:rsidRPr="001B4875" w:rsidRDefault="000C543B" w:rsidP="001B4875">
    <w:pPr>
      <w:pStyle w:val="En-tte"/>
      <w:jc w:val="right"/>
    </w:pPr>
    <w:fldSimple w:instr=" TITLE  \* MERGEFORMAT ">
      <w:r w:rsidR="0039375F">
        <w:t>ECE/TRANS/WP.29/GRSG/2019/18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254B"/>
    <w:rsid w:val="0000484B"/>
    <w:rsid w:val="00017F94"/>
    <w:rsid w:val="00023842"/>
    <w:rsid w:val="000334F9"/>
    <w:rsid w:val="00037800"/>
    <w:rsid w:val="00045FEB"/>
    <w:rsid w:val="0007796D"/>
    <w:rsid w:val="000B7790"/>
    <w:rsid w:val="000C543B"/>
    <w:rsid w:val="000F2875"/>
    <w:rsid w:val="000F40C0"/>
    <w:rsid w:val="00111F2F"/>
    <w:rsid w:val="0014365E"/>
    <w:rsid w:val="00143C66"/>
    <w:rsid w:val="00176178"/>
    <w:rsid w:val="001B4875"/>
    <w:rsid w:val="001C083D"/>
    <w:rsid w:val="001F525A"/>
    <w:rsid w:val="00223272"/>
    <w:rsid w:val="0024779E"/>
    <w:rsid w:val="00257168"/>
    <w:rsid w:val="002744B8"/>
    <w:rsid w:val="002832AC"/>
    <w:rsid w:val="002D0D4E"/>
    <w:rsid w:val="002D7C93"/>
    <w:rsid w:val="002F6D0D"/>
    <w:rsid w:val="00305801"/>
    <w:rsid w:val="003916DE"/>
    <w:rsid w:val="0039375F"/>
    <w:rsid w:val="003E254B"/>
    <w:rsid w:val="003F1ECC"/>
    <w:rsid w:val="00401C73"/>
    <w:rsid w:val="00421996"/>
    <w:rsid w:val="0043772C"/>
    <w:rsid w:val="00441C3B"/>
    <w:rsid w:val="00446FE5"/>
    <w:rsid w:val="00452396"/>
    <w:rsid w:val="004837D8"/>
    <w:rsid w:val="004C2B92"/>
    <w:rsid w:val="004E27FC"/>
    <w:rsid w:val="004E2EED"/>
    <w:rsid w:val="004E468C"/>
    <w:rsid w:val="00511CD1"/>
    <w:rsid w:val="005505B7"/>
    <w:rsid w:val="00573BE5"/>
    <w:rsid w:val="00577974"/>
    <w:rsid w:val="00586ED3"/>
    <w:rsid w:val="005962B5"/>
    <w:rsid w:val="00596AA9"/>
    <w:rsid w:val="0062148C"/>
    <w:rsid w:val="0071601D"/>
    <w:rsid w:val="00725A21"/>
    <w:rsid w:val="007A62E6"/>
    <w:rsid w:val="007D25DB"/>
    <w:rsid w:val="007F20FA"/>
    <w:rsid w:val="0080684C"/>
    <w:rsid w:val="00806DBA"/>
    <w:rsid w:val="00853CE4"/>
    <w:rsid w:val="008633E8"/>
    <w:rsid w:val="00871C75"/>
    <w:rsid w:val="008776DC"/>
    <w:rsid w:val="008A3748"/>
    <w:rsid w:val="008A4AD3"/>
    <w:rsid w:val="009446C0"/>
    <w:rsid w:val="00956100"/>
    <w:rsid w:val="009705C8"/>
    <w:rsid w:val="009905FA"/>
    <w:rsid w:val="009B57F9"/>
    <w:rsid w:val="009C0C65"/>
    <w:rsid w:val="009C1CF4"/>
    <w:rsid w:val="009F6B74"/>
    <w:rsid w:val="00A119C3"/>
    <w:rsid w:val="00A250BD"/>
    <w:rsid w:val="00A3029F"/>
    <w:rsid w:val="00A30353"/>
    <w:rsid w:val="00AC3823"/>
    <w:rsid w:val="00AE323C"/>
    <w:rsid w:val="00AF0CB5"/>
    <w:rsid w:val="00B00181"/>
    <w:rsid w:val="00B00B0D"/>
    <w:rsid w:val="00B45F2E"/>
    <w:rsid w:val="00B62401"/>
    <w:rsid w:val="00B765F7"/>
    <w:rsid w:val="00BA0CA9"/>
    <w:rsid w:val="00C02897"/>
    <w:rsid w:val="00C97039"/>
    <w:rsid w:val="00D3439C"/>
    <w:rsid w:val="00D70402"/>
    <w:rsid w:val="00DA5C80"/>
    <w:rsid w:val="00DB1831"/>
    <w:rsid w:val="00DD3BFD"/>
    <w:rsid w:val="00DE7971"/>
    <w:rsid w:val="00DF6678"/>
    <w:rsid w:val="00E0299A"/>
    <w:rsid w:val="00E02EE1"/>
    <w:rsid w:val="00E85C74"/>
    <w:rsid w:val="00EA6547"/>
    <w:rsid w:val="00EE18A8"/>
    <w:rsid w:val="00EF2E22"/>
    <w:rsid w:val="00F040E7"/>
    <w:rsid w:val="00F15047"/>
    <w:rsid w:val="00F218F7"/>
    <w:rsid w:val="00F35BAF"/>
    <w:rsid w:val="00F404E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4941B"/>
  <w15:docId w15:val="{88BC7794-3A88-4E5C-906F-879EB044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1293</Words>
  <Characters>7221</Characters>
  <Application>Microsoft Office Word</Application>
  <DocSecurity>0</DocSecurity>
  <Lines>131</Lines>
  <Paragraphs>31</Paragraphs>
  <ScaleCrop>false</ScaleCrop>
  <HeadingPairs>
    <vt:vector size="2" baseType="variant">
      <vt:variant>
        <vt:lpstr>Titre</vt:lpstr>
      </vt:variant>
      <vt:variant>
        <vt:i4>1</vt:i4>
      </vt:variant>
    </vt:vector>
  </HeadingPairs>
  <TitlesOfParts>
    <vt:vector size="1" baseType="lpstr">
      <vt:lpstr>ECE/TRANS/WP.29/GRSG/2019/18</vt:lpstr>
    </vt:vector>
  </TitlesOfParts>
  <Company>DCM</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ECE/TRANS/WP.29/GRSG/2019/18</dc:title>
  <dc:subject/>
  <dc:creator>Ramzi TOUMA</dc:creator>
  <cp:keywords/>
  <cp:lastModifiedBy>Isabelle Vigny</cp:lastModifiedBy>
  <cp:revision>3</cp:revision>
  <cp:lastPrinted>2019-08-22T08:54:00Z</cp:lastPrinted>
  <dcterms:created xsi:type="dcterms:W3CDTF">2019-08-22T08:54:00Z</dcterms:created>
  <dcterms:modified xsi:type="dcterms:W3CDTF">2019-08-22T08:54:00Z</dcterms:modified>
</cp:coreProperties>
</file>