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47D61B38" w14:textId="77777777" w:rsidTr="00F95055">
        <w:trPr>
          <w:cantSplit/>
          <w:trHeight w:hRule="exact" w:val="567"/>
        </w:trPr>
        <w:tc>
          <w:tcPr>
            <w:tcW w:w="1276" w:type="dxa"/>
            <w:tcBorders>
              <w:bottom w:val="single" w:sz="4" w:space="0" w:color="auto"/>
            </w:tcBorders>
            <w:shd w:val="clear" w:color="auto" w:fill="auto"/>
            <w:vAlign w:val="bottom"/>
          </w:tcPr>
          <w:p w14:paraId="06A3532A" w14:textId="77777777" w:rsidR="00B56E9C" w:rsidRDefault="00B56E9C" w:rsidP="003612D6">
            <w:pPr>
              <w:spacing w:after="80"/>
            </w:pPr>
          </w:p>
        </w:tc>
        <w:tc>
          <w:tcPr>
            <w:tcW w:w="2268" w:type="dxa"/>
            <w:tcBorders>
              <w:bottom w:val="single" w:sz="4" w:space="0" w:color="auto"/>
            </w:tcBorders>
            <w:shd w:val="clear" w:color="auto" w:fill="auto"/>
            <w:vAlign w:val="bottom"/>
          </w:tcPr>
          <w:p w14:paraId="42BA28A8" w14:textId="77777777" w:rsidR="00B56E9C" w:rsidRPr="003612D6" w:rsidRDefault="00B56E9C" w:rsidP="003612D6">
            <w:pPr>
              <w:spacing w:after="80" w:line="300" w:lineRule="exact"/>
              <w:rPr>
                <w:b/>
                <w:sz w:val="24"/>
                <w:szCs w:val="24"/>
              </w:rPr>
            </w:pPr>
            <w:r w:rsidRPr="003612D6">
              <w:rPr>
                <w:sz w:val="28"/>
                <w:szCs w:val="28"/>
              </w:rPr>
              <w:t>United Nations</w:t>
            </w:r>
          </w:p>
        </w:tc>
        <w:tc>
          <w:tcPr>
            <w:tcW w:w="6095" w:type="dxa"/>
            <w:gridSpan w:val="2"/>
            <w:tcBorders>
              <w:bottom w:val="single" w:sz="4" w:space="0" w:color="auto"/>
            </w:tcBorders>
            <w:shd w:val="clear" w:color="auto" w:fill="auto"/>
            <w:vAlign w:val="bottom"/>
          </w:tcPr>
          <w:p w14:paraId="7AB689EC" w14:textId="77777777" w:rsidR="00B56E9C" w:rsidRPr="00B615BB" w:rsidRDefault="008E0A25" w:rsidP="00B615BB">
            <w:pPr>
              <w:suppressAutoHyphens w:val="0"/>
              <w:spacing w:after="20"/>
              <w:jc w:val="right"/>
              <w:rPr>
                <w:lang w:val="en-US"/>
              </w:rPr>
            </w:pPr>
            <w:r w:rsidRPr="003612D6">
              <w:rPr>
                <w:sz w:val="40"/>
              </w:rPr>
              <w:t>ECE</w:t>
            </w:r>
            <w:r w:rsidR="00B615BB">
              <w:t>/TRANS/WP.29/GRSG/201</w:t>
            </w:r>
            <w:r w:rsidR="00D82BBE" w:rsidRPr="00D82BBE">
              <w:rPr>
                <w:lang w:val="en-US"/>
              </w:rPr>
              <w:t>9</w:t>
            </w:r>
            <w:r w:rsidR="00B615BB">
              <w:t>/</w:t>
            </w:r>
            <w:r w:rsidR="007A4098">
              <w:t>23</w:t>
            </w:r>
          </w:p>
        </w:tc>
      </w:tr>
      <w:tr w:rsidR="00B56E9C" w14:paraId="420D4E00" w14:textId="77777777" w:rsidTr="003612D6">
        <w:trPr>
          <w:cantSplit/>
          <w:trHeight w:hRule="exact" w:val="2835"/>
        </w:trPr>
        <w:tc>
          <w:tcPr>
            <w:tcW w:w="1276" w:type="dxa"/>
            <w:tcBorders>
              <w:top w:val="single" w:sz="4" w:space="0" w:color="auto"/>
              <w:bottom w:val="single" w:sz="12" w:space="0" w:color="auto"/>
            </w:tcBorders>
            <w:shd w:val="clear" w:color="auto" w:fill="auto"/>
          </w:tcPr>
          <w:p w14:paraId="7BDF102D" w14:textId="77777777" w:rsidR="00B56E9C" w:rsidRDefault="00AC67A5" w:rsidP="003612D6">
            <w:pPr>
              <w:spacing w:before="120"/>
            </w:pPr>
            <w:r>
              <w:rPr>
                <w:noProof/>
              </w:rPr>
              <w:drawing>
                <wp:inline distT="0" distB="0" distL="0" distR="0" wp14:anchorId="70BF1951" wp14:editId="6E3B1C61">
                  <wp:extent cx="716280" cy="58674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7C9093" w14:textId="77777777" w:rsidR="00B56E9C" w:rsidRPr="003612D6" w:rsidRDefault="00D773DF" w:rsidP="003612D6">
            <w:pPr>
              <w:spacing w:before="120" w:line="420" w:lineRule="exact"/>
              <w:rPr>
                <w:sz w:val="40"/>
                <w:szCs w:val="40"/>
              </w:rPr>
            </w:pPr>
            <w:r w:rsidRPr="003612D6">
              <w:rPr>
                <w:b/>
                <w:sz w:val="40"/>
                <w:szCs w:val="40"/>
              </w:rPr>
              <w:t>Economic and Social Council</w:t>
            </w:r>
          </w:p>
        </w:tc>
        <w:tc>
          <w:tcPr>
            <w:tcW w:w="2835" w:type="dxa"/>
            <w:tcBorders>
              <w:top w:val="single" w:sz="4" w:space="0" w:color="auto"/>
              <w:bottom w:val="single" w:sz="12" w:space="0" w:color="auto"/>
            </w:tcBorders>
            <w:shd w:val="clear" w:color="auto" w:fill="auto"/>
          </w:tcPr>
          <w:p w14:paraId="40C3258E" w14:textId="77777777" w:rsidR="008E0A25" w:rsidRPr="007A4098" w:rsidRDefault="008E0A25" w:rsidP="003612D6">
            <w:pPr>
              <w:suppressAutoHyphens w:val="0"/>
              <w:spacing w:before="240" w:line="240" w:lineRule="exact"/>
            </w:pPr>
            <w:r w:rsidRPr="007A4098">
              <w:t>Distr.: General</w:t>
            </w:r>
          </w:p>
          <w:p w14:paraId="19847D5F" w14:textId="77F1F063" w:rsidR="008E0A25" w:rsidRDefault="007A4098" w:rsidP="003612D6">
            <w:pPr>
              <w:suppressAutoHyphens w:val="0"/>
              <w:rPr>
                <w:lang w:val="ru-RU"/>
              </w:rPr>
            </w:pPr>
            <w:r>
              <w:t>1</w:t>
            </w:r>
            <w:r w:rsidR="0037690E">
              <w:t>8</w:t>
            </w:r>
            <w:r>
              <w:t xml:space="preserve"> July </w:t>
            </w:r>
            <w:r w:rsidR="008E0A25" w:rsidRPr="007A4098">
              <w:t>201</w:t>
            </w:r>
            <w:r w:rsidR="00D82BBE" w:rsidRPr="007A4098">
              <w:rPr>
                <w:lang w:val="ru-RU"/>
              </w:rPr>
              <w:t>9</w:t>
            </w:r>
          </w:p>
          <w:p w14:paraId="0ACA759D" w14:textId="77777777" w:rsidR="007A4098" w:rsidRPr="007A4098" w:rsidRDefault="007A4098" w:rsidP="003612D6">
            <w:pPr>
              <w:suppressAutoHyphens w:val="0"/>
              <w:rPr>
                <w:lang w:val="ru-RU"/>
              </w:rPr>
            </w:pPr>
          </w:p>
          <w:p w14:paraId="140EC22F" w14:textId="77777777" w:rsidR="00AC6178" w:rsidRPr="007A4098" w:rsidRDefault="008E0A25" w:rsidP="00AC6178">
            <w:pPr>
              <w:suppressAutoHyphens w:val="0"/>
            </w:pPr>
            <w:r w:rsidRPr="007A4098">
              <w:t xml:space="preserve">Original: </w:t>
            </w:r>
            <w:r w:rsidR="00AC6178" w:rsidRPr="007A4098">
              <w:t xml:space="preserve"> English</w:t>
            </w:r>
          </w:p>
          <w:p w14:paraId="153C36C1" w14:textId="77777777" w:rsidR="00B56E9C" w:rsidRDefault="00B56E9C" w:rsidP="003612D6">
            <w:pPr>
              <w:suppressAutoHyphens w:val="0"/>
            </w:pPr>
          </w:p>
        </w:tc>
      </w:tr>
    </w:tbl>
    <w:p w14:paraId="13761F35" w14:textId="77777777" w:rsidR="008E0A25" w:rsidRDefault="008E0A25" w:rsidP="008E0A25">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14:paraId="3597F97D" w14:textId="77777777" w:rsidR="008E0A25" w:rsidRDefault="008E0A25" w:rsidP="008E0A25">
      <w:pPr>
        <w:spacing w:before="120"/>
        <w:rPr>
          <w:sz w:val="28"/>
          <w:szCs w:val="28"/>
        </w:rPr>
      </w:pPr>
      <w:r>
        <w:rPr>
          <w:sz w:val="28"/>
          <w:szCs w:val="28"/>
        </w:rPr>
        <w:t>Inland Transport Committee</w:t>
      </w:r>
    </w:p>
    <w:p w14:paraId="224B03F5" w14:textId="77777777" w:rsidR="008E0A25" w:rsidRDefault="002C1C77" w:rsidP="008E0A25">
      <w:pPr>
        <w:spacing w:before="120"/>
        <w:rPr>
          <w:b/>
          <w:sz w:val="24"/>
          <w:szCs w:val="24"/>
        </w:rPr>
      </w:pPr>
      <w:r>
        <w:rPr>
          <w:b/>
          <w:sz w:val="24"/>
          <w:szCs w:val="24"/>
        </w:rPr>
        <w:t>World Forum</w:t>
      </w:r>
      <w:r w:rsidR="008E0A25">
        <w:rPr>
          <w:b/>
          <w:sz w:val="24"/>
          <w:szCs w:val="24"/>
        </w:rPr>
        <w:t xml:space="preserve"> for Harmonization of Vehicle Regulations</w:t>
      </w:r>
    </w:p>
    <w:p w14:paraId="32E395C9" w14:textId="77777777" w:rsidR="00B615BB" w:rsidRPr="00E45573" w:rsidRDefault="00B615BB" w:rsidP="00B615BB">
      <w:pPr>
        <w:spacing w:before="120"/>
        <w:rPr>
          <w:b/>
        </w:rPr>
      </w:pPr>
      <w:r w:rsidRPr="00E45573">
        <w:rPr>
          <w:b/>
        </w:rPr>
        <w:t>Working Party on General Safety Provisions</w:t>
      </w:r>
      <w:r w:rsidR="00795AAE">
        <w:rPr>
          <w:b/>
        </w:rPr>
        <w:t xml:space="preserve"> </w:t>
      </w:r>
    </w:p>
    <w:p w14:paraId="5FF61A4E" w14:textId="77777777" w:rsidR="00B615BB" w:rsidRPr="00E45573" w:rsidRDefault="00D82BBE" w:rsidP="00B615BB">
      <w:pPr>
        <w:spacing w:before="120"/>
        <w:rPr>
          <w:b/>
        </w:rPr>
      </w:pPr>
      <w:r>
        <w:rPr>
          <w:b/>
        </w:rPr>
        <w:t>11</w:t>
      </w:r>
      <w:r w:rsidRPr="00FE353E">
        <w:rPr>
          <w:b/>
          <w:lang w:val="en-US"/>
        </w:rPr>
        <w:t>7</w:t>
      </w:r>
      <w:r w:rsidR="007A4098">
        <w:rPr>
          <w:b/>
          <w:lang w:val="en-US"/>
        </w:rPr>
        <w:t>th</w:t>
      </w:r>
      <w:r w:rsidR="00B615BB" w:rsidRPr="00E45573">
        <w:rPr>
          <w:b/>
        </w:rPr>
        <w:t xml:space="preserve"> session</w:t>
      </w:r>
    </w:p>
    <w:p w14:paraId="7F5C1DD0" w14:textId="77777777" w:rsidR="00B615BB" w:rsidRPr="00E45573" w:rsidRDefault="00B615BB" w:rsidP="00B615BB">
      <w:r w:rsidRPr="00E45573">
        <w:t xml:space="preserve">Geneva, </w:t>
      </w:r>
      <w:r w:rsidR="00D82BBE" w:rsidRPr="00FE353E">
        <w:rPr>
          <w:lang w:val="en-US"/>
        </w:rPr>
        <w:t>8</w:t>
      </w:r>
      <w:r w:rsidR="00FC54D5">
        <w:t>-</w:t>
      </w:r>
      <w:r w:rsidR="00D82BBE" w:rsidRPr="00FE353E">
        <w:rPr>
          <w:lang w:val="en-US"/>
        </w:rPr>
        <w:t>11</w:t>
      </w:r>
      <w:r w:rsidRPr="00E45573">
        <w:t xml:space="preserve"> </w:t>
      </w:r>
      <w:r w:rsidR="00D82BBE">
        <w:rPr>
          <w:lang w:val="en-US"/>
        </w:rPr>
        <w:t>October</w:t>
      </w:r>
      <w:r w:rsidRPr="00E45573">
        <w:t xml:space="preserve"> 201</w:t>
      </w:r>
      <w:r w:rsidR="00D82BBE">
        <w:t>9</w:t>
      </w:r>
    </w:p>
    <w:p w14:paraId="0BF0C1F5" w14:textId="4FF51D57" w:rsidR="00B615BB" w:rsidRPr="00E45573" w:rsidRDefault="00B615BB" w:rsidP="00B615BB">
      <w:bookmarkStart w:id="0" w:name="_GoBack"/>
      <w:r w:rsidRPr="00E45573">
        <w:t xml:space="preserve">Item </w:t>
      </w:r>
      <w:r w:rsidR="00FE353E" w:rsidRPr="007A4098">
        <w:rPr>
          <w:lang w:val="en-US"/>
        </w:rPr>
        <w:t>1</w:t>
      </w:r>
      <w:r w:rsidR="00231C4E">
        <w:rPr>
          <w:lang w:val="en-US"/>
        </w:rPr>
        <w:t>6</w:t>
      </w:r>
      <w:r w:rsidRPr="00E45573">
        <w:t xml:space="preserve"> of the provisional agenda</w:t>
      </w:r>
    </w:p>
    <w:bookmarkEnd w:id="0"/>
    <w:p w14:paraId="2E4D7E31" w14:textId="77777777" w:rsidR="00B615BB" w:rsidRPr="00E45573" w:rsidRDefault="007A4098" w:rsidP="007A4098">
      <w:pPr>
        <w:rPr>
          <w:b/>
        </w:rPr>
      </w:pPr>
      <w:r>
        <w:rPr>
          <w:b/>
        </w:rPr>
        <w:t xml:space="preserve">UN </w:t>
      </w:r>
      <w:r w:rsidR="00D82BBE">
        <w:rPr>
          <w:b/>
        </w:rPr>
        <w:t>Regulation No. 144</w:t>
      </w:r>
      <w:r>
        <w:rPr>
          <w:b/>
        </w:rPr>
        <w:t xml:space="preserve"> </w:t>
      </w:r>
      <w:r w:rsidR="00B615BB" w:rsidRPr="00E45573">
        <w:rPr>
          <w:b/>
        </w:rPr>
        <w:t>(</w:t>
      </w:r>
      <w:r w:rsidR="00D82BBE" w:rsidRPr="00E72D9C">
        <w:rPr>
          <w:b/>
        </w:rPr>
        <w:t>Accident Emergency Call Systems</w:t>
      </w:r>
      <w:r w:rsidR="00B615BB" w:rsidRPr="00E45573">
        <w:rPr>
          <w:b/>
        </w:rPr>
        <w:t>)</w:t>
      </w:r>
    </w:p>
    <w:p w14:paraId="6DEEDB64" w14:textId="77777777" w:rsidR="00B615BB" w:rsidRPr="00B065C8" w:rsidRDefault="00B615BB" w:rsidP="00B615BB">
      <w:pPr>
        <w:pStyle w:val="HChG"/>
        <w:tabs>
          <w:tab w:val="clear" w:pos="851"/>
        </w:tabs>
        <w:ind w:firstLine="0"/>
        <w:jc w:val="both"/>
        <w:rPr>
          <w:szCs w:val="28"/>
        </w:rPr>
      </w:pPr>
      <w:r w:rsidRPr="00B065C8">
        <w:rPr>
          <w:szCs w:val="28"/>
        </w:rPr>
        <w:t>Proposal for</w:t>
      </w:r>
      <w:r w:rsidR="002F58BE" w:rsidRPr="00B065C8">
        <w:rPr>
          <w:szCs w:val="28"/>
          <w:lang w:val="en-US"/>
        </w:rPr>
        <w:t xml:space="preserve"> the 01 series of amendments</w:t>
      </w:r>
      <w:r w:rsidR="00014199" w:rsidRPr="00B065C8">
        <w:rPr>
          <w:szCs w:val="28"/>
        </w:rPr>
        <w:t xml:space="preserve"> </w:t>
      </w:r>
      <w:r w:rsidRPr="00B065C8">
        <w:rPr>
          <w:szCs w:val="28"/>
        </w:rPr>
        <w:t xml:space="preserve">to </w:t>
      </w:r>
      <w:r w:rsidR="00014199" w:rsidRPr="00B065C8">
        <w:rPr>
          <w:szCs w:val="28"/>
        </w:rPr>
        <w:t>Regulation No. 144</w:t>
      </w:r>
      <w:r w:rsidRPr="00B065C8">
        <w:rPr>
          <w:szCs w:val="28"/>
        </w:rPr>
        <w:t xml:space="preserve"> </w:t>
      </w:r>
      <w:r w:rsidR="00014199" w:rsidRPr="00B065C8">
        <w:rPr>
          <w:szCs w:val="28"/>
        </w:rPr>
        <w:t>(Accident Emergency Call Systems</w:t>
      </w:r>
      <w:r w:rsidRPr="00B065C8">
        <w:rPr>
          <w:szCs w:val="28"/>
        </w:rPr>
        <w:t>)</w:t>
      </w:r>
    </w:p>
    <w:p w14:paraId="7F637101" w14:textId="77777777" w:rsidR="008E0A25" w:rsidRPr="00B065C8" w:rsidRDefault="00014199" w:rsidP="00B615BB">
      <w:pPr>
        <w:pStyle w:val="HChG"/>
        <w:rPr>
          <w:sz w:val="24"/>
          <w:szCs w:val="24"/>
        </w:rPr>
      </w:pPr>
      <w:r>
        <w:tab/>
      </w:r>
      <w:r w:rsidRPr="00B065C8">
        <w:rPr>
          <w:sz w:val="24"/>
          <w:szCs w:val="24"/>
        </w:rPr>
        <w:tab/>
        <w:t>Sub</w:t>
      </w:r>
      <w:r w:rsidR="008E0A25" w:rsidRPr="00B065C8">
        <w:rPr>
          <w:sz w:val="24"/>
          <w:szCs w:val="24"/>
        </w:rPr>
        <w:t>mitted by the expert from the Russian Federation</w:t>
      </w:r>
      <w:r w:rsidR="008E0A25" w:rsidRPr="00B065C8">
        <w:rPr>
          <w:rStyle w:val="FootnoteReference"/>
          <w:b w:val="0"/>
          <w:sz w:val="24"/>
          <w:szCs w:val="24"/>
          <w:vertAlign w:val="baseline"/>
        </w:rPr>
        <w:footnoteReference w:customMarkFollows="1" w:id="2"/>
        <w:t>*</w:t>
      </w:r>
    </w:p>
    <w:p w14:paraId="24F31FF0" w14:textId="77777777" w:rsidR="00B30461" w:rsidRPr="00E470A7" w:rsidRDefault="00E470A7" w:rsidP="007A4098">
      <w:pPr>
        <w:pStyle w:val="SingleTxtG"/>
        <w:rPr>
          <w:lang w:val="en-US"/>
        </w:rPr>
      </w:pPr>
      <w:r>
        <w:tab/>
      </w:r>
      <w:r w:rsidR="008E0A25" w:rsidRPr="00F4669C">
        <w:t>The text reproduced below was prepared by the expert from the Russian Federation</w:t>
      </w:r>
      <w:r w:rsidR="00DD3A97">
        <w:rPr>
          <w:lang w:val="en-US"/>
        </w:rPr>
        <w:t xml:space="preserve"> and includes the proposal for amendments to UN</w:t>
      </w:r>
      <w:r w:rsidR="00DD3A97">
        <w:t xml:space="preserve"> Regulation </w:t>
      </w:r>
      <w:r w:rsidR="007A4098">
        <w:t xml:space="preserve">No. </w:t>
      </w:r>
      <w:r w:rsidR="00DD3A97" w:rsidRPr="00E63CDF">
        <w:rPr>
          <w:lang w:val="en-US"/>
        </w:rPr>
        <w:t>144</w:t>
      </w:r>
      <w:r w:rsidR="00381E3F">
        <w:rPr>
          <w:lang w:val="en-US"/>
        </w:rPr>
        <w:t xml:space="preserve"> concerning amendments of</w:t>
      </w:r>
      <w:r w:rsidR="00DD3A97">
        <w:rPr>
          <w:lang w:val="en-US"/>
        </w:rPr>
        <w:t xml:space="preserve"> the </w:t>
      </w:r>
      <w:r w:rsidR="007A4098">
        <w:rPr>
          <w:lang w:val="en-US"/>
        </w:rPr>
        <w:t>s</w:t>
      </w:r>
      <w:r w:rsidR="00DD3A97">
        <w:rPr>
          <w:lang w:val="en-US"/>
        </w:rPr>
        <w:t xml:space="preserve">cope (based on </w:t>
      </w:r>
      <w:r w:rsidR="00DD3A97">
        <w:t>informal document GRSG-116-15</w:t>
      </w:r>
      <w:r w:rsidR="00DD3A97" w:rsidRPr="00DD3A97">
        <w:rPr>
          <w:lang w:val="en-US"/>
        </w:rPr>
        <w:t xml:space="preserve">, </w:t>
      </w:r>
      <w:r w:rsidR="00DD3A97">
        <w:rPr>
          <w:lang w:val="en-US"/>
        </w:rPr>
        <w:t xml:space="preserve">prepared by the expert from the Russian Federation) and the proposal concerning transition provisions (based on </w:t>
      </w:r>
      <w:r w:rsidR="00F95055">
        <w:rPr>
          <w:lang w:val="en-US"/>
        </w:rPr>
        <w:t>the</w:t>
      </w:r>
      <w:r w:rsidR="00DD3A97">
        <w:rPr>
          <w:lang w:val="en-US"/>
        </w:rPr>
        <w:t xml:space="preserve"> </w:t>
      </w:r>
      <w:r w:rsidR="00DD3A97">
        <w:t xml:space="preserve">informal </w:t>
      </w:r>
      <w:r w:rsidR="00DD3A97" w:rsidRPr="00B93EB8">
        <w:t>document GRSG-116-10</w:t>
      </w:r>
      <w:r w:rsidR="00DD3A97" w:rsidRPr="00B93EB8">
        <w:rPr>
          <w:lang w:val="en-US"/>
        </w:rPr>
        <w:t>, prepared by the expert from the International Organization of Motor Vehicle Manufacturers (OICA)). The above</w:t>
      </w:r>
      <w:r w:rsidR="007A4098">
        <w:rPr>
          <w:lang w:val="en-US"/>
        </w:rPr>
        <w:t>-</w:t>
      </w:r>
      <w:r w:rsidR="00DD3A97" w:rsidRPr="00B93EB8">
        <w:rPr>
          <w:lang w:val="en-US"/>
        </w:rPr>
        <w:t xml:space="preserve">mentioned documents were </w:t>
      </w:r>
      <w:r w:rsidR="00E63CDF" w:rsidRPr="00B93EB8">
        <w:t xml:space="preserve">distributed </w:t>
      </w:r>
      <w:r w:rsidRPr="00B93EB8">
        <w:t>during 116</w:t>
      </w:r>
      <w:r w:rsidR="007A4098">
        <w:t>th</w:t>
      </w:r>
      <w:r w:rsidRPr="00B93EB8">
        <w:t xml:space="preserve"> session of the Working Party on General Safety Provisions (GRSG)</w:t>
      </w:r>
      <w:r w:rsidR="007A4098">
        <w:t>,</w:t>
      </w:r>
      <w:r w:rsidRPr="00B93EB8">
        <w:t xml:space="preserve"> </w:t>
      </w:r>
      <w:r w:rsidR="00C575AE" w:rsidRPr="00B93EB8">
        <w:rPr>
          <w:lang w:val="en-US"/>
        </w:rPr>
        <w:t xml:space="preserve">see report </w:t>
      </w:r>
      <w:r w:rsidR="00B93EB8" w:rsidRPr="00B93EB8">
        <w:t xml:space="preserve">ECE/TRANS/WP.29/GRSG/95, </w:t>
      </w:r>
      <w:r w:rsidR="00FE353E" w:rsidRPr="00B93EB8">
        <w:rPr>
          <w:lang w:val="en-US"/>
        </w:rPr>
        <w:t>para. 52</w:t>
      </w:r>
      <w:r w:rsidR="00C575AE" w:rsidRPr="00B93EB8">
        <w:rPr>
          <w:lang w:val="en-US"/>
        </w:rPr>
        <w:t xml:space="preserve">. </w:t>
      </w:r>
      <w:r w:rsidRPr="00B93EB8">
        <w:t>The</w:t>
      </w:r>
      <w:r>
        <w:t xml:space="preserve"> modifications to the cur</w:t>
      </w:r>
      <w:r w:rsidR="00CB7700">
        <w:t xml:space="preserve">rent text of UN Regulation No. </w:t>
      </w:r>
      <w:r w:rsidR="00CB7700" w:rsidRPr="00CB7700">
        <w:rPr>
          <w:lang w:val="en-US"/>
        </w:rPr>
        <w:t>144</w:t>
      </w:r>
      <w:r>
        <w:t xml:space="preserve"> are marked in bold for new characters and as strikethrough for deleted ones.</w:t>
      </w:r>
    </w:p>
    <w:p w14:paraId="1E1CF54F" w14:textId="77777777" w:rsidR="008E0A25" w:rsidRPr="005F0AF3" w:rsidRDefault="008577DB" w:rsidP="00F95055">
      <w:pPr>
        <w:pStyle w:val="HChG"/>
      </w:pPr>
      <w:r w:rsidRPr="00E470A7">
        <w:rPr>
          <w:lang w:val="en-US"/>
        </w:rPr>
        <w:br w:type="page"/>
      </w:r>
      <w:r w:rsidRPr="005F0AF3">
        <w:lastRenderedPageBreak/>
        <w:tab/>
      </w:r>
      <w:r w:rsidR="008E0A25" w:rsidRPr="005F0AF3">
        <w:t>I.</w:t>
      </w:r>
      <w:r w:rsidR="008E0A25" w:rsidRPr="005F0AF3">
        <w:tab/>
        <w:t>Proposal</w:t>
      </w:r>
    </w:p>
    <w:p w14:paraId="57FB973D" w14:textId="77777777" w:rsidR="00486DBE" w:rsidRPr="00486DBE" w:rsidRDefault="00486DBE" w:rsidP="00F95055">
      <w:pPr>
        <w:spacing w:after="120" w:line="240" w:lineRule="auto"/>
        <w:ind w:left="2268" w:right="1134" w:hanging="1134"/>
        <w:rPr>
          <w:i/>
          <w:lang w:val="en-US"/>
        </w:rPr>
      </w:pPr>
      <w:r>
        <w:rPr>
          <w:i/>
          <w:lang w:val="en-US"/>
        </w:rPr>
        <w:t>Paragraph 1.1</w:t>
      </w:r>
      <w:r w:rsidR="00F95055">
        <w:rPr>
          <w:i/>
          <w:lang w:val="en-US"/>
        </w:rPr>
        <w:t>.,</w:t>
      </w:r>
      <w:r>
        <w:rPr>
          <w:i/>
          <w:lang w:val="en-US"/>
        </w:rPr>
        <w:t xml:space="preserve"> </w:t>
      </w:r>
      <w:r w:rsidRPr="00F95055">
        <w:rPr>
          <w:iCs/>
          <w:lang w:val="en-US"/>
        </w:rPr>
        <w:t>amend to read:</w:t>
      </w:r>
    </w:p>
    <w:p w14:paraId="69E5DA32" w14:textId="77777777" w:rsidR="00486DBE" w:rsidRDefault="00486DBE" w:rsidP="00F95055">
      <w:pPr>
        <w:tabs>
          <w:tab w:val="left" w:pos="2268"/>
        </w:tabs>
        <w:spacing w:after="120" w:line="240" w:lineRule="auto"/>
        <w:ind w:left="2268" w:right="1134" w:hanging="1134"/>
      </w:pPr>
      <w:r>
        <w:t>“</w:t>
      </w:r>
      <w:r w:rsidRPr="00A84ABE">
        <w:t>1.1.</w:t>
      </w:r>
      <w:r w:rsidRPr="00A84ABE">
        <w:tab/>
        <w:t xml:space="preserve">This </w:t>
      </w:r>
      <w:r w:rsidR="00F95055" w:rsidRPr="00F95055">
        <w:rPr>
          <w:b/>
          <w:bCs/>
        </w:rPr>
        <w:t>UN</w:t>
      </w:r>
      <w:r w:rsidR="00F95055">
        <w:t xml:space="preserve"> </w:t>
      </w:r>
      <w:r w:rsidRPr="00A84ABE">
        <w:t>Regulation applies to:</w:t>
      </w:r>
    </w:p>
    <w:p w14:paraId="31F0A49B" w14:textId="77777777" w:rsidR="00486DBE" w:rsidRPr="00A84ABE" w:rsidRDefault="00486DBE" w:rsidP="00F95055">
      <w:pPr>
        <w:tabs>
          <w:tab w:val="left" w:pos="2268"/>
        </w:tabs>
        <w:spacing w:after="120" w:line="240" w:lineRule="auto"/>
        <w:ind w:left="2268" w:right="1134" w:hanging="1134"/>
      </w:pPr>
      <w:r>
        <w:tab/>
        <w:t>……</w:t>
      </w:r>
    </w:p>
    <w:p w14:paraId="77E78C1F" w14:textId="77777777" w:rsidR="00486DBE" w:rsidRDefault="00F95055" w:rsidP="00F95055">
      <w:pPr>
        <w:tabs>
          <w:tab w:val="left" w:pos="2835"/>
        </w:tabs>
        <w:suppressAutoHyphens w:val="0"/>
        <w:spacing w:after="120" w:line="240" w:lineRule="auto"/>
        <w:ind w:left="2268" w:right="1134" w:hanging="1134"/>
        <w:jc w:val="both"/>
      </w:pPr>
      <w:r>
        <w:tab/>
      </w:r>
      <w:r w:rsidR="00486DBE" w:rsidRPr="00A84ABE">
        <w:t>(b)</w:t>
      </w:r>
      <w:r w:rsidR="00486DBE" w:rsidRPr="00A84ABE">
        <w:tab/>
        <w:t xml:space="preserve">Part </w:t>
      </w:r>
      <w:proofErr w:type="spellStart"/>
      <w:r w:rsidR="00486DBE" w:rsidRPr="00A84ABE">
        <w:t>Ib</w:t>
      </w:r>
      <w:proofErr w:type="spellEnd"/>
      <w:r w:rsidR="00486DBE" w:rsidRPr="00A84ABE">
        <w:t>:</w:t>
      </w:r>
    </w:p>
    <w:p w14:paraId="08F77BD9" w14:textId="77777777" w:rsidR="00486DBE" w:rsidRPr="006F1F8D" w:rsidRDefault="00F95055" w:rsidP="00F95055">
      <w:pPr>
        <w:pStyle w:val="ListParagraph"/>
        <w:numPr>
          <w:ilvl w:val="0"/>
          <w:numId w:val="17"/>
        </w:numPr>
        <w:suppressAutoHyphens w:val="0"/>
        <w:spacing w:after="120" w:line="240" w:lineRule="auto"/>
        <w:ind w:left="2268" w:right="1134" w:firstLine="0"/>
        <w:contextualSpacing w:val="0"/>
        <w:jc w:val="both"/>
        <w:rPr>
          <w:vertAlign w:val="superscript"/>
          <w:lang w:val="en-GB"/>
        </w:rPr>
      </w:pPr>
      <w:r>
        <w:rPr>
          <w:lang w:val="en-GB"/>
        </w:rPr>
        <w:t>T</w:t>
      </w:r>
      <w:r w:rsidR="00486DBE" w:rsidRPr="006F1F8D">
        <w:rPr>
          <w:lang w:val="en-GB"/>
        </w:rPr>
        <w:t>he approval of AECDs which are intended to be fitted to vehicles of categories M</w:t>
      </w:r>
      <w:r w:rsidR="00486DBE" w:rsidRPr="006F1F8D">
        <w:rPr>
          <w:vertAlign w:val="subscript"/>
          <w:lang w:val="en-GB"/>
        </w:rPr>
        <w:t>1</w:t>
      </w:r>
      <w:r w:rsidR="00486DBE" w:rsidRPr="006F1F8D">
        <w:rPr>
          <w:lang w:val="en-GB"/>
        </w:rPr>
        <w:t xml:space="preserve"> and N</w:t>
      </w:r>
      <w:r w:rsidR="00486DBE" w:rsidRPr="006F1F8D">
        <w:rPr>
          <w:vertAlign w:val="subscript"/>
          <w:lang w:val="en-GB"/>
        </w:rPr>
        <w:t>1.</w:t>
      </w:r>
      <w:r w:rsidR="00486DBE" w:rsidRPr="006F1F8D">
        <w:rPr>
          <w:vertAlign w:val="superscript"/>
          <w:lang w:val="en-GB"/>
        </w:rPr>
        <w:t>1</w:t>
      </w:r>
      <w:r w:rsidR="00486DBE">
        <w:rPr>
          <w:lang w:val="en-GB"/>
        </w:rPr>
        <w:t>;</w:t>
      </w:r>
    </w:p>
    <w:p w14:paraId="1956ED9B" w14:textId="77777777" w:rsidR="00486DBE" w:rsidRPr="00486DBE" w:rsidRDefault="00F95055" w:rsidP="00F95055">
      <w:pPr>
        <w:pStyle w:val="ListParagraph"/>
        <w:numPr>
          <w:ilvl w:val="0"/>
          <w:numId w:val="17"/>
        </w:numPr>
        <w:suppressAutoHyphens w:val="0"/>
        <w:spacing w:after="120" w:line="240" w:lineRule="auto"/>
        <w:ind w:left="2268" w:right="1134" w:firstLine="0"/>
        <w:contextualSpacing w:val="0"/>
        <w:jc w:val="both"/>
        <w:rPr>
          <w:vertAlign w:val="superscript"/>
          <w:lang w:val="en-GB"/>
        </w:rPr>
      </w:pPr>
      <w:r>
        <w:rPr>
          <w:b/>
          <w:lang w:val="en-GB"/>
        </w:rPr>
        <w:t>A</w:t>
      </w:r>
      <w:r w:rsidR="00486DBE">
        <w:rPr>
          <w:b/>
          <w:lang w:val="en-GB"/>
        </w:rPr>
        <w:t>t the</w:t>
      </w:r>
      <w:r w:rsidR="00486DBE" w:rsidRPr="006F1F8D">
        <w:rPr>
          <w:b/>
          <w:lang w:val="en-GB"/>
        </w:rPr>
        <w:t xml:space="preserve"> request of the</w:t>
      </w:r>
      <w:r w:rsidR="00486DBE">
        <w:rPr>
          <w:b/>
          <w:lang w:val="en-GB"/>
        </w:rPr>
        <w:t xml:space="preserve"> applicant, the approval of AECDs which are intended to be fitted to vehicles of </w:t>
      </w:r>
      <w:r w:rsidR="00486DBE" w:rsidRPr="006F1F8D">
        <w:rPr>
          <w:b/>
          <w:lang w:val="en-GB"/>
        </w:rPr>
        <w:t>other vehicle categories</w:t>
      </w:r>
      <w:r w:rsidR="00486DBE">
        <w:rPr>
          <w:b/>
          <w:lang w:val="en-GB"/>
        </w:rPr>
        <w:t>.”</w:t>
      </w:r>
    </w:p>
    <w:p w14:paraId="36E60882" w14:textId="77777777" w:rsidR="00486DBE" w:rsidRPr="00F95055" w:rsidRDefault="00486DBE" w:rsidP="00F95055">
      <w:pPr>
        <w:pStyle w:val="ListParagraph"/>
        <w:suppressAutoHyphens w:val="0"/>
        <w:spacing w:after="120" w:line="240" w:lineRule="auto"/>
        <w:ind w:left="2268" w:right="1134" w:hanging="1134"/>
        <w:contextualSpacing w:val="0"/>
        <w:jc w:val="both"/>
        <w:rPr>
          <w:iCs/>
          <w:lang w:val="en-US"/>
        </w:rPr>
      </w:pPr>
      <w:r>
        <w:rPr>
          <w:i/>
          <w:lang w:val="en-US"/>
        </w:rPr>
        <w:t>Paragraph 1.3</w:t>
      </w:r>
      <w:r w:rsidR="00F95055">
        <w:rPr>
          <w:i/>
          <w:lang w:val="en-US"/>
        </w:rPr>
        <w:t>.</w:t>
      </w:r>
      <w:r w:rsidR="00F95055" w:rsidRPr="00F95055">
        <w:rPr>
          <w:iCs/>
          <w:lang w:val="en-US"/>
        </w:rPr>
        <w:t>,</w:t>
      </w:r>
      <w:r w:rsidRPr="00F95055">
        <w:rPr>
          <w:iCs/>
          <w:lang w:val="en-US"/>
        </w:rPr>
        <w:t xml:space="preserve"> amend to read:</w:t>
      </w:r>
    </w:p>
    <w:p w14:paraId="31E13BB8" w14:textId="77777777" w:rsidR="00486DBE" w:rsidRDefault="00486DBE" w:rsidP="00F95055">
      <w:pPr>
        <w:tabs>
          <w:tab w:val="left" w:pos="2268"/>
        </w:tabs>
        <w:spacing w:after="120" w:line="240" w:lineRule="auto"/>
        <w:ind w:left="2268" w:right="1134" w:hanging="1134"/>
        <w:jc w:val="both"/>
      </w:pPr>
      <w:r>
        <w:rPr>
          <w:lang w:val="en-US"/>
        </w:rPr>
        <w:t>“</w:t>
      </w:r>
      <w:r w:rsidRPr="004E2441">
        <w:t>1.3.</w:t>
      </w:r>
      <w:r w:rsidRPr="004E2441">
        <w:tab/>
        <w:t>Vehicles,</w:t>
      </w:r>
    </w:p>
    <w:p w14:paraId="28BCC92D" w14:textId="77777777" w:rsidR="00486DBE" w:rsidRPr="00A84ABE" w:rsidRDefault="00486DBE" w:rsidP="00F95055">
      <w:pPr>
        <w:tabs>
          <w:tab w:val="left" w:pos="2835"/>
        </w:tabs>
        <w:suppressAutoHyphens w:val="0"/>
        <w:spacing w:after="120" w:line="240" w:lineRule="auto"/>
        <w:ind w:left="2268" w:right="1134"/>
      </w:pPr>
      <w:r>
        <w:t>(a)</w:t>
      </w:r>
      <w:r>
        <w:tab/>
        <w:t>I</w:t>
      </w:r>
      <w:r w:rsidRPr="00A84ABE">
        <w:t>n the scope of neither UN Regulation No. 94 nor UN Regulation No.</w:t>
      </w:r>
      <w:r>
        <w:t> </w:t>
      </w:r>
      <w:r w:rsidRPr="00A84ABE">
        <w:t>95 and not fitted with an automatic triggering of a</w:t>
      </w:r>
      <w:r w:rsidR="00F95055">
        <w:t>n</w:t>
      </w:r>
      <w:r w:rsidRPr="00A84ABE">
        <w:t xml:space="preserve"> AECS;</w:t>
      </w:r>
    </w:p>
    <w:p w14:paraId="6D7E9A30" w14:textId="77777777" w:rsidR="00486DBE" w:rsidRPr="004E2441" w:rsidRDefault="00486DBE" w:rsidP="00F95055">
      <w:pPr>
        <w:tabs>
          <w:tab w:val="left" w:pos="2835"/>
        </w:tabs>
        <w:suppressAutoHyphens w:val="0"/>
        <w:spacing w:after="120" w:line="240" w:lineRule="auto"/>
        <w:ind w:left="2268" w:right="1134"/>
        <w:jc w:val="both"/>
        <w:rPr>
          <w:strike/>
        </w:rPr>
      </w:pPr>
      <w:r w:rsidRPr="004E2441">
        <w:rPr>
          <w:strike/>
        </w:rPr>
        <w:t>(b)</w:t>
      </w:r>
      <w:r w:rsidRPr="004E2441">
        <w:rPr>
          <w:strike/>
        </w:rPr>
        <w:tab/>
        <w:t>Of category M</w:t>
      </w:r>
      <w:r w:rsidRPr="004E2441">
        <w:rPr>
          <w:strike/>
          <w:vertAlign w:val="subscript"/>
        </w:rPr>
        <w:t>1</w:t>
      </w:r>
      <w:r w:rsidRPr="004E2441">
        <w:rPr>
          <w:strike/>
        </w:rPr>
        <w:t xml:space="preserve"> in the scope of UN Regulation No. 94 and not equipped with frontal airbag;</w:t>
      </w:r>
    </w:p>
    <w:p w14:paraId="2CEE1149" w14:textId="77777777" w:rsidR="00486DBE" w:rsidRPr="004E2441" w:rsidRDefault="00486DBE" w:rsidP="00F95055">
      <w:pPr>
        <w:tabs>
          <w:tab w:val="left" w:pos="2835"/>
        </w:tabs>
        <w:suppressAutoHyphens w:val="0"/>
        <w:spacing w:after="120" w:line="240" w:lineRule="auto"/>
        <w:ind w:left="2268" w:right="1134"/>
        <w:jc w:val="both"/>
        <w:rPr>
          <w:strike/>
        </w:rPr>
      </w:pPr>
      <w:r w:rsidRPr="004E2441">
        <w:rPr>
          <w:strike/>
        </w:rPr>
        <w:t>(c)</w:t>
      </w:r>
      <w:r w:rsidRPr="004E2441">
        <w:rPr>
          <w:strike/>
        </w:rPr>
        <w:tab/>
        <w:t>Of category N</w:t>
      </w:r>
      <w:r w:rsidRPr="004E2441">
        <w:rPr>
          <w:strike/>
          <w:vertAlign w:val="subscript"/>
        </w:rPr>
        <w:t>1</w:t>
      </w:r>
      <w:r w:rsidRPr="004E2441">
        <w:rPr>
          <w:strike/>
        </w:rPr>
        <w:t xml:space="preserve"> in the scope of UN Regulation No. 95 and not equipped with side airbag;</w:t>
      </w:r>
    </w:p>
    <w:p w14:paraId="4419DC16" w14:textId="77777777" w:rsidR="00486DBE" w:rsidRPr="005B42C2" w:rsidRDefault="00486DBE" w:rsidP="00F95055">
      <w:pPr>
        <w:tabs>
          <w:tab w:val="left" w:pos="2835"/>
        </w:tabs>
        <w:suppressAutoHyphens w:val="0"/>
        <w:spacing w:after="120" w:line="240" w:lineRule="auto"/>
        <w:ind w:left="2268" w:right="1134"/>
        <w:jc w:val="both"/>
      </w:pPr>
      <w:r w:rsidRPr="005B42C2">
        <w:t>(</w:t>
      </w:r>
      <w:proofErr w:type="spellStart"/>
      <w:r w:rsidRPr="005B42C2">
        <w:rPr>
          <w:strike/>
        </w:rPr>
        <w:t>d</w:t>
      </w:r>
      <w:r w:rsidRPr="00556839">
        <w:rPr>
          <w:b/>
        </w:rPr>
        <w:t>b</w:t>
      </w:r>
      <w:proofErr w:type="spellEnd"/>
      <w:r w:rsidRPr="005B42C2">
        <w:t>)</w:t>
      </w:r>
      <w:r w:rsidRPr="005B42C2">
        <w:tab/>
        <w:t>Of category M</w:t>
      </w:r>
      <w:r w:rsidRPr="005B42C2">
        <w:rPr>
          <w:vertAlign w:val="subscript"/>
        </w:rPr>
        <w:t>1</w:t>
      </w:r>
      <w:r w:rsidRPr="005B42C2">
        <w:t xml:space="preserve"> with a total permissible mass above 3.5 t; and</w:t>
      </w:r>
    </w:p>
    <w:p w14:paraId="2F1D052B" w14:textId="77777777" w:rsidR="00486DBE" w:rsidRDefault="00486DBE" w:rsidP="00F95055">
      <w:pPr>
        <w:suppressAutoHyphens w:val="0"/>
        <w:spacing w:after="120" w:line="240" w:lineRule="auto"/>
        <w:ind w:left="2268" w:right="1134"/>
        <w:jc w:val="both"/>
      </w:pPr>
      <w:r w:rsidRPr="00556839">
        <w:t>(</w:t>
      </w:r>
      <w:r w:rsidRPr="00556839">
        <w:rPr>
          <w:strike/>
        </w:rPr>
        <w:t>e</w:t>
      </w:r>
      <w:r w:rsidRPr="005B42C2">
        <w:rPr>
          <w:b/>
          <w:lang w:val="ru-RU"/>
        </w:rPr>
        <w:t>с</w:t>
      </w:r>
      <w:r w:rsidRPr="00556839">
        <w:t>)</w:t>
      </w:r>
      <w:r w:rsidRPr="00556839">
        <w:tab/>
      </w:r>
      <w:r>
        <w:t>A</w:t>
      </w:r>
      <w:r w:rsidRPr="00A84ABE">
        <w:t>rmoured vehicles</w:t>
      </w:r>
      <w:r w:rsidRPr="00A84ABE">
        <w:rPr>
          <w:vertAlign w:val="superscript"/>
        </w:rPr>
        <w:t>1</w:t>
      </w:r>
      <w:r>
        <w:t xml:space="preserve"> </w:t>
      </w:r>
    </w:p>
    <w:p w14:paraId="075C1FE9" w14:textId="77777777" w:rsidR="00486DBE" w:rsidRPr="00A84ABE" w:rsidRDefault="00486DBE" w:rsidP="00F95055">
      <w:pPr>
        <w:suppressAutoHyphens w:val="0"/>
        <w:spacing w:after="120" w:line="240" w:lineRule="auto"/>
        <w:ind w:left="2268" w:right="1134"/>
        <w:jc w:val="both"/>
      </w:pPr>
      <w:r w:rsidRPr="00A84ABE">
        <w:t>shall be excluded from the scope of this Regulation.</w:t>
      </w:r>
      <w:r>
        <w:t>”</w:t>
      </w:r>
    </w:p>
    <w:p w14:paraId="7440E696" w14:textId="77777777" w:rsidR="00EF5207" w:rsidRPr="00F95055" w:rsidRDefault="00F95055" w:rsidP="00F95055">
      <w:pPr>
        <w:keepNext/>
        <w:keepLines/>
        <w:suppressAutoHyphens w:val="0"/>
        <w:spacing w:after="120" w:line="240" w:lineRule="auto"/>
        <w:ind w:left="2268" w:right="1134" w:hanging="1134"/>
        <w:rPr>
          <w:b/>
          <w:iCs/>
          <w:sz w:val="28"/>
        </w:rPr>
      </w:pPr>
      <w:r>
        <w:rPr>
          <w:i/>
          <w:lang w:val="en-US"/>
        </w:rPr>
        <w:t>P</w:t>
      </w:r>
      <w:r w:rsidR="00EF5207" w:rsidRPr="00D6740A">
        <w:rPr>
          <w:i/>
          <w:lang w:val="en-US"/>
        </w:rPr>
        <w:t>ara</w:t>
      </w:r>
      <w:r w:rsidR="00EF5207" w:rsidRPr="00D6740A">
        <w:rPr>
          <w:i/>
        </w:rPr>
        <w:t>graph 34</w:t>
      </w:r>
      <w:r w:rsidR="00EF5207" w:rsidRPr="00D6740A">
        <w:rPr>
          <w:i/>
          <w:lang w:val="en-US"/>
        </w:rPr>
        <w:t>.1</w:t>
      </w:r>
      <w:r w:rsidR="00EF5207" w:rsidRPr="00F95055">
        <w:rPr>
          <w:iCs/>
          <w:lang w:val="en-US"/>
        </w:rPr>
        <w:t xml:space="preserve">., </w:t>
      </w:r>
      <w:r w:rsidRPr="00F95055">
        <w:rPr>
          <w:iCs/>
          <w:lang w:val="en-US"/>
        </w:rPr>
        <w:t xml:space="preserve">amend </w:t>
      </w:r>
      <w:r w:rsidR="00EF5207" w:rsidRPr="00F95055">
        <w:rPr>
          <w:iCs/>
          <w:lang w:val="en-US"/>
        </w:rPr>
        <w:t>to read:</w:t>
      </w:r>
    </w:p>
    <w:p w14:paraId="78DB0A7D" w14:textId="77777777" w:rsidR="00EF5207" w:rsidRPr="008A7845" w:rsidRDefault="00EF5207" w:rsidP="00F95055">
      <w:pPr>
        <w:tabs>
          <w:tab w:val="left" w:pos="2250"/>
        </w:tabs>
        <w:spacing w:after="120" w:line="240" w:lineRule="auto"/>
        <w:ind w:left="2268" w:right="1134" w:hanging="1134"/>
        <w:jc w:val="both"/>
      </w:pPr>
      <w:r>
        <w:t>“</w:t>
      </w:r>
      <w:r w:rsidR="0044429E">
        <w:t>34.1.</w:t>
      </w:r>
      <w:r w:rsidR="0044429E">
        <w:tab/>
        <w:t xml:space="preserve">If </w:t>
      </w:r>
      <w:r w:rsidRPr="008A7845">
        <w:t>the vehicle type submitted for approval in accordance with paragraph 33. above meets th</w:t>
      </w:r>
      <w:r w:rsidR="00755B06">
        <w:t xml:space="preserve">e requirements of paragraph 35 </w:t>
      </w:r>
      <w:r w:rsidRPr="008A7845">
        <w:t>of this Regulation, approval shall be granted.</w:t>
      </w:r>
    </w:p>
    <w:p w14:paraId="062E6350" w14:textId="77777777" w:rsidR="00EF5207" w:rsidRPr="000223D1" w:rsidRDefault="00EF5207" w:rsidP="00AE17F3">
      <w:pPr>
        <w:tabs>
          <w:tab w:val="left" w:pos="2250"/>
        </w:tabs>
        <w:spacing w:after="120" w:line="240" w:lineRule="auto"/>
        <w:ind w:left="2268" w:right="1134"/>
        <w:jc w:val="both"/>
        <w:rPr>
          <w:lang w:val="en-US"/>
        </w:rPr>
      </w:pPr>
      <w:r w:rsidRPr="008A7845">
        <w:t>Before granting approval for a vehicle type, the competent authority shall ensure that al</w:t>
      </w:r>
      <w:r w:rsidR="00BA6658">
        <w:t xml:space="preserve">l the parts listed in </w:t>
      </w:r>
      <w:r w:rsidR="00BA6658" w:rsidRPr="00BA6658">
        <w:t xml:space="preserve">paragraph </w:t>
      </w:r>
      <w:r w:rsidRPr="00BA6658">
        <w:rPr>
          <w:color w:val="000000"/>
        </w:rPr>
        <w:t>35.10.1</w:t>
      </w:r>
      <w:r w:rsidR="00FC54D5">
        <w:rPr>
          <w:color w:val="000000"/>
        </w:rPr>
        <w:t>.</w:t>
      </w:r>
      <w:r w:rsidRPr="00BA6658">
        <w:rPr>
          <w:color w:val="000000"/>
        </w:rPr>
        <w:t xml:space="preserve"> </w:t>
      </w:r>
      <w:r w:rsidRPr="00BA6658">
        <w:t xml:space="preserve">are tested to Annex 9. If the AECS is fed by a power supply other than the back-up power supply described in paragraph </w:t>
      </w:r>
      <w:r w:rsidRPr="00BA6658">
        <w:rPr>
          <w:color w:val="000000"/>
        </w:rPr>
        <w:t>35.10.2</w:t>
      </w:r>
      <w:r w:rsidR="00FC54D5">
        <w:rPr>
          <w:color w:val="000000"/>
        </w:rPr>
        <w:t>.</w:t>
      </w:r>
      <w:r w:rsidRPr="00EF5207">
        <w:rPr>
          <w:b/>
          <w:color w:val="000000"/>
        </w:rPr>
        <w:t xml:space="preserve">, </w:t>
      </w:r>
      <w:r w:rsidR="000223D1">
        <w:rPr>
          <w:b/>
          <w:bCs/>
          <w:color w:val="000000"/>
          <w:lang w:eastAsia="en-GB"/>
        </w:rPr>
        <w:t>and this power supply is the power supply necessary to meet the power supply requirements in paragraph 35.9</w:t>
      </w:r>
      <w:r w:rsidR="00FC54D5">
        <w:rPr>
          <w:b/>
          <w:bCs/>
          <w:color w:val="000000"/>
          <w:lang w:eastAsia="en-GB"/>
        </w:rPr>
        <w:t>.</w:t>
      </w:r>
      <w:r w:rsidRPr="006F48DF">
        <w:rPr>
          <w:b/>
          <w:iCs/>
          <w:lang w:eastAsia="en-GB"/>
        </w:rPr>
        <w:t xml:space="preserve">, </w:t>
      </w:r>
      <w:r w:rsidRPr="008A7845">
        <w:t xml:space="preserve">this power supply shall </w:t>
      </w:r>
      <w:r w:rsidRPr="00EF5207">
        <w:rPr>
          <w:strike/>
          <w:color w:val="000000"/>
        </w:rPr>
        <w:t>also</w:t>
      </w:r>
      <w:r w:rsidRPr="008A7845">
        <w:t xml:space="preserve"> be tested to Annex 9 to this Regulation.</w:t>
      </w:r>
      <w:r>
        <w:t>”</w:t>
      </w:r>
    </w:p>
    <w:p w14:paraId="3CA497F4" w14:textId="77777777" w:rsidR="00A630C6" w:rsidRPr="00D6740A" w:rsidRDefault="00A630C6" w:rsidP="00F95055">
      <w:pPr>
        <w:spacing w:after="120" w:line="240" w:lineRule="auto"/>
        <w:ind w:left="2268" w:right="1134" w:hanging="1134"/>
        <w:rPr>
          <w:i/>
          <w:lang w:val="en-US"/>
        </w:rPr>
      </w:pPr>
      <w:r w:rsidRPr="00D6740A">
        <w:rPr>
          <w:i/>
          <w:lang w:val="en-US"/>
        </w:rPr>
        <w:t>I</w:t>
      </w:r>
      <w:r w:rsidR="00E06C88">
        <w:rPr>
          <w:i/>
          <w:lang w:val="en-US"/>
        </w:rPr>
        <w:t>nsert new paragraphs 41</w:t>
      </w:r>
      <w:r w:rsidR="00FC54D5">
        <w:rPr>
          <w:i/>
          <w:lang w:val="en-US"/>
        </w:rPr>
        <w:t>.</w:t>
      </w:r>
      <w:r w:rsidRPr="00D6740A">
        <w:rPr>
          <w:i/>
          <w:lang w:val="en-US"/>
        </w:rPr>
        <w:t xml:space="preserve">, </w:t>
      </w:r>
      <w:r w:rsidRPr="00D6740A">
        <w:rPr>
          <w:i/>
          <w:iCs/>
          <w:lang w:val="en-US"/>
        </w:rPr>
        <w:t>to read:</w:t>
      </w:r>
    </w:p>
    <w:p w14:paraId="116645B5" w14:textId="77777777" w:rsidR="00A630C6" w:rsidRPr="00A630C6" w:rsidRDefault="00A630C6" w:rsidP="00F95055">
      <w:pPr>
        <w:spacing w:after="120" w:line="240" w:lineRule="auto"/>
        <w:ind w:left="2268" w:right="1134" w:hanging="1134"/>
        <w:jc w:val="both"/>
        <w:rPr>
          <w:b/>
          <w:color w:val="000000"/>
          <w:lang w:val="en-US"/>
        </w:rPr>
      </w:pPr>
      <w:r w:rsidRPr="00A630C6">
        <w:rPr>
          <w:b/>
          <w:color w:val="000000"/>
          <w:lang w:val="en-US"/>
        </w:rPr>
        <w:t>“41.</w:t>
      </w:r>
      <w:r w:rsidRPr="00A630C6">
        <w:rPr>
          <w:b/>
          <w:color w:val="000000"/>
          <w:lang w:val="en-US"/>
        </w:rPr>
        <w:tab/>
        <w:t>Transitional provisions</w:t>
      </w:r>
    </w:p>
    <w:p w14:paraId="1B8CF0F8" w14:textId="77777777" w:rsidR="00A630C6" w:rsidRPr="00861E14" w:rsidRDefault="00A630C6" w:rsidP="00F95055">
      <w:pPr>
        <w:spacing w:after="120" w:line="240" w:lineRule="auto"/>
        <w:ind w:left="2268" w:right="1134" w:hanging="1134"/>
        <w:jc w:val="both"/>
        <w:rPr>
          <w:b/>
          <w:color w:val="000000"/>
          <w:lang w:val="en-US"/>
        </w:rPr>
      </w:pPr>
      <w:r w:rsidRPr="00A630C6">
        <w:rPr>
          <w:b/>
          <w:color w:val="000000"/>
        </w:rPr>
        <w:t>41.1.</w:t>
      </w:r>
      <w:r w:rsidRPr="00A630C6">
        <w:rPr>
          <w:b/>
          <w:color w:val="000000"/>
        </w:rPr>
        <w:tab/>
        <w:t>As from the official date of entry into force of the 01 series of amendments, no Contracting Party applying this Regulation shall refuse to grant or refuse to accept approvals under this Regulation as amended by the 01 series of amendments.</w:t>
      </w:r>
    </w:p>
    <w:p w14:paraId="09052720" w14:textId="77777777" w:rsidR="00A630C6" w:rsidRPr="003C5A23" w:rsidRDefault="00A630C6" w:rsidP="00F95055">
      <w:pPr>
        <w:spacing w:after="120" w:line="240" w:lineRule="auto"/>
        <w:ind w:left="2268" w:right="1134" w:hanging="1134"/>
        <w:jc w:val="both"/>
        <w:rPr>
          <w:b/>
          <w:color w:val="000000"/>
          <w:lang w:val="en-US"/>
        </w:rPr>
      </w:pPr>
      <w:r w:rsidRPr="00A630C6">
        <w:rPr>
          <w:b/>
          <w:color w:val="000000"/>
        </w:rPr>
        <w:t>41.2.</w:t>
      </w:r>
      <w:r w:rsidRPr="00A630C6">
        <w:rPr>
          <w:b/>
          <w:color w:val="000000"/>
        </w:rPr>
        <w:tab/>
        <w:t xml:space="preserve">As </w:t>
      </w:r>
      <w:r w:rsidRPr="00A630C6">
        <w:rPr>
          <w:b/>
          <w:color w:val="000000"/>
          <w:lang w:eastAsia="ja-JP"/>
        </w:rPr>
        <w:t>from</w:t>
      </w:r>
      <w:r w:rsidRPr="00A630C6">
        <w:rPr>
          <w:b/>
          <w:color w:val="000000"/>
        </w:rPr>
        <w:t xml:space="preserve"> 1 September </w:t>
      </w:r>
      <w:r w:rsidRPr="00A630C6">
        <w:rPr>
          <w:b/>
          <w:color w:val="000000"/>
          <w:lang w:eastAsia="ja-JP"/>
        </w:rPr>
        <w:t>2022</w:t>
      </w:r>
      <w:r w:rsidRPr="00A630C6">
        <w:rPr>
          <w:b/>
          <w:color w:val="000000"/>
        </w:rPr>
        <w:t>, Contracting Parties applying this Regulation shall not be obliged to accept approvals to the original text of this Regulation, first issued after 1 September 2022.</w:t>
      </w:r>
    </w:p>
    <w:p w14:paraId="25BA9F9D" w14:textId="77777777" w:rsidR="00A630C6" w:rsidRPr="00982188" w:rsidRDefault="00A630C6" w:rsidP="00F95055">
      <w:pPr>
        <w:spacing w:after="120" w:line="240" w:lineRule="auto"/>
        <w:ind w:left="2268" w:right="1134" w:hanging="1134"/>
        <w:jc w:val="both"/>
        <w:rPr>
          <w:b/>
          <w:color w:val="000000"/>
          <w:lang w:val="en-US"/>
        </w:rPr>
      </w:pPr>
      <w:r w:rsidRPr="00A630C6">
        <w:rPr>
          <w:b/>
          <w:iCs/>
          <w:color w:val="000000"/>
          <w:lang w:eastAsia="ja-JP"/>
        </w:rPr>
        <w:t>41.3.</w:t>
      </w:r>
      <w:r w:rsidRPr="00A630C6">
        <w:rPr>
          <w:b/>
          <w:iCs/>
          <w:color w:val="000000"/>
          <w:lang w:eastAsia="ja-JP"/>
        </w:rPr>
        <w:tab/>
        <w:t xml:space="preserve">Contracting Parties applying this Regulation shall continue to accept approvals </w:t>
      </w:r>
      <w:r w:rsidRPr="00A630C6">
        <w:rPr>
          <w:b/>
          <w:color w:val="000000"/>
        </w:rPr>
        <w:t>issued</w:t>
      </w:r>
      <w:r w:rsidRPr="00A630C6">
        <w:rPr>
          <w:b/>
          <w:iCs/>
          <w:color w:val="000000"/>
          <w:spacing w:val="-2"/>
          <w:lang w:eastAsia="ja-JP"/>
        </w:rPr>
        <w:t xml:space="preserve"> </w:t>
      </w:r>
      <w:r w:rsidRPr="00A630C6">
        <w:rPr>
          <w:b/>
          <w:color w:val="000000"/>
        </w:rPr>
        <w:t>according</w:t>
      </w:r>
      <w:r w:rsidRPr="00A630C6">
        <w:rPr>
          <w:b/>
          <w:iCs/>
          <w:color w:val="000000"/>
          <w:spacing w:val="-2"/>
          <w:lang w:eastAsia="ja-JP"/>
        </w:rPr>
        <w:t xml:space="preserve"> </w:t>
      </w:r>
      <w:r w:rsidRPr="00A630C6">
        <w:rPr>
          <w:b/>
          <w:iCs/>
          <w:color w:val="000000"/>
          <w:lang w:eastAsia="ja-JP"/>
        </w:rPr>
        <w:t>to the original text of this Regulation</w:t>
      </w:r>
      <w:r w:rsidR="00982188" w:rsidRPr="00982188">
        <w:rPr>
          <w:b/>
          <w:iCs/>
          <w:color w:val="000000"/>
          <w:lang w:val="en-US" w:eastAsia="ja-JP"/>
        </w:rPr>
        <w:t>,</w:t>
      </w:r>
      <w:r w:rsidRPr="00A630C6">
        <w:rPr>
          <w:b/>
          <w:iCs/>
          <w:color w:val="000000"/>
          <w:lang w:eastAsia="ja-JP"/>
        </w:rPr>
        <w:t xml:space="preserve"> first issued before </w:t>
      </w:r>
      <w:r w:rsidRPr="00A630C6">
        <w:rPr>
          <w:b/>
          <w:color w:val="000000"/>
        </w:rPr>
        <w:t>1 September 2022.</w:t>
      </w:r>
    </w:p>
    <w:p w14:paraId="038A0B3A" w14:textId="77777777" w:rsidR="00A630C6" w:rsidRPr="0031731F" w:rsidRDefault="00A630C6" w:rsidP="00F95055">
      <w:pPr>
        <w:spacing w:after="120" w:line="240" w:lineRule="auto"/>
        <w:ind w:left="2268" w:right="1134" w:hanging="1134"/>
        <w:jc w:val="both"/>
        <w:rPr>
          <w:b/>
          <w:color w:val="000000"/>
          <w:lang w:val="en-US"/>
        </w:rPr>
      </w:pPr>
      <w:r w:rsidRPr="00A630C6">
        <w:rPr>
          <w:b/>
          <w:color w:val="000000"/>
        </w:rPr>
        <w:t>41.4.</w:t>
      </w:r>
      <w:r w:rsidRPr="00A630C6">
        <w:rPr>
          <w:b/>
          <w:color w:val="000000"/>
        </w:rPr>
        <w:tab/>
        <w:t xml:space="preserve">Contracting Parties applying this Regulation shall not refuse to grant approvals </w:t>
      </w:r>
      <w:r w:rsidRPr="00A630C6">
        <w:rPr>
          <w:b/>
          <w:color w:val="000000"/>
          <w:lang w:eastAsia="ja-JP"/>
        </w:rPr>
        <w:t xml:space="preserve">according to </w:t>
      </w:r>
      <w:r w:rsidR="0031731F">
        <w:rPr>
          <w:b/>
          <w:color w:val="000000"/>
          <w:lang w:val="en-US" w:eastAsia="ja-JP"/>
        </w:rPr>
        <w:t xml:space="preserve">the </w:t>
      </w:r>
      <w:r w:rsidR="0031731F" w:rsidRPr="00A630C6">
        <w:rPr>
          <w:b/>
          <w:iCs/>
          <w:color w:val="000000"/>
          <w:lang w:eastAsia="ja-JP"/>
        </w:rPr>
        <w:t xml:space="preserve">original text </w:t>
      </w:r>
      <w:r w:rsidR="0031731F">
        <w:rPr>
          <w:b/>
          <w:iCs/>
          <w:color w:val="000000"/>
          <w:lang w:eastAsia="ja-JP"/>
        </w:rPr>
        <w:t xml:space="preserve">of </w:t>
      </w:r>
      <w:r w:rsidRPr="00A630C6">
        <w:rPr>
          <w:b/>
          <w:color w:val="000000"/>
          <w:lang w:eastAsia="ja-JP"/>
        </w:rPr>
        <w:t>this Regulation</w:t>
      </w:r>
      <w:r w:rsidRPr="00A630C6">
        <w:rPr>
          <w:b/>
          <w:color w:val="000000"/>
        </w:rPr>
        <w:t xml:space="preserve"> or extensions thereof.”</w:t>
      </w:r>
    </w:p>
    <w:p w14:paraId="61DD6498" w14:textId="77777777" w:rsidR="008577DB" w:rsidRPr="00F95055" w:rsidRDefault="008577DB" w:rsidP="00F95055">
      <w:pPr>
        <w:pStyle w:val="HChG"/>
      </w:pPr>
      <w:r w:rsidRPr="00F95055">
        <w:lastRenderedPageBreak/>
        <w:tab/>
      </w:r>
      <w:r w:rsidR="008E0A25" w:rsidRPr="00F95055">
        <w:t>II.</w:t>
      </w:r>
      <w:r w:rsidR="008E0A25" w:rsidRPr="00F95055">
        <w:tab/>
        <w:t>Justification</w:t>
      </w:r>
    </w:p>
    <w:p w14:paraId="056901B9" w14:textId="77777777" w:rsidR="00FE713C" w:rsidRPr="00F95055" w:rsidRDefault="00F95055" w:rsidP="00F95055">
      <w:pPr>
        <w:pStyle w:val="H1G"/>
      </w:pPr>
      <w:r w:rsidRPr="00F95055">
        <w:tab/>
        <w:t>A.</w:t>
      </w:r>
      <w:r w:rsidRPr="00F95055">
        <w:tab/>
      </w:r>
      <w:r w:rsidR="00FE713C" w:rsidRPr="00F95055">
        <w:t>Paragraph 1.1</w:t>
      </w:r>
      <w:r w:rsidR="009D7706" w:rsidRPr="00F95055">
        <w:t>.</w:t>
      </w:r>
    </w:p>
    <w:p w14:paraId="2873DC44" w14:textId="77777777" w:rsidR="009D7706" w:rsidRPr="00F95055" w:rsidRDefault="00AE17F3" w:rsidP="00F95055">
      <w:pPr>
        <w:pStyle w:val="SingleTxtG"/>
      </w:pPr>
      <w:r>
        <w:t>1.</w:t>
      </w:r>
      <w:r>
        <w:tab/>
        <w:t>To i</w:t>
      </w:r>
      <w:r w:rsidR="00FE713C">
        <w:t xml:space="preserve">nsert </w:t>
      </w:r>
      <w:r w:rsidR="00F14EE6">
        <w:t xml:space="preserve">new </w:t>
      </w:r>
      <w:r w:rsidR="00FE713C">
        <w:t>provisions in paragraph 1.1</w:t>
      </w:r>
      <w:r w:rsidR="00FC54D5">
        <w:t>.</w:t>
      </w:r>
      <w:r w:rsidR="00FE713C">
        <w:t xml:space="preserve"> of the </w:t>
      </w:r>
      <w:r>
        <w:t>s</w:t>
      </w:r>
      <w:r w:rsidR="00FE713C">
        <w:t>cope</w:t>
      </w:r>
      <w:r w:rsidR="00FE713C" w:rsidRPr="00C811E5">
        <w:rPr>
          <w:lang w:val="en-US"/>
        </w:rPr>
        <w:t xml:space="preserve"> </w:t>
      </w:r>
      <w:r>
        <w:rPr>
          <w:lang w:val="en-US"/>
        </w:rPr>
        <w:t xml:space="preserve">will </w:t>
      </w:r>
      <w:r w:rsidR="00FE713C" w:rsidRPr="00C811E5">
        <w:rPr>
          <w:lang w:val="en-US"/>
        </w:rPr>
        <w:t>allow</w:t>
      </w:r>
      <w:r w:rsidR="00FE713C">
        <w:rPr>
          <w:lang w:val="en-US"/>
        </w:rPr>
        <w:t xml:space="preserve"> </w:t>
      </w:r>
      <w:r w:rsidR="00FE713C" w:rsidRPr="00C811E5">
        <w:rPr>
          <w:lang w:val="en-US"/>
        </w:rPr>
        <w:t>Contracting Parties</w:t>
      </w:r>
      <w:r w:rsidR="00FE713C">
        <w:rPr>
          <w:lang w:val="en-US"/>
        </w:rPr>
        <w:t xml:space="preserve"> to apply (at the request of the applicant) the relevant requirements and test methods </w:t>
      </w:r>
      <w:r w:rsidR="00FE713C">
        <w:t xml:space="preserve">of UN Regulation </w:t>
      </w:r>
      <w:r>
        <w:rPr>
          <w:lang w:val="en-US"/>
        </w:rPr>
        <w:t>No.</w:t>
      </w:r>
      <w:r w:rsidR="00FE713C" w:rsidRPr="00EC7680">
        <w:rPr>
          <w:lang w:val="en-US"/>
        </w:rPr>
        <w:t xml:space="preserve"> </w:t>
      </w:r>
      <w:r w:rsidR="00FE713C">
        <w:rPr>
          <w:lang w:val="en-US"/>
        </w:rPr>
        <w:t>144</w:t>
      </w:r>
      <w:r w:rsidR="00FE713C" w:rsidRPr="00EC7680">
        <w:rPr>
          <w:lang w:val="en-US"/>
        </w:rPr>
        <w:t xml:space="preserve"> </w:t>
      </w:r>
      <w:r w:rsidR="00FE713C">
        <w:rPr>
          <w:lang w:val="en-US"/>
        </w:rPr>
        <w:t>for</w:t>
      </w:r>
      <w:r w:rsidR="00FE713C" w:rsidRPr="00C811E5">
        <w:rPr>
          <w:lang w:val="en-US"/>
        </w:rPr>
        <w:t xml:space="preserve"> assess compliance of AECD designed for installation on vehicles of categories other than M</w:t>
      </w:r>
      <w:r w:rsidR="00FE713C" w:rsidRPr="00C811E5">
        <w:rPr>
          <w:vertAlign w:val="subscript"/>
          <w:lang w:val="en-US"/>
        </w:rPr>
        <w:t>1</w:t>
      </w:r>
      <w:r w:rsidR="00FE713C" w:rsidRPr="00C811E5">
        <w:rPr>
          <w:lang w:val="en-US"/>
        </w:rPr>
        <w:t xml:space="preserve"> and N</w:t>
      </w:r>
      <w:r w:rsidR="00FE713C" w:rsidRPr="00C811E5">
        <w:rPr>
          <w:vertAlign w:val="subscript"/>
          <w:lang w:val="en-US"/>
        </w:rPr>
        <w:t>1</w:t>
      </w:r>
      <w:r w:rsidR="00FE713C" w:rsidRPr="00EC7680">
        <w:rPr>
          <w:lang w:val="en-US"/>
        </w:rPr>
        <w:t xml:space="preserve"> </w:t>
      </w:r>
      <w:r w:rsidR="00FE713C">
        <w:rPr>
          <w:lang w:val="en-US"/>
        </w:rPr>
        <w:t>(for example, if national requirements of the Contracting parties apply)</w:t>
      </w:r>
    </w:p>
    <w:p w14:paraId="7FD5F02B" w14:textId="77777777" w:rsidR="00F14EE6" w:rsidRDefault="00F95055" w:rsidP="00F95055">
      <w:pPr>
        <w:pStyle w:val="H1G"/>
      </w:pPr>
      <w:r>
        <w:tab/>
        <w:t>B.</w:t>
      </w:r>
      <w:r>
        <w:tab/>
      </w:r>
      <w:r w:rsidR="00F14EE6" w:rsidRPr="00FE713C">
        <w:t>Paragraph 1.</w:t>
      </w:r>
      <w:r w:rsidR="00F14EE6">
        <w:t>3</w:t>
      </w:r>
      <w:r w:rsidR="009D7706" w:rsidRPr="00AE17F3">
        <w:t>.</w:t>
      </w:r>
    </w:p>
    <w:p w14:paraId="4D6BAF29" w14:textId="77777777" w:rsidR="00FE713C" w:rsidRPr="00850F43" w:rsidRDefault="00AE17F3" w:rsidP="00F95055">
      <w:pPr>
        <w:pStyle w:val="SingleTxtG"/>
        <w:rPr>
          <w:lang w:val="en-US"/>
        </w:rPr>
      </w:pPr>
      <w:r>
        <w:t>2.</w:t>
      </w:r>
      <w:r>
        <w:tab/>
      </w:r>
      <w:proofErr w:type="gramStart"/>
      <w:r w:rsidR="00FE713C" w:rsidRPr="00C811E5">
        <w:t>In the course of</w:t>
      </w:r>
      <w:proofErr w:type="gramEnd"/>
      <w:r w:rsidR="00FE713C" w:rsidRPr="00C811E5">
        <w:t xml:space="preserve"> the </w:t>
      </w:r>
      <w:r>
        <w:t xml:space="preserve">Informal Working Group on </w:t>
      </w:r>
      <w:r w:rsidR="00FE713C" w:rsidRPr="00C811E5">
        <w:t>AECS meeting</w:t>
      </w:r>
      <w:r>
        <w:t>s</w:t>
      </w:r>
      <w:r w:rsidR="00FE713C" w:rsidRPr="00C811E5">
        <w:t xml:space="preserve"> (which started in 2013)</w:t>
      </w:r>
      <w:r>
        <w:t>,</w:t>
      </w:r>
      <w:r w:rsidR="00FE713C" w:rsidRPr="00F14EE6">
        <w:rPr>
          <w:lang w:val="en-US"/>
        </w:rPr>
        <w:t xml:space="preserve"> it was </w:t>
      </w:r>
      <w:r w:rsidRPr="00F14EE6">
        <w:rPr>
          <w:lang w:val="en-US"/>
        </w:rPr>
        <w:t xml:space="preserve">initially </w:t>
      </w:r>
      <w:r w:rsidR="00FE713C" w:rsidRPr="00F14EE6">
        <w:rPr>
          <w:lang w:val="en-US"/>
        </w:rPr>
        <w:t>decided to introduce appropriate exemptions</w:t>
      </w:r>
      <w:r w:rsidR="00F14EE6" w:rsidRPr="00850F43">
        <w:rPr>
          <w:lang w:val="en-US"/>
        </w:rPr>
        <w:t xml:space="preserve"> </w:t>
      </w:r>
      <w:r w:rsidR="00FE713C" w:rsidRPr="00F14EE6">
        <w:rPr>
          <w:lang w:val="en-US"/>
        </w:rPr>
        <w:t>within the scope of the UN Regulation No. 144, refe</w:t>
      </w:r>
      <w:r w:rsidR="00850F43">
        <w:rPr>
          <w:lang w:val="en-US"/>
        </w:rPr>
        <w:t>rred to in paragraph</w:t>
      </w:r>
      <w:r w:rsidR="00850F43" w:rsidRPr="00850F43">
        <w:rPr>
          <w:lang w:val="en-US"/>
        </w:rPr>
        <w:t xml:space="preserve"> 1.3</w:t>
      </w:r>
      <w:r w:rsidR="00FC54D5">
        <w:rPr>
          <w:lang w:val="en-US"/>
        </w:rPr>
        <w:t>.</w:t>
      </w:r>
      <w:r w:rsidR="00850F43" w:rsidRPr="00850F43">
        <w:rPr>
          <w:lang w:val="en-US"/>
        </w:rPr>
        <w:t xml:space="preserve"> </w:t>
      </w:r>
      <w:r w:rsidR="00850F43">
        <w:rPr>
          <w:lang w:val="en-US"/>
        </w:rPr>
        <w:t xml:space="preserve">items </w:t>
      </w:r>
      <w:r w:rsidR="00FE713C" w:rsidRPr="00F14EE6">
        <w:rPr>
          <w:lang w:val="en-US"/>
        </w:rPr>
        <w:t xml:space="preserve">(b) - (d). </w:t>
      </w:r>
      <w:r w:rsidR="00FE713C" w:rsidRPr="00C811E5">
        <w:t>This was made at the initial stage of development of AECS requirements</w:t>
      </w:r>
      <w:r w:rsidR="00FE713C" w:rsidRPr="00F14EE6">
        <w:rPr>
          <w:lang w:val="en-US"/>
        </w:rPr>
        <w:t xml:space="preserve">, </w:t>
      </w:r>
      <w:r w:rsidR="00FE713C" w:rsidRPr="00C811E5">
        <w:t>based on</w:t>
      </w:r>
      <w:r w:rsidR="00FE713C" w:rsidRPr="00F14EE6">
        <w:rPr>
          <w:lang w:val="en-US"/>
        </w:rPr>
        <w:t xml:space="preserve"> </w:t>
      </w:r>
      <w:proofErr w:type="gramStart"/>
      <w:r w:rsidR="00FE713C" w:rsidRPr="00F14EE6">
        <w:rPr>
          <w:lang w:val="en-US"/>
        </w:rPr>
        <w:t>a</w:t>
      </w:r>
      <w:r w:rsidR="00FE713C" w:rsidRPr="00C811E5">
        <w:t xml:space="preserve"> number of</w:t>
      </w:r>
      <w:proofErr w:type="gramEnd"/>
      <w:r w:rsidR="00FE713C" w:rsidRPr="00C811E5">
        <w:t xml:space="preserve"> research tests. At this stage, there was not a large amount of data regarding certification tests of vehicles in terms of functionality of the AECS. </w:t>
      </w:r>
    </w:p>
    <w:p w14:paraId="372B9661" w14:textId="77777777" w:rsidR="00FE713C" w:rsidRDefault="00AE17F3" w:rsidP="00F95055">
      <w:pPr>
        <w:pStyle w:val="SingleTxtG"/>
        <w:rPr>
          <w:lang w:val="en-US"/>
        </w:rPr>
      </w:pPr>
      <w:r>
        <w:t>3.</w:t>
      </w:r>
      <w:r>
        <w:tab/>
        <w:t xml:space="preserve">The </w:t>
      </w:r>
      <w:r w:rsidR="0043318D" w:rsidRPr="009A4B5D">
        <w:t>Customs Union</w:t>
      </w:r>
      <w:r w:rsidR="0043318D" w:rsidRPr="009A4B5D">
        <w:rPr>
          <w:lang w:val="en-US"/>
        </w:rPr>
        <w:t xml:space="preserve"> </w:t>
      </w:r>
      <w:r w:rsidR="0043318D" w:rsidRPr="009A4B5D">
        <w:rPr>
          <w:color w:val="000000"/>
          <w:shd w:val="clear" w:color="auto" w:fill="FFFFFF"/>
        </w:rPr>
        <w:t xml:space="preserve">Customs Technical Regulation </w:t>
      </w:r>
      <w:r w:rsidR="0043318D" w:rsidRPr="009A4B5D">
        <w:rPr>
          <w:color w:val="000000"/>
          <w:shd w:val="clear" w:color="auto" w:fill="FFFFFF"/>
          <w:lang w:val="en-US"/>
        </w:rPr>
        <w:t>«</w:t>
      </w:r>
      <w:r w:rsidR="0043318D" w:rsidRPr="009A4B5D">
        <w:rPr>
          <w:color w:val="000000"/>
          <w:shd w:val="clear" w:color="auto" w:fill="FFFFFF"/>
        </w:rPr>
        <w:t>On safety of wheeled vehicles</w:t>
      </w:r>
      <w:r w:rsidR="0043318D" w:rsidRPr="009A4B5D">
        <w:rPr>
          <w:color w:val="000000"/>
          <w:shd w:val="clear" w:color="auto" w:fill="FFFFFF"/>
          <w:lang w:val="en-US"/>
        </w:rPr>
        <w:t>»</w:t>
      </w:r>
      <w:r w:rsidR="0043318D" w:rsidRPr="009A4B5D">
        <w:rPr>
          <w:color w:val="000000"/>
          <w:shd w:val="clear" w:color="auto" w:fill="FFFFFF"/>
        </w:rPr>
        <w:t xml:space="preserve"> (</w:t>
      </w:r>
      <w:r w:rsidR="0043318D" w:rsidRPr="009A4B5D">
        <w:rPr>
          <w:bCs/>
          <w:color w:val="000000"/>
          <w:shd w:val="clear" w:color="auto" w:fill="FFFFFF"/>
        </w:rPr>
        <w:t>CU</w:t>
      </w:r>
      <w:r w:rsidR="0043318D" w:rsidRPr="009A4B5D">
        <w:rPr>
          <w:color w:val="000000"/>
          <w:shd w:val="clear" w:color="auto" w:fill="FFFFFF"/>
        </w:rPr>
        <w:t> </w:t>
      </w:r>
      <w:r w:rsidR="0043318D" w:rsidRPr="009A4B5D">
        <w:rPr>
          <w:bCs/>
          <w:color w:val="000000"/>
          <w:shd w:val="clear" w:color="auto" w:fill="FFFFFF"/>
        </w:rPr>
        <w:t>TR</w:t>
      </w:r>
      <w:r w:rsidR="0043318D" w:rsidRPr="009A4B5D">
        <w:rPr>
          <w:bCs/>
          <w:color w:val="000000"/>
          <w:shd w:val="clear" w:color="auto" w:fill="FFFFFF"/>
          <w:lang w:val="en-US"/>
        </w:rPr>
        <w:t xml:space="preserve"> </w:t>
      </w:r>
      <w:r w:rsidR="0043318D" w:rsidRPr="009A4B5D">
        <w:rPr>
          <w:bCs/>
          <w:color w:val="000000"/>
          <w:shd w:val="clear" w:color="auto" w:fill="FFFFFF"/>
        </w:rPr>
        <w:t>018</w:t>
      </w:r>
      <w:r w:rsidR="0043318D" w:rsidRPr="00FE353E">
        <w:rPr>
          <w:color w:val="000000"/>
          <w:shd w:val="clear" w:color="auto" w:fill="FFFFFF"/>
        </w:rPr>
        <w:t>/</w:t>
      </w:r>
      <w:r w:rsidR="0043318D" w:rsidRPr="00FE353E">
        <w:rPr>
          <w:bCs/>
          <w:color w:val="000000"/>
          <w:shd w:val="clear" w:color="auto" w:fill="FFFFFF"/>
        </w:rPr>
        <w:t>2011</w:t>
      </w:r>
      <w:r w:rsidR="0043318D" w:rsidRPr="00FE353E">
        <w:rPr>
          <w:color w:val="000000"/>
          <w:shd w:val="clear" w:color="auto" w:fill="FFFFFF"/>
        </w:rPr>
        <w:t>)</w:t>
      </w:r>
      <w:r w:rsidR="0043318D" w:rsidRPr="00FE353E">
        <w:t xml:space="preserve"> </w:t>
      </w:r>
      <w:r w:rsidR="00FE713C" w:rsidRPr="00C811E5">
        <w:rPr>
          <w:lang w:val="en-US"/>
        </w:rPr>
        <w:t>prescribes that</w:t>
      </w:r>
      <w:r w:rsidR="00FE713C" w:rsidRPr="00C811E5">
        <w:t xml:space="preserve"> all vehicles of M</w:t>
      </w:r>
      <w:r w:rsidR="00FE713C" w:rsidRPr="00C811E5">
        <w:rPr>
          <w:vertAlign w:val="subscript"/>
        </w:rPr>
        <w:t>1</w:t>
      </w:r>
      <w:r w:rsidR="00FE713C" w:rsidRPr="00C811E5">
        <w:t xml:space="preserve"> category which are under the scope of</w:t>
      </w:r>
      <w:r w:rsidR="00FE713C" w:rsidRPr="00C811E5">
        <w:rPr>
          <w:vertAlign w:val="subscript"/>
        </w:rPr>
        <w:t xml:space="preserve"> </w:t>
      </w:r>
      <w:r w:rsidR="00FE713C" w:rsidRPr="00C811E5">
        <w:t>UN Regulation No. 94 and UN Regulation No. 95 and vehicles of N</w:t>
      </w:r>
      <w:r w:rsidR="00FE713C" w:rsidRPr="00C811E5">
        <w:rPr>
          <w:vertAlign w:val="subscript"/>
        </w:rPr>
        <w:t xml:space="preserve">1 </w:t>
      </w:r>
      <w:r w:rsidR="00FE713C" w:rsidRPr="00C811E5">
        <w:t>category which are under the scope of</w:t>
      </w:r>
      <w:r w:rsidR="00FE713C" w:rsidRPr="00C811E5">
        <w:rPr>
          <w:vertAlign w:val="subscript"/>
        </w:rPr>
        <w:t xml:space="preserve"> </w:t>
      </w:r>
      <w:r w:rsidR="00FE713C" w:rsidRPr="00C811E5">
        <w:t>UN Regulation No. 95 should be equipped with AECS</w:t>
      </w:r>
      <w:r w:rsidR="00FE713C" w:rsidRPr="00C811E5">
        <w:rPr>
          <w:lang w:val="en-US"/>
        </w:rPr>
        <w:t xml:space="preserve">, which should ensure </w:t>
      </w:r>
      <w:r>
        <w:t>Minimum Set of Data (</w:t>
      </w:r>
      <w:r w:rsidR="00FE713C" w:rsidRPr="00C811E5">
        <w:rPr>
          <w:lang w:val="en-US"/>
        </w:rPr>
        <w:t>MSD</w:t>
      </w:r>
      <w:r>
        <w:rPr>
          <w:lang w:val="en-US"/>
        </w:rPr>
        <w:t>)</w:t>
      </w:r>
      <w:r w:rsidR="00FE713C" w:rsidRPr="00C811E5">
        <w:rPr>
          <w:lang w:val="en-US"/>
        </w:rPr>
        <w:t xml:space="preserve"> transmission </w:t>
      </w:r>
      <w:r>
        <w:rPr>
          <w:lang w:val="en-US"/>
        </w:rPr>
        <w:t xml:space="preserve">triggered </w:t>
      </w:r>
      <w:r w:rsidR="00FE713C" w:rsidRPr="00C811E5">
        <w:rPr>
          <w:lang w:val="en-US"/>
        </w:rPr>
        <w:t xml:space="preserve">by means of airbag(s) or sensor(s) of another components of passive safety system or any other system which can identify the level of deceleration of vehicle  during the </w:t>
      </w:r>
      <w:r w:rsidR="00FE713C" w:rsidRPr="00C811E5">
        <w:t>UN Regulation No. 94 and UN Regulation No. 95 (</w:t>
      </w:r>
      <w:r w:rsidR="00FE713C" w:rsidRPr="00C811E5">
        <w:rPr>
          <w:lang w:val="en-US"/>
        </w:rPr>
        <w:t>whichever is relevant).</w:t>
      </w:r>
    </w:p>
    <w:p w14:paraId="1E34E2F4" w14:textId="77777777" w:rsidR="00FE713C" w:rsidRPr="00FE353E" w:rsidRDefault="00AE17F3" w:rsidP="00F95055">
      <w:pPr>
        <w:pStyle w:val="SingleTxtG"/>
        <w:rPr>
          <w:lang w:val="en-US"/>
        </w:rPr>
      </w:pPr>
      <w:r>
        <w:t>4.</w:t>
      </w:r>
      <w:r>
        <w:tab/>
      </w:r>
      <w:r w:rsidR="00FE713C" w:rsidRPr="00C811E5">
        <w:t xml:space="preserve">To date hundreds </w:t>
      </w:r>
      <w:r w:rsidR="00FE713C" w:rsidRPr="00FE353E">
        <w:t xml:space="preserve">of homologation tests were made </w:t>
      </w:r>
      <w:proofErr w:type="gramStart"/>
      <w:r w:rsidR="00FE713C" w:rsidRPr="00FE353E">
        <w:t>with regard to</w:t>
      </w:r>
      <w:proofErr w:type="gramEnd"/>
      <w:r w:rsidR="00FE713C" w:rsidRPr="00FE353E">
        <w:rPr>
          <w:lang w:val="en-US"/>
        </w:rPr>
        <w:t xml:space="preserve"> vehicles equipped with</w:t>
      </w:r>
      <w:r w:rsidR="00FE713C" w:rsidRPr="00FE353E">
        <w:t xml:space="preserve"> AECS under </w:t>
      </w:r>
      <w:r w:rsidR="00FE353E" w:rsidRPr="00FE353E">
        <w:t xml:space="preserve">above </w:t>
      </w:r>
      <w:r w:rsidR="00373035" w:rsidRPr="00FE353E">
        <w:t xml:space="preserve">mentioned </w:t>
      </w:r>
      <w:r w:rsidR="00FE353E" w:rsidRPr="00FE353E">
        <w:t>requirements</w:t>
      </w:r>
      <w:r w:rsidR="00FE353E">
        <w:t xml:space="preserve"> of </w:t>
      </w:r>
      <w:r w:rsidR="00FE353E" w:rsidRPr="00FE353E">
        <w:rPr>
          <w:bCs/>
          <w:color w:val="000000"/>
          <w:shd w:val="clear" w:color="auto" w:fill="FFFFFF"/>
        </w:rPr>
        <w:t>CU</w:t>
      </w:r>
      <w:r w:rsidR="00FE353E" w:rsidRPr="00FE353E">
        <w:rPr>
          <w:color w:val="000000"/>
          <w:shd w:val="clear" w:color="auto" w:fill="FFFFFF"/>
        </w:rPr>
        <w:t> </w:t>
      </w:r>
      <w:r w:rsidR="00FE353E" w:rsidRPr="00FE353E">
        <w:rPr>
          <w:bCs/>
          <w:color w:val="000000"/>
          <w:shd w:val="clear" w:color="auto" w:fill="FFFFFF"/>
        </w:rPr>
        <w:t>TR</w:t>
      </w:r>
      <w:r w:rsidR="00FE353E" w:rsidRPr="00FE353E">
        <w:rPr>
          <w:bCs/>
          <w:color w:val="000000"/>
          <w:shd w:val="clear" w:color="auto" w:fill="FFFFFF"/>
          <w:lang w:val="en-US"/>
        </w:rPr>
        <w:t xml:space="preserve"> </w:t>
      </w:r>
      <w:r w:rsidR="00FE353E" w:rsidRPr="00FE353E">
        <w:rPr>
          <w:bCs/>
          <w:color w:val="000000"/>
          <w:shd w:val="clear" w:color="auto" w:fill="FFFFFF"/>
        </w:rPr>
        <w:t>018</w:t>
      </w:r>
      <w:r w:rsidR="00FE353E" w:rsidRPr="00FE353E">
        <w:rPr>
          <w:color w:val="000000"/>
          <w:shd w:val="clear" w:color="auto" w:fill="FFFFFF"/>
        </w:rPr>
        <w:t>/</w:t>
      </w:r>
      <w:r w:rsidR="00FE353E" w:rsidRPr="00FE353E">
        <w:rPr>
          <w:bCs/>
          <w:color w:val="000000"/>
          <w:shd w:val="clear" w:color="auto" w:fill="FFFFFF"/>
        </w:rPr>
        <w:t>2011</w:t>
      </w:r>
      <w:r w:rsidR="00FE713C" w:rsidRPr="00FE353E">
        <w:t xml:space="preserve"> and:</w:t>
      </w:r>
    </w:p>
    <w:p w14:paraId="6DF36AB4" w14:textId="77777777" w:rsidR="00FE713C" w:rsidRPr="00C811E5" w:rsidRDefault="00F95055" w:rsidP="00F95055">
      <w:pPr>
        <w:pStyle w:val="SingleTxtG"/>
        <w:rPr>
          <w:lang w:val="en-US"/>
        </w:rPr>
      </w:pPr>
      <w:r>
        <w:rPr>
          <w:lang w:val="en-US"/>
        </w:rPr>
        <w:t>(a)</w:t>
      </w:r>
      <w:r w:rsidR="00FE713C" w:rsidRPr="00C811E5">
        <w:rPr>
          <w:lang w:val="en-US"/>
        </w:rPr>
        <w:tab/>
      </w:r>
      <w:r w:rsidR="00AE17F3">
        <w:rPr>
          <w:lang w:val="en-US"/>
        </w:rPr>
        <w:t>A</w:t>
      </w:r>
      <w:r w:rsidR="00FE713C" w:rsidRPr="00C811E5">
        <w:rPr>
          <w:lang w:val="en-US"/>
        </w:rPr>
        <w:t xml:space="preserve">ll vehicles, which are under the scope of </w:t>
      </w:r>
      <w:r w:rsidR="00FE713C" w:rsidRPr="00C811E5">
        <w:t>UN Regulation No. 94 and/or UN Regulation No. 95 (</w:t>
      </w:r>
      <w:r w:rsidR="00FE713C" w:rsidRPr="00C811E5">
        <w:rPr>
          <w:lang w:val="en-US"/>
        </w:rPr>
        <w:t>whichever is relevant) were tested to check the functionality of AECS (transmission of MSD and voice communication) during the tests with respect to the above</w:t>
      </w:r>
      <w:r w:rsidR="00AE17F3">
        <w:rPr>
          <w:lang w:val="en-US"/>
        </w:rPr>
        <w:t>-</w:t>
      </w:r>
      <w:r w:rsidR="00FE713C" w:rsidRPr="00C811E5">
        <w:rPr>
          <w:lang w:val="en-US"/>
        </w:rPr>
        <w:t>mentioned requirements;</w:t>
      </w:r>
    </w:p>
    <w:p w14:paraId="2E5160D8" w14:textId="77777777" w:rsidR="00FE713C" w:rsidRPr="00C811E5" w:rsidRDefault="00F95055" w:rsidP="00F95055">
      <w:pPr>
        <w:pStyle w:val="SingleTxtG"/>
      </w:pPr>
      <w:r>
        <w:rPr>
          <w:lang w:val="en-US"/>
        </w:rPr>
        <w:t>(b)</w:t>
      </w:r>
      <w:r w:rsidR="00FE713C" w:rsidRPr="00C811E5">
        <w:rPr>
          <w:lang w:val="en-US"/>
        </w:rPr>
        <w:tab/>
      </w:r>
      <w:r w:rsidR="00AE17F3">
        <w:rPr>
          <w:lang w:val="en-US"/>
        </w:rPr>
        <w:t>S</w:t>
      </w:r>
      <w:r w:rsidR="00FE713C" w:rsidRPr="00C811E5">
        <w:rPr>
          <w:lang w:val="en-US"/>
        </w:rPr>
        <w:t xml:space="preserve">ome of </w:t>
      </w:r>
      <w:r w:rsidR="00AE17F3">
        <w:rPr>
          <w:lang w:val="en-US"/>
        </w:rPr>
        <w:t xml:space="preserve">the </w:t>
      </w:r>
      <w:r w:rsidR="00FE713C" w:rsidRPr="00C811E5">
        <w:rPr>
          <w:lang w:val="en-US"/>
        </w:rPr>
        <w:t xml:space="preserve">tested vehicles were not equipped with side airbag and successfully passed through the test of AECS functionality during </w:t>
      </w:r>
      <w:r w:rsidR="00FE713C" w:rsidRPr="00C811E5">
        <w:t>UN Regulation No. 95 tests;</w:t>
      </w:r>
    </w:p>
    <w:p w14:paraId="02FD1637" w14:textId="77777777" w:rsidR="00FE713C" w:rsidRPr="002C6044" w:rsidRDefault="00F95055" w:rsidP="00F95055">
      <w:pPr>
        <w:pStyle w:val="SingleTxtG"/>
        <w:rPr>
          <w:lang w:val="en-US"/>
        </w:rPr>
      </w:pPr>
      <w:r>
        <w:t>(c)</w:t>
      </w:r>
      <w:r w:rsidR="00FE713C" w:rsidRPr="00C811E5">
        <w:tab/>
      </w:r>
      <w:r w:rsidR="00AE17F3">
        <w:t>S</w:t>
      </w:r>
      <w:r w:rsidR="00FE713C" w:rsidRPr="00C811E5">
        <w:t>ome of such type approved vehicles</w:t>
      </w:r>
      <w:r w:rsidR="002C6044">
        <w:t xml:space="preserve"> </w:t>
      </w:r>
      <w:r w:rsidR="00FE713C" w:rsidRPr="00C811E5">
        <w:rPr>
          <w:lang w:val="en-US"/>
        </w:rPr>
        <w:t>were successfully tested under Governmental supervision program with respect to the AECS performance requirements.</w:t>
      </w:r>
    </w:p>
    <w:p w14:paraId="4249E3FE" w14:textId="77777777" w:rsidR="000351A2" w:rsidRDefault="00AE17F3" w:rsidP="00F95055">
      <w:pPr>
        <w:pStyle w:val="SingleTxtG"/>
      </w:pPr>
      <w:r>
        <w:t>5.</w:t>
      </w:r>
      <w:r>
        <w:tab/>
      </w:r>
      <w:r w:rsidR="00FE713C" w:rsidRPr="00C811E5">
        <w:t xml:space="preserve">The main idea of UN Regulations </w:t>
      </w:r>
      <w:r>
        <w:t xml:space="preserve">No. </w:t>
      </w:r>
      <w:r w:rsidR="00FE713C" w:rsidRPr="00C811E5">
        <w:rPr>
          <w:lang w:val="en-US"/>
        </w:rPr>
        <w:t>144</w:t>
      </w:r>
      <w:r w:rsidR="00FE713C" w:rsidRPr="00C811E5">
        <w:t xml:space="preserve"> approval is to check the AECS performance </w:t>
      </w:r>
      <w:r w:rsidR="00FE713C" w:rsidRPr="00C811E5">
        <w:rPr>
          <w:lang w:val="en-US"/>
        </w:rPr>
        <w:t xml:space="preserve">during the crash test (transmission of MSD, voice communication etc.), but </w:t>
      </w:r>
      <w:r w:rsidR="00FE713C" w:rsidRPr="00C811E5">
        <w:t xml:space="preserve">not to check passive </w:t>
      </w:r>
      <w:proofErr w:type="gramStart"/>
      <w:r w:rsidR="00FE713C" w:rsidRPr="00C811E5">
        <w:t>safety ”technologies</w:t>
      </w:r>
      <w:proofErr w:type="gramEnd"/>
      <w:r w:rsidR="00FE713C" w:rsidRPr="00C811E5">
        <w:t>” performance</w:t>
      </w:r>
      <w:r w:rsidR="00FE713C" w:rsidRPr="00C811E5">
        <w:rPr>
          <w:lang w:val="en-US"/>
        </w:rPr>
        <w:t xml:space="preserve">, which </w:t>
      </w:r>
      <w:r>
        <w:rPr>
          <w:lang w:val="en-US"/>
        </w:rPr>
        <w:t xml:space="preserve">are covered by other </w:t>
      </w:r>
      <w:r w:rsidR="00FE713C" w:rsidRPr="00C811E5">
        <w:t xml:space="preserve">UN Regulations. </w:t>
      </w:r>
    </w:p>
    <w:p w14:paraId="27BC60F7" w14:textId="77777777" w:rsidR="000351A2" w:rsidRDefault="00AE17F3" w:rsidP="00F95055">
      <w:pPr>
        <w:pStyle w:val="SingleTxtG"/>
      </w:pPr>
      <w:r>
        <w:rPr>
          <w:lang w:val="en-US"/>
        </w:rPr>
        <w:t>6.</w:t>
      </w:r>
      <w:r>
        <w:rPr>
          <w:lang w:val="en-US"/>
        </w:rPr>
        <w:tab/>
      </w:r>
      <w:proofErr w:type="gramStart"/>
      <w:r w:rsidR="00FE713C" w:rsidRPr="00C811E5">
        <w:rPr>
          <w:lang w:val="en-US"/>
        </w:rPr>
        <w:t>Taking into account</w:t>
      </w:r>
      <w:proofErr w:type="gramEnd"/>
      <w:r w:rsidR="00FE713C" w:rsidRPr="00C811E5">
        <w:rPr>
          <w:lang w:val="en-US"/>
        </w:rPr>
        <w:t xml:space="preserve"> the above mentioned</w:t>
      </w:r>
      <w:r>
        <w:rPr>
          <w:lang w:val="en-US"/>
        </w:rPr>
        <w:t>,</w:t>
      </w:r>
      <w:r w:rsidR="00FE713C" w:rsidRPr="00C811E5">
        <w:rPr>
          <w:lang w:val="en-US"/>
        </w:rPr>
        <w:t xml:space="preserve"> </w:t>
      </w:r>
      <w:r>
        <w:rPr>
          <w:lang w:val="en-US"/>
        </w:rPr>
        <w:t>the Russian Federation is</w:t>
      </w:r>
      <w:r w:rsidR="00FE713C" w:rsidRPr="00C811E5">
        <w:rPr>
          <w:lang w:val="en-US"/>
        </w:rPr>
        <w:t xml:space="preserve"> propos</w:t>
      </w:r>
      <w:r>
        <w:rPr>
          <w:lang w:val="en-US"/>
        </w:rPr>
        <w:t>ing</w:t>
      </w:r>
      <w:r w:rsidR="00FE713C" w:rsidRPr="00C811E5">
        <w:rPr>
          <w:lang w:val="en-US"/>
        </w:rPr>
        <w:t xml:space="preserve"> to exclude </w:t>
      </w:r>
      <w:r w:rsidRPr="00C811E5">
        <w:rPr>
          <w:lang w:val="en-US"/>
        </w:rPr>
        <w:t xml:space="preserve">items </w:t>
      </w:r>
      <w:r>
        <w:t>(b)-(</w:t>
      </w:r>
      <w:r>
        <w:rPr>
          <w:lang w:val="ru-RU"/>
        </w:rPr>
        <w:t>с</w:t>
      </w:r>
      <w:r w:rsidRPr="00C811E5">
        <w:t>)</w:t>
      </w:r>
      <w:r>
        <w:t xml:space="preserve"> </w:t>
      </w:r>
      <w:r w:rsidR="00FE713C" w:rsidRPr="00C811E5">
        <w:rPr>
          <w:lang w:val="en-US"/>
        </w:rPr>
        <w:t xml:space="preserve">from the </w:t>
      </w:r>
      <w:r>
        <w:rPr>
          <w:lang w:val="en-US"/>
        </w:rPr>
        <w:t>s</w:t>
      </w:r>
      <w:r w:rsidR="00FE713C" w:rsidRPr="00C811E5">
        <w:rPr>
          <w:lang w:val="en-US"/>
        </w:rPr>
        <w:t xml:space="preserve">cope of UN Regulation </w:t>
      </w:r>
      <w:r>
        <w:rPr>
          <w:lang w:val="en-US"/>
        </w:rPr>
        <w:t>No.</w:t>
      </w:r>
      <w:r w:rsidR="00FE713C" w:rsidRPr="00C811E5">
        <w:rPr>
          <w:lang w:val="en-US"/>
        </w:rPr>
        <w:t xml:space="preserve"> 144</w:t>
      </w:r>
      <w:r>
        <w:rPr>
          <w:lang w:val="en-US"/>
        </w:rPr>
        <w:t xml:space="preserve"> </w:t>
      </w:r>
      <w:r w:rsidRPr="00C811E5">
        <w:rPr>
          <w:lang w:val="en-US"/>
        </w:rPr>
        <w:t>(paragraph 1.3</w:t>
      </w:r>
      <w:r w:rsidR="00FC54D5">
        <w:rPr>
          <w:lang w:val="en-US"/>
        </w:rPr>
        <w:t>.</w:t>
      </w:r>
      <w:r w:rsidRPr="00C811E5">
        <w:rPr>
          <w:lang w:val="en-US"/>
        </w:rPr>
        <w:t>)</w:t>
      </w:r>
      <w:r w:rsidR="00FE713C" w:rsidRPr="00C811E5">
        <w:t>.</w:t>
      </w:r>
    </w:p>
    <w:p w14:paraId="00E0BE79" w14:textId="77777777" w:rsidR="005702E9" w:rsidRPr="002C46AE" w:rsidRDefault="00F95055" w:rsidP="00F95055">
      <w:pPr>
        <w:pStyle w:val="H1G"/>
      </w:pPr>
      <w:r>
        <w:rPr>
          <w:lang w:val="en-US"/>
        </w:rPr>
        <w:tab/>
        <w:t>C.</w:t>
      </w:r>
      <w:r>
        <w:rPr>
          <w:lang w:val="en-US"/>
        </w:rPr>
        <w:tab/>
        <w:t>P</w:t>
      </w:r>
      <w:r w:rsidR="002C46AE" w:rsidRPr="002C46AE">
        <w:rPr>
          <w:lang w:val="en-US"/>
        </w:rPr>
        <w:t>ara</w:t>
      </w:r>
      <w:r w:rsidR="002C46AE" w:rsidRPr="002C46AE">
        <w:t>graph 34</w:t>
      </w:r>
      <w:r w:rsidR="002C46AE" w:rsidRPr="002C46AE">
        <w:rPr>
          <w:lang w:val="en-US"/>
        </w:rPr>
        <w:t>.1.</w:t>
      </w:r>
    </w:p>
    <w:p w14:paraId="48F7DA29" w14:textId="77777777" w:rsidR="002C46AE" w:rsidRDefault="00AE17F3" w:rsidP="00F95055">
      <w:pPr>
        <w:pStyle w:val="SingleTxtG"/>
      </w:pPr>
      <w:r>
        <w:t>7.</w:t>
      </w:r>
      <w:r>
        <w:tab/>
      </w:r>
      <w:r w:rsidR="002C46AE">
        <w:t>The proposal a</w:t>
      </w:r>
      <w:r w:rsidR="002C46AE" w:rsidRPr="00306133">
        <w:t>lign</w:t>
      </w:r>
      <w:r w:rsidR="002C46AE">
        <w:t>s</w:t>
      </w:r>
      <w:r w:rsidR="002C46AE" w:rsidRPr="00306133">
        <w:t xml:space="preserve"> the power supply requirement of Part III</w:t>
      </w:r>
      <w:r w:rsidR="002C46AE">
        <w:t>,</w:t>
      </w:r>
      <w:r w:rsidR="002C46AE" w:rsidRPr="00306133">
        <w:t xml:space="preserve"> </w:t>
      </w:r>
      <w:r>
        <w:t>p</w:t>
      </w:r>
      <w:proofErr w:type="spellStart"/>
      <w:r w:rsidRPr="002C46AE">
        <w:rPr>
          <w:lang w:val="en-US"/>
        </w:rPr>
        <w:t>ara</w:t>
      </w:r>
      <w:proofErr w:type="spellEnd"/>
      <w:r w:rsidRPr="002C46AE">
        <w:t>graph</w:t>
      </w:r>
      <w:r w:rsidR="002C46AE" w:rsidRPr="00306133">
        <w:t xml:space="preserve"> 34.1</w:t>
      </w:r>
      <w:r w:rsidR="009D7706" w:rsidRPr="00AE17F3">
        <w:t>.</w:t>
      </w:r>
      <w:r w:rsidR="002C46AE" w:rsidRPr="00306133">
        <w:t xml:space="preserve"> with the corresponding requirement in Part II</w:t>
      </w:r>
      <w:r w:rsidR="002C46AE">
        <w:t>,</w:t>
      </w:r>
      <w:r w:rsidR="002C46AE" w:rsidRPr="00306133">
        <w:t xml:space="preserve"> </w:t>
      </w:r>
      <w:r>
        <w:t>p</w:t>
      </w:r>
      <w:proofErr w:type="spellStart"/>
      <w:r w:rsidRPr="002C46AE">
        <w:rPr>
          <w:lang w:val="en-US"/>
        </w:rPr>
        <w:t>ara</w:t>
      </w:r>
      <w:proofErr w:type="spellEnd"/>
      <w:r w:rsidRPr="002C46AE">
        <w:t>graph</w:t>
      </w:r>
      <w:r w:rsidR="002C46AE" w:rsidRPr="00306133">
        <w:t xml:space="preserve"> 25.1</w:t>
      </w:r>
      <w:r w:rsidR="002C46AE">
        <w:t xml:space="preserve">. </w:t>
      </w:r>
    </w:p>
    <w:p w14:paraId="67792532" w14:textId="77777777" w:rsidR="00F93D79" w:rsidRPr="00F93D79" w:rsidRDefault="00F95055" w:rsidP="00F95055">
      <w:pPr>
        <w:pStyle w:val="H1G"/>
        <w:rPr>
          <w:lang w:val="en-US"/>
        </w:rPr>
      </w:pPr>
      <w:r>
        <w:tab/>
      </w:r>
      <w:r w:rsidR="00B30587">
        <w:t>D</w:t>
      </w:r>
      <w:r w:rsidR="00D6740A">
        <w:t>.</w:t>
      </w:r>
      <w:r>
        <w:tab/>
      </w:r>
      <w:r w:rsidR="00F93D79">
        <w:rPr>
          <w:lang w:val="en-US"/>
        </w:rPr>
        <w:t>Paragraph 41.</w:t>
      </w:r>
    </w:p>
    <w:p w14:paraId="2D94CD5A" w14:textId="33163A02" w:rsidR="0028447E" w:rsidRPr="00F95055" w:rsidRDefault="00373FA9" w:rsidP="00F95055">
      <w:pPr>
        <w:pStyle w:val="SingleTxtG"/>
      </w:pPr>
      <w:r>
        <w:t>8.</w:t>
      </w:r>
      <w:r>
        <w:tab/>
      </w:r>
      <w:r w:rsidR="00467BAC" w:rsidRPr="00F95055">
        <w:t xml:space="preserve">Since </w:t>
      </w:r>
      <w:r w:rsidR="00D6740A" w:rsidRPr="00F95055">
        <w:t xml:space="preserve">the proposal for 01 series of amendments </w:t>
      </w:r>
      <w:r w:rsidR="00467BAC" w:rsidRPr="00F95055">
        <w:t>deletes the existing exemptions</w:t>
      </w:r>
      <w:r w:rsidR="00AE17F3">
        <w:t xml:space="preserve"> </w:t>
      </w:r>
      <w:r w:rsidR="008B76AA" w:rsidRPr="00F95055">
        <w:t xml:space="preserve">(b)-(с) </w:t>
      </w:r>
      <w:r w:rsidR="00467BAC" w:rsidRPr="00F95055">
        <w:t xml:space="preserve">in </w:t>
      </w:r>
      <w:r w:rsidR="00AE17F3">
        <w:t>p</w:t>
      </w:r>
      <w:proofErr w:type="spellStart"/>
      <w:r w:rsidR="00AE17F3" w:rsidRPr="002C46AE">
        <w:rPr>
          <w:lang w:val="en-US"/>
        </w:rPr>
        <w:t>ara</w:t>
      </w:r>
      <w:proofErr w:type="spellEnd"/>
      <w:r w:rsidR="00AE17F3" w:rsidRPr="002C46AE">
        <w:t>graph</w:t>
      </w:r>
      <w:r w:rsidR="00467BAC" w:rsidRPr="00F95055">
        <w:t xml:space="preserve"> 1.3</w:t>
      </w:r>
      <w:r w:rsidR="009D7706" w:rsidRPr="00F95055">
        <w:t>.</w:t>
      </w:r>
      <w:r w:rsidR="0028447E" w:rsidRPr="00F95055">
        <w:t xml:space="preserve"> of the </w:t>
      </w:r>
      <w:r w:rsidR="00AE17F3">
        <w:t>s</w:t>
      </w:r>
      <w:r w:rsidR="0028447E" w:rsidRPr="00F95055">
        <w:t>cope</w:t>
      </w:r>
      <w:r w:rsidR="00467BAC" w:rsidRPr="00F95055">
        <w:t xml:space="preserve">, and hence introduces more severe requirements, the </w:t>
      </w:r>
      <w:r w:rsidR="00467BAC" w:rsidRPr="00F95055">
        <w:lastRenderedPageBreak/>
        <w:t xml:space="preserve">changes should be introduced via a new series of amendments with appropriate </w:t>
      </w:r>
      <w:r w:rsidR="00AE17F3">
        <w:t>t</w:t>
      </w:r>
      <w:r w:rsidR="00467BAC" w:rsidRPr="00F95055">
        <w:t xml:space="preserve">ransitional </w:t>
      </w:r>
      <w:r w:rsidR="00AE17F3">
        <w:t>p</w:t>
      </w:r>
      <w:r w:rsidR="00467BAC" w:rsidRPr="00F95055">
        <w:t xml:space="preserve">rovisions of </w:t>
      </w:r>
      <w:r w:rsidR="00AE17F3">
        <w:t>two</w:t>
      </w:r>
      <w:r w:rsidR="00467BAC" w:rsidRPr="00F95055">
        <w:t xml:space="preserve"> years</w:t>
      </w:r>
      <w:r w:rsidR="00467BAC">
        <w:t>.</w:t>
      </w:r>
      <w:r w:rsidR="00D6740A">
        <w:t xml:space="preserve"> </w:t>
      </w:r>
    </w:p>
    <w:p w14:paraId="4096B589" w14:textId="77777777" w:rsidR="008E0A25" w:rsidRPr="00AE17F3" w:rsidRDefault="008E0A25" w:rsidP="00F95055">
      <w:pPr>
        <w:spacing w:before="240"/>
        <w:jc w:val="center"/>
        <w:rPr>
          <w:u w:val="single"/>
        </w:rPr>
      </w:pPr>
      <w:r w:rsidRPr="00AE17F3">
        <w:rPr>
          <w:u w:val="single"/>
        </w:rPr>
        <w:tab/>
      </w:r>
      <w:r w:rsidRPr="00AE17F3">
        <w:rPr>
          <w:u w:val="single"/>
        </w:rPr>
        <w:tab/>
      </w:r>
      <w:r w:rsidRPr="00AE17F3">
        <w:rPr>
          <w:u w:val="single"/>
        </w:rPr>
        <w:tab/>
      </w:r>
    </w:p>
    <w:sectPr w:rsidR="008E0A25" w:rsidRPr="00AE17F3" w:rsidSect="00F95055">
      <w:headerReference w:type="even" r:id="rId8"/>
      <w:headerReference w:type="default" r:id="rId9"/>
      <w:footerReference w:type="even" r:id="rId10"/>
      <w:footerReference w:type="default" r:id="rId11"/>
      <w:endnotePr>
        <w:numFmt w:val="decimal"/>
      </w:endnotePr>
      <w:type w:val="continuous"/>
      <w:pgSz w:w="11907" w:h="16840" w:code="9"/>
      <w:pgMar w:top="1418" w:right="1134" w:bottom="1134" w:left="1134" w:header="85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D47F8" w14:textId="77777777" w:rsidR="00CC5B27" w:rsidRDefault="00CC5B27"/>
  </w:endnote>
  <w:endnote w:type="continuationSeparator" w:id="0">
    <w:p w14:paraId="20C35B79" w14:textId="77777777" w:rsidR="00CC5B27" w:rsidRDefault="00CC5B27"/>
  </w:endnote>
  <w:endnote w:type="continuationNotice" w:id="1">
    <w:p w14:paraId="6423C99A" w14:textId="77777777" w:rsidR="00CC5B27" w:rsidRDefault="00CC5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9FFA" w14:textId="77777777" w:rsidR="00F144BB" w:rsidRPr="008E0A25" w:rsidRDefault="00F144BB" w:rsidP="008E0A25">
    <w:pPr>
      <w:pStyle w:val="Footer"/>
      <w:tabs>
        <w:tab w:val="right" w:pos="9598"/>
      </w:tabs>
    </w:pPr>
    <w:r w:rsidRPr="008E0A25">
      <w:rPr>
        <w:b/>
        <w:sz w:val="18"/>
      </w:rPr>
      <w:fldChar w:fldCharType="begin"/>
    </w:r>
    <w:r w:rsidRPr="008E0A25">
      <w:rPr>
        <w:b/>
        <w:sz w:val="18"/>
      </w:rPr>
      <w:instrText xml:space="preserve"> PAGE  \* MERGEFORMAT </w:instrText>
    </w:r>
    <w:r w:rsidRPr="008E0A25">
      <w:rPr>
        <w:b/>
        <w:sz w:val="18"/>
      </w:rPr>
      <w:fldChar w:fldCharType="separate"/>
    </w:r>
    <w:r w:rsidR="009A4B5D">
      <w:rPr>
        <w:b/>
        <w:noProof/>
        <w:sz w:val="18"/>
      </w:rPr>
      <w:t>4</w:t>
    </w:r>
    <w:r w:rsidRPr="008E0A2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EBC20" w14:textId="77777777" w:rsidR="00AE17F3" w:rsidRDefault="00AE17F3" w:rsidP="00AE17F3">
    <w:pPr>
      <w:pStyle w:val="Footer"/>
      <w:jc w:val="right"/>
    </w:pPr>
    <w:r w:rsidRPr="008E0A25">
      <w:rPr>
        <w:b/>
        <w:sz w:val="18"/>
      </w:rPr>
      <w:fldChar w:fldCharType="begin"/>
    </w:r>
    <w:r w:rsidRPr="008E0A25">
      <w:rPr>
        <w:b/>
        <w:sz w:val="18"/>
      </w:rPr>
      <w:instrText xml:space="preserve"> PAGE  \* MERGEFORMAT </w:instrText>
    </w:r>
    <w:r w:rsidRPr="008E0A25">
      <w:rPr>
        <w:b/>
        <w:sz w:val="18"/>
      </w:rPr>
      <w:fldChar w:fldCharType="separate"/>
    </w:r>
    <w:r>
      <w:rPr>
        <w:b/>
        <w:sz w:val="18"/>
      </w:rPr>
      <w:t>2</w:t>
    </w:r>
    <w:r w:rsidRPr="008E0A2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C9B10" w14:textId="77777777" w:rsidR="00CC5B27" w:rsidRPr="000B175B" w:rsidRDefault="00CC5B27" w:rsidP="000B175B">
      <w:pPr>
        <w:tabs>
          <w:tab w:val="right" w:pos="2155"/>
        </w:tabs>
        <w:spacing w:after="80"/>
        <w:ind w:left="680"/>
        <w:rPr>
          <w:u w:val="single"/>
        </w:rPr>
      </w:pPr>
      <w:r>
        <w:rPr>
          <w:u w:val="single"/>
        </w:rPr>
        <w:tab/>
      </w:r>
    </w:p>
  </w:footnote>
  <w:footnote w:type="continuationSeparator" w:id="0">
    <w:p w14:paraId="7B73B606" w14:textId="77777777" w:rsidR="00CC5B27" w:rsidRPr="00FC68B7" w:rsidRDefault="00CC5B27" w:rsidP="00FC68B7">
      <w:pPr>
        <w:tabs>
          <w:tab w:val="left" w:pos="2155"/>
        </w:tabs>
        <w:spacing w:after="80"/>
        <w:ind w:left="680"/>
        <w:rPr>
          <w:u w:val="single"/>
        </w:rPr>
      </w:pPr>
      <w:r>
        <w:rPr>
          <w:u w:val="single"/>
        </w:rPr>
        <w:tab/>
      </w:r>
    </w:p>
  </w:footnote>
  <w:footnote w:type="continuationNotice" w:id="1">
    <w:p w14:paraId="266F7F4F" w14:textId="77777777" w:rsidR="00CC5B27" w:rsidRDefault="00CC5B27"/>
  </w:footnote>
  <w:footnote w:id="2">
    <w:p w14:paraId="1A6A0EB2" w14:textId="77777777" w:rsidR="001A5155" w:rsidRPr="008E0A25" w:rsidRDefault="001A5155">
      <w:pPr>
        <w:pStyle w:val="FootnoteText"/>
      </w:pPr>
      <w:r>
        <w:tab/>
      </w:r>
      <w:r w:rsidRPr="008E0A25">
        <w:rPr>
          <w:rStyle w:val="FootnoteReference"/>
          <w:sz w:val="20"/>
          <w:vertAlign w:val="baseline"/>
        </w:rPr>
        <w:t>*</w:t>
      </w:r>
      <w:r>
        <w:rPr>
          <w:sz w:val="20"/>
        </w:rPr>
        <w:tab/>
      </w:r>
      <w:r w:rsidR="006E0A15">
        <w:rPr>
          <w:szCs w:val="18"/>
          <w:lang w:val="en-US"/>
        </w:rPr>
        <w:t xml:space="preserve">In accordance with the </w:t>
      </w:r>
      <w:proofErr w:type="spellStart"/>
      <w:r w:rsidR="006E0A15">
        <w:rPr>
          <w:szCs w:val="18"/>
          <w:lang w:val="en-US"/>
        </w:rPr>
        <w:t>programme</w:t>
      </w:r>
      <w:proofErr w:type="spellEnd"/>
      <w:r w:rsidR="006E0A15">
        <w:rPr>
          <w:szCs w:val="18"/>
          <w:lang w:val="en-US"/>
        </w:rPr>
        <w:t xml:space="preserve"> of work of the Inland Transport Committee for 2018–2019 (ECE/TRANS/274, para. 123 and ECE/TRANS/2018/21/Add.1, Cluster 3.1), the World Forum will develop, harmonize and update UN regulations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14E2" w14:textId="77777777" w:rsidR="00F144BB" w:rsidRPr="008F2390" w:rsidRDefault="008F2390" w:rsidP="008E0A25">
    <w:pPr>
      <w:pStyle w:val="Header"/>
      <w:rPr>
        <w:lang w:val="ru-RU"/>
      </w:rPr>
    </w:pPr>
    <w:r>
      <w:t>ECE/TRANS/WP.29/GRSG/2019/</w:t>
    </w:r>
    <w:r w:rsidR="00F95055">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FA80C" w14:textId="77777777" w:rsidR="00F95055" w:rsidRPr="00F95055" w:rsidRDefault="00F95055" w:rsidP="00F95055">
    <w:pPr>
      <w:pStyle w:val="Header"/>
      <w:jc w:val="right"/>
      <w:rPr>
        <w:lang w:val="ru-RU"/>
      </w:rPr>
    </w:pPr>
    <w:r>
      <w:t>ECE/TRANS/WP.29/GRSG/2019/23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B121BF"/>
    <w:multiLevelType w:val="hybridMultilevel"/>
    <w:tmpl w:val="B5088F2E"/>
    <w:lvl w:ilvl="0" w:tplc="1BAC1B24">
      <w:start w:val="2"/>
      <w:numFmt w:val="bullet"/>
      <w:lvlText w:val="-"/>
      <w:lvlJc w:val="left"/>
      <w:pPr>
        <w:ind w:left="3555" w:hanging="360"/>
      </w:pPr>
      <w:rPr>
        <w:rFonts w:ascii="Times New Roman" w:eastAsia="MS Mincho" w:hAnsi="Times New Roman" w:cs="Times New Roman"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21479"/>
    <w:multiLevelType w:val="hybridMultilevel"/>
    <w:tmpl w:val="5BFC3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43D223C"/>
    <w:multiLevelType w:val="hybridMultilevel"/>
    <w:tmpl w:val="BBB4675E"/>
    <w:lvl w:ilvl="0" w:tplc="59BE68D2">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7"/>
  </w:num>
  <w:num w:numId="15">
    <w:abstractNumId w:val="13"/>
  </w:num>
  <w:num w:numId="16">
    <w:abstractNumId w:val="11"/>
  </w:num>
  <w:num w:numId="17">
    <w:abstractNumId w:val="12"/>
  </w:num>
  <w:num w:numId="18">
    <w:abstractNumId w:val="16"/>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ru-RU"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3F"/>
    <w:rsid w:val="00014199"/>
    <w:rsid w:val="000210FF"/>
    <w:rsid w:val="000223D1"/>
    <w:rsid w:val="00023512"/>
    <w:rsid w:val="00031466"/>
    <w:rsid w:val="000351A2"/>
    <w:rsid w:val="000372EF"/>
    <w:rsid w:val="00046B1F"/>
    <w:rsid w:val="00050F6B"/>
    <w:rsid w:val="00057E97"/>
    <w:rsid w:val="00072C8C"/>
    <w:rsid w:val="000733B5"/>
    <w:rsid w:val="00081815"/>
    <w:rsid w:val="00090DAE"/>
    <w:rsid w:val="00092075"/>
    <w:rsid w:val="000931C0"/>
    <w:rsid w:val="000B0595"/>
    <w:rsid w:val="000B175B"/>
    <w:rsid w:val="000B3A0F"/>
    <w:rsid w:val="000B4EF7"/>
    <w:rsid w:val="000C2C03"/>
    <w:rsid w:val="000C2D2E"/>
    <w:rsid w:val="000E0415"/>
    <w:rsid w:val="000F4AF5"/>
    <w:rsid w:val="00102C2C"/>
    <w:rsid w:val="001103AA"/>
    <w:rsid w:val="0011666B"/>
    <w:rsid w:val="00164FAF"/>
    <w:rsid w:val="00165F3A"/>
    <w:rsid w:val="001A3867"/>
    <w:rsid w:val="001A5155"/>
    <w:rsid w:val="001B4B04"/>
    <w:rsid w:val="001C6663"/>
    <w:rsid w:val="001C7895"/>
    <w:rsid w:val="001D0C8C"/>
    <w:rsid w:val="001D1419"/>
    <w:rsid w:val="001D26DF"/>
    <w:rsid w:val="001D3A03"/>
    <w:rsid w:val="001E7B67"/>
    <w:rsid w:val="001F5B87"/>
    <w:rsid w:val="001F67FD"/>
    <w:rsid w:val="00202100"/>
    <w:rsid w:val="00202DA8"/>
    <w:rsid w:val="00211E0B"/>
    <w:rsid w:val="00231C4E"/>
    <w:rsid w:val="002455DC"/>
    <w:rsid w:val="002522F7"/>
    <w:rsid w:val="00267F5F"/>
    <w:rsid w:val="0027589A"/>
    <w:rsid w:val="002802E1"/>
    <w:rsid w:val="0028447E"/>
    <w:rsid w:val="002847B3"/>
    <w:rsid w:val="00286B4D"/>
    <w:rsid w:val="0029548F"/>
    <w:rsid w:val="002C1C77"/>
    <w:rsid w:val="002C46AE"/>
    <w:rsid w:val="002C6044"/>
    <w:rsid w:val="002D4643"/>
    <w:rsid w:val="002E0DB9"/>
    <w:rsid w:val="002F175C"/>
    <w:rsid w:val="002F58BE"/>
    <w:rsid w:val="00302E18"/>
    <w:rsid w:val="00307FB5"/>
    <w:rsid w:val="0031731F"/>
    <w:rsid w:val="003229D8"/>
    <w:rsid w:val="0033405C"/>
    <w:rsid w:val="00336F79"/>
    <w:rsid w:val="00352709"/>
    <w:rsid w:val="003612D6"/>
    <w:rsid w:val="00361785"/>
    <w:rsid w:val="00371178"/>
    <w:rsid w:val="00373035"/>
    <w:rsid w:val="00373FA9"/>
    <w:rsid w:val="0037690E"/>
    <w:rsid w:val="00381E3F"/>
    <w:rsid w:val="00382A36"/>
    <w:rsid w:val="00393FD5"/>
    <w:rsid w:val="0039489A"/>
    <w:rsid w:val="003A6810"/>
    <w:rsid w:val="003A76A5"/>
    <w:rsid w:val="003C2CC4"/>
    <w:rsid w:val="003C5A23"/>
    <w:rsid w:val="003D4B23"/>
    <w:rsid w:val="003D5CF8"/>
    <w:rsid w:val="00402FC8"/>
    <w:rsid w:val="00410C89"/>
    <w:rsid w:val="00422E03"/>
    <w:rsid w:val="00426B9B"/>
    <w:rsid w:val="004325CB"/>
    <w:rsid w:val="0043318D"/>
    <w:rsid w:val="00442A83"/>
    <w:rsid w:val="0044429E"/>
    <w:rsid w:val="0045495B"/>
    <w:rsid w:val="00463CBC"/>
    <w:rsid w:val="00467BAC"/>
    <w:rsid w:val="0048397A"/>
    <w:rsid w:val="00486DBE"/>
    <w:rsid w:val="004C2461"/>
    <w:rsid w:val="004C7462"/>
    <w:rsid w:val="004E77B2"/>
    <w:rsid w:val="00504B2D"/>
    <w:rsid w:val="0052136D"/>
    <w:rsid w:val="00522B58"/>
    <w:rsid w:val="00526A96"/>
    <w:rsid w:val="0052775E"/>
    <w:rsid w:val="00536E9C"/>
    <w:rsid w:val="005420F2"/>
    <w:rsid w:val="005628B6"/>
    <w:rsid w:val="005702E9"/>
    <w:rsid w:val="005911A8"/>
    <w:rsid w:val="005B1CA2"/>
    <w:rsid w:val="005B3DB3"/>
    <w:rsid w:val="005B4E13"/>
    <w:rsid w:val="005D737D"/>
    <w:rsid w:val="005F0AF3"/>
    <w:rsid w:val="005F7B75"/>
    <w:rsid w:val="006001EE"/>
    <w:rsid w:val="00605042"/>
    <w:rsid w:val="00611FC4"/>
    <w:rsid w:val="006176FB"/>
    <w:rsid w:val="00640B26"/>
    <w:rsid w:val="0064262B"/>
    <w:rsid w:val="006516C2"/>
    <w:rsid w:val="00652D0A"/>
    <w:rsid w:val="006623D5"/>
    <w:rsid w:val="00662BB6"/>
    <w:rsid w:val="0067397C"/>
    <w:rsid w:val="00684C21"/>
    <w:rsid w:val="00692779"/>
    <w:rsid w:val="006A2530"/>
    <w:rsid w:val="006B45AD"/>
    <w:rsid w:val="006B7CE4"/>
    <w:rsid w:val="006C3589"/>
    <w:rsid w:val="006D37AF"/>
    <w:rsid w:val="006D4E87"/>
    <w:rsid w:val="006D51D0"/>
    <w:rsid w:val="006E0A15"/>
    <w:rsid w:val="006E1502"/>
    <w:rsid w:val="006E564B"/>
    <w:rsid w:val="006E7191"/>
    <w:rsid w:val="00703577"/>
    <w:rsid w:val="00705894"/>
    <w:rsid w:val="0072632A"/>
    <w:rsid w:val="007327D5"/>
    <w:rsid w:val="00755B06"/>
    <w:rsid w:val="007629C8"/>
    <w:rsid w:val="0077047D"/>
    <w:rsid w:val="007857D4"/>
    <w:rsid w:val="00785FD0"/>
    <w:rsid w:val="00795AAE"/>
    <w:rsid w:val="007A4098"/>
    <w:rsid w:val="007B68BD"/>
    <w:rsid w:val="007B6BA5"/>
    <w:rsid w:val="007C3390"/>
    <w:rsid w:val="007C4F4B"/>
    <w:rsid w:val="007E01E9"/>
    <w:rsid w:val="007E63F3"/>
    <w:rsid w:val="007F6611"/>
    <w:rsid w:val="008020A9"/>
    <w:rsid w:val="00811920"/>
    <w:rsid w:val="00815AD0"/>
    <w:rsid w:val="008242D7"/>
    <w:rsid w:val="008257B1"/>
    <w:rsid w:val="00843767"/>
    <w:rsid w:val="00850F43"/>
    <w:rsid w:val="008577DB"/>
    <w:rsid w:val="00861E14"/>
    <w:rsid w:val="008679D9"/>
    <w:rsid w:val="008809A8"/>
    <w:rsid w:val="008878DE"/>
    <w:rsid w:val="008979B1"/>
    <w:rsid w:val="008A6B25"/>
    <w:rsid w:val="008A6C4F"/>
    <w:rsid w:val="008B2335"/>
    <w:rsid w:val="008B76AA"/>
    <w:rsid w:val="008E0678"/>
    <w:rsid w:val="008E088E"/>
    <w:rsid w:val="008E0A25"/>
    <w:rsid w:val="008F2390"/>
    <w:rsid w:val="008F73C1"/>
    <w:rsid w:val="00911DD0"/>
    <w:rsid w:val="0091665A"/>
    <w:rsid w:val="009223CA"/>
    <w:rsid w:val="00936CCA"/>
    <w:rsid w:val="00940F93"/>
    <w:rsid w:val="009760F3"/>
    <w:rsid w:val="00982188"/>
    <w:rsid w:val="009951A7"/>
    <w:rsid w:val="009A0E8D"/>
    <w:rsid w:val="009A4B5D"/>
    <w:rsid w:val="009B26E7"/>
    <w:rsid w:val="009D7706"/>
    <w:rsid w:val="00A00A3F"/>
    <w:rsid w:val="00A01489"/>
    <w:rsid w:val="00A22A18"/>
    <w:rsid w:val="00A27092"/>
    <w:rsid w:val="00A3026E"/>
    <w:rsid w:val="00A338F1"/>
    <w:rsid w:val="00A43EDF"/>
    <w:rsid w:val="00A50341"/>
    <w:rsid w:val="00A630C6"/>
    <w:rsid w:val="00A72F22"/>
    <w:rsid w:val="00A7360F"/>
    <w:rsid w:val="00A748A6"/>
    <w:rsid w:val="00A769F4"/>
    <w:rsid w:val="00A776B4"/>
    <w:rsid w:val="00A94361"/>
    <w:rsid w:val="00AA293C"/>
    <w:rsid w:val="00AC6178"/>
    <w:rsid w:val="00AC67A5"/>
    <w:rsid w:val="00AD096B"/>
    <w:rsid w:val="00AD2E1A"/>
    <w:rsid w:val="00AE17F3"/>
    <w:rsid w:val="00B065C8"/>
    <w:rsid w:val="00B30179"/>
    <w:rsid w:val="00B30461"/>
    <w:rsid w:val="00B30587"/>
    <w:rsid w:val="00B3374A"/>
    <w:rsid w:val="00B35FC0"/>
    <w:rsid w:val="00B421C1"/>
    <w:rsid w:val="00B45708"/>
    <w:rsid w:val="00B55C71"/>
    <w:rsid w:val="00B56E4A"/>
    <w:rsid w:val="00B56E9C"/>
    <w:rsid w:val="00B615BB"/>
    <w:rsid w:val="00B64B1F"/>
    <w:rsid w:val="00B6553F"/>
    <w:rsid w:val="00B77D05"/>
    <w:rsid w:val="00B81206"/>
    <w:rsid w:val="00B81E12"/>
    <w:rsid w:val="00B91384"/>
    <w:rsid w:val="00B93EB8"/>
    <w:rsid w:val="00BA6658"/>
    <w:rsid w:val="00BC3FA0"/>
    <w:rsid w:val="00BC74E9"/>
    <w:rsid w:val="00BE6135"/>
    <w:rsid w:val="00BF68A8"/>
    <w:rsid w:val="00C054F6"/>
    <w:rsid w:val="00C11A03"/>
    <w:rsid w:val="00C205D7"/>
    <w:rsid w:val="00C22C0C"/>
    <w:rsid w:val="00C252C6"/>
    <w:rsid w:val="00C3654F"/>
    <w:rsid w:val="00C4527F"/>
    <w:rsid w:val="00C461EB"/>
    <w:rsid w:val="00C463DD"/>
    <w:rsid w:val="00C4724C"/>
    <w:rsid w:val="00C52A9A"/>
    <w:rsid w:val="00C53D97"/>
    <w:rsid w:val="00C575AE"/>
    <w:rsid w:val="00C629A0"/>
    <w:rsid w:val="00C64629"/>
    <w:rsid w:val="00C7025A"/>
    <w:rsid w:val="00C745C3"/>
    <w:rsid w:val="00C74674"/>
    <w:rsid w:val="00CB3E03"/>
    <w:rsid w:val="00CB7700"/>
    <w:rsid w:val="00CC5B27"/>
    <w:rsid w:val="00CC7DAF"/>
    <w:rsid w:val="00CE4A8F"/>
    <w:rsid w:val="00CE5E1D"/>
    <w:rsid w:val="00CF3F6E"/>
    <w:rsid w:val="00D2031B"/>
    <w:rsid w:val="00D25FE2"/>
    <w:rsid w:val="00D42A40"/>
    <w:rsid w:val="00D43252"/>
    <w:rsid w:val="00D47EEA"/>
    <w:rsid w:val="00D6740A"/>
    <w:rsid w:val="00D769F0"/>
    <w:rsid w:val="00D773DF"/>
    <w:rsid w:val="00D8006D"/>
    <w:rsid w:val="00D82BBE"/>
    <w:rsid w:val="00D95303"/>
    <w:rsid w:val="00D978C6"/>
    <w:rsid w:val="00DA3C1C"/>
    <w:rsid w:val="00DD3A97"/>
    <w:rsid w:val="00DE6A21"/>
    <w:rsid w:val="00E046DF"/>
    <w:rsid w:val="00E06C88"/>
    <w:rsid w:val="00E27346"/>
    <w:rsid w:val="00E470A7"/>
    <w:rsid w:val="00E63CDF"/>
    <w:rsid w:val="00E71BC8"/>
    <w:rsid w:val="00E7260F"/>
    <w:rsid w:val="00E73F5D"/>
    <w:rsid w:val="00E77E4E"/>
    <w:rsid w:val="00E96630"/>
    <w:rsid w:val="00EA1F4E"/>
    <w:rsid w:val="00EC01EC"/>
    <w:rsid w:val="00EC7680"/>
    <w:rsid w:val="00ED7A2A"/>
    <w:rsid w:val="00EE5BFE"/>
    <w:rsid w:val="00EF1D7F"/>
    <w:rsid w:val="00EF5207"/>
    <w:rsid w:val="00F02039"/>
    <w:rsid w:val="00F144BB"/>
    <w:rsid w:val="00F14EE6"/>
    <w:rsid w:val="00F31E5F"/>
    <w:rsid w:val="00F6100A"/>
    <w:rsid w:val="00F63F89"/>
    <w:rsid w:val="00F7243F"/>
    <w:rsid w:val="00F841C0"/>
    <w:rsid w:val="00F92692"/>
    <w:rsid w:val="00F93781"/>
    <w:rsid w:val="00F93D79"/>
    <w:rsid w:val="00F95055"/>
    <w:rsid w:val="00FB613B"/>
    <w:rsid w:val="00FC54D5"/>
    <w:rsid w:val="00FC68B7"/>
    <w:rsid w:val="00FE106A"/>
    <w:rsid w:val="00FE353E"/>
    <w:rsid w:val="00FE713C"/>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9217"/>
    <o:shapelayout v:ext="edit">
      <o:idmap v:ext="edit" data="1"/>
    </o:shapelayout>
  </w:shapeDefaults>
  <w:decimalSymbol w:val="."/>
  <w:listSeparator w:val=","/>
  <w14:docId w14:val="50855413"/>
  <w15:chartTrackingRefBased/>
  <w15:docId w15:val="{61169054-E51D-4DED-9A4E-1861FE27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ChGChar">
    <w:name w:val="_ H _Ch_G Char"/>
    <w:link w:val="HChG"/>
    <w:rsid w:val="00B615BB"/>
    <w:rPr>
      <w:b/>
      <w:sz w:val="28"/>
      <w:lang w:val="en-GB" w:eastAsia="en-US"/>
    </w:rPr>
  </w:style>
  <w:style w:type="character" w:customStyle="1" w:styleId="SingleTxtGChar">
    <w:name w:val="_ Single Txt_G Char"/>
    <w:link w:val="SingleTxtG"/>
    <w:rsid w:val="00463CBC"/>
    <w:rPr>
      <w:lang w:val="en-GB" w:eastAsia="en-US"/>
    </w:rPr>
  </w:style>
  <w:style w:type="paragraph" w:styleId="ListParagraph">
    <w:name w:val="List Paragraph"/>
    <w:basedOn w:val="Normal"/>
    <w:uiPriority w:val="34"/>
    <w:qFormat/>
    <w:rsid w:val="00023512"/>
    <w:pPr>
      <w:ind w:left="720"/>
      <w:contextualSpacing/>
    </w:pPr>
    <w:rPr>
      <w:rFonts w:eastAsia="MS Mincho"/>
      <w:lang w:val="fr-CH"/>
    </w:rPr>
  </w:style>
  <w:style w:type="paragraph" w:styleId="BalloonText">
    <w:name w:val="Balloon Text"/>
    <w:basedOn w:val="Normal"/>
    <w:link w:val="BalloonTextChar"/>
    <w:rsid w:val="00231C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231C4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537">
      <w:bodyDiv w:val="1"/>
      <w:marLeft w:val="0"/>
      <w:marRight w:val="0"/>
      <w:marTop w:val="0"/>
      <w:marBottom w:val="0"/>
      <w:divBdr>
        <w:top w:val="none" w:sz="0" w:space="0" w:color="auto"/>
        <w:left w:val="none" w:sz="0" w:space="0" w:color="auto"/>
        <w:bottom w:val="none" w:sz="0" w:space="0" w:color="auto"/>
        <w:right w:val="none" w:sz="0" w:space="0" w:color="auto"/>
      </w:divBdr>
    </w:div>
    <w:div w:id="146755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5856</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1322420</vt:lpstr>
      <vt:lpstr>1322420</vt:lpstr>
    </vt:vector>
  </TitlesOfParts>
  <Company>CSD</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1322420</dc:title>
  <dc:subject/>
  <dc:creator>Coult</dc:creator>
  <cp:keywords>ECE/TRANS/WP.29/GRRF/2013/17</cp:keywords>
  <dc:description>FINAL</dc:description>
  <cp:lastModifiedBy>Benedicte Boudol</cp:lastModifiedBy>
  <cp:revision>2</cp:revision>
  <cp:lastPrinted>2019-07-18T14:48:00Z</cp:lastPrinted>
  <dcterms:created xsi:type="dcterms:W3CDTF">2019-07-19T13:14:00Z</dcterms:created>
  <dcterms:modified xsi:type="dcterms:W3CDTF">2019-07-19T13:14:00Z</dcterms:modified>
</cp:coreProperties>
</file>