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DE93E9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E429A14" w14:textId="77777777" w:rsidR="00F35BAF" w:rsidRPr="00DB58B5" w:rsidRDefault="00F35BAF" w:rsidP="00D2632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1DC3E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F1A8E5" w14:textId="77777777" w:rsidR="00F35BAF" w:rsidRPr="00DB58B5" w:rsidRDefault="00D26328" w:rsidP="00D26328">
            <w:pPr>
              <w:jc w:val="right"/>
            </w:pPr>
            <w:r w:rsidRPr="00D26328">
              <w:rPr>
                <w:sz w:val="40"/>
              </w:rPr>
              <w:t>ECE</w:t>
            </w:r>
            <w:r>
              <w:t>/TRANS/WP.29/GRSG/2019/24</w:t>
            </w:r>
          </w:p>
        </w:tc>
      </w:tr>
      <w:tr w:rsidR="00F35BAF" w:rsidRPr="00DB58B5" w14:paraId="383EE6B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1237A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6F166D" wp14:editId="17BC399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EE395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19B9FC" w14:textId="77777777" w:rsidR="00F35BAF" w:rsidRDefault="00D26328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0100BF0F" w14:textId="77777777" w:rsidR="00D26328" w:rsidRDefault="00D26328" w:rsidP="00D26328">
            <w:pPr>
              <w:spacing w:line="240" w:lineRule="exact"/>
            </w:pPr>
            <w:r>
              <w:t>18 juillet 2019</w:t>
            </w:r>
          </w:p>
          <w:p w14:paraId="14AE5301" w14:textId="77777777" w:rsidR="00D26328" w:rsidRDefault="00D26328" w:rsidP="00D26328">
            <w:pPr>
              <w:spacing w:line="240" w:lineRule="exact"/>
            </w:pPr>
            <w:r>
              <w:t>Français</w:t>
            </w:r>
          </w:p>
          <w:p w14:paraId="7EB31BD0" w14:textId="77777777" w:rsidR="00D26328" w:rsidRPr="00DB58B5" w:rsidRDefault="00D26328" w:rsidP="00D26328">
            <w:pPr>
              <w:spacing w:line="240" w:lineRule="exact"/>
            </w:pPr>
            <w:r>
              <w:t>Original : anglais</w:t>
            </w:r>
          </w:p>
        </w:tc>
      </w:tr>
    </w:tbl>
    <w:p w14:paraId="6026158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E6B2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013EEF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7C2A823" w14:textId="77777777" w:rsidR="00D26328" w:rsidRDefault="00D2632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DE6B28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1B9019C" w14:textId="77777777" w:rsidR="00D26328" w:rsidRDefault="00D26328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417F8EAB" w14:textId="77777777" w:rsidR="00D26328" w:rsidRDefault="00D26328" w:rsidP="00257168">
      <w:pPr>
        <w:spacing w:before="120" w:line="240" w:lineRule="exact"/>
        <w:rPr>
          <w:b/>
        </w:rPr>
      </w:pPr>
      <w:r>
        <w:rPr>
          <w:b/>
        </w:rPr>
        <w:t>117</w:t>
      </w:r>
      <w:r w:rsidRPr="00D26328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55911D85" w14:textId="77777777" w:rsidR="00D26328" w:rsidRPr="008E55EF" w:rsidRDefault="00D26328" w:rsidP="00D26328">
      <w:r>
        <w:t xml:space="preserve">Genève, </w:t>
      </w:r>
      <w:r>
        <w:rPr>
          <w:lang w:val="fr-FR"/>
        </w:rPr>
        <w:t>8-11 octobre 2019</w:t>
      </w:r>
    </w:p>
    <w:p w14:paraId="3B266AA2" w14:textId="77777777" w:rsidR="00D26328" w:rsidRPr="008E55EF" w:rsidRDefault="00D26328" w:rsidP="00D26328">
      <w:r>
        <w:rPr>
          <w:lang w:val="fr-FR"/>
        </w:rPr>
        <w:t>Point 10 de l</w:t>
      </w:r>
      <w:r w:rsidR="00DE6B28">
        <w:rPr>
          <w:lang w:val="fr-FR"/>
        </w:rPr>
        <w:t>’</w:t>
      </w:r>
      <w:r>
        <w:rPr>
          <w:lang w:val="fr-FR"/>
        </w:rPr>
        <w:t>ordre du jour provisoire</w:t>
      </w:r>
    </w:p>
    <w:p w14:paraId="4BD5913B" w14:textId="77777777" w:rsidR="00D26328" w:rsidRDefault="00D26328" w:rsidP="00D26328">
      <w:r>
        <w:rPr>
          <w:b/>
          <w:lang w:val="fr-FR"/>
        </w:rPr>
        <w:t>Règlement ONU n</w:t>
      </w:r>
      <w:r>
        <w:rPr>
          <w:b/>
          <w:vertAlign w:val="superscript"/>
          <w:lang w:val="fr-FR"/>
        </w:rPr>
        <w:t>o</w:t>
      </w:r>
      <w:r>
        <w:rPr>
          <w:b/>
          <w:lang w:val="fr-FR"/>
        </w:rPr>
        <w:t xml:space="preserve"> 62 (Dispositifs antivol </w:t>
      </w:r>
      <w:r>
        <w:rPr>
          <w:lang w:val="fr-FR"/>
        </w:rPr>
        <w:br/>
      </w:r>
      <w:r>
        <w:rPr>
          <w:b/>
          <w:lang w:val="fr-FR"/>
        </w:rPr>
        <w:t>des cyclomoteurs et motocycles)</w:t>
      </w:r>
    </w:p>
    <w:p w14:paraId="5B31701B" w14:textId="77777777" w:rsidR="00D26328" w:rsidRPr="00D26328" w:rsidRDefault="00D26328" w:rsidP="00D26328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D26328">
        <w:rPr>
          <w:lang w:val="fr-FR"/>
        </w:rPr>
        <w:t>Proposition de nouvelle série</w:t>
      </w:r>
      <w:r>
        <w:rPr>
          <w:lang w:val="fr-FR"/>
        </w:rPr>
        <w:t> </w:t>
      </w:r>
      <w:r w:rsidRPr="00D26328">
        <w:rPr>
          <w:lang w:val="fr-FR"/>
        </w:rPr>
        <w:t>01 d</w:t>
      </w:r>
      <w:r w:rsidR="00DE6B28">
        <w:rPr>
          <w:lang w:val="fr-FR"/>
        </w:rPr>
        <w:t>’</w:t>
      </w:r>
      <w:r w:rsidRPr="00D26328">
        <w:rPr>
          <w:lang w:val="fr-FR"/>
        </w:rPr>
        <w:t xml:space="preserve">amendements </w:t>
      </w:r>
      <w:r>
        <w:rPr>
          <w:lang w:val="fr-FR"/>
        </w:rPr>
        <w:br/>
      </w:r>
      <w:r w:rsidRPr="00D26328">
        <w:rPr>
          <w:lang w:val="fr-FR"/>
        </w:rPr>
        <w:t>au Règlement</w:t>
      </w:r>
      <w:r>
        <w:rPr>
          <w:lang w:val="fr-FR"/>
        </w:rPr>
        <w:t> </w:t>
      </w:r>
      <w:r w:rsidRPr="00D26328">
        <w:rPr>
          <w:lang w:val="fr-FR"/>
        </w:rPr>
        <w:t xml:space="preserve">ONU </w:t>
      </w:r>
      <w:r w:rsidRPr="00D26328">
        <w:rPr>
          <w:rFonts w:eastAsia="MS Mincho"/>
          <w:szCs w:val="22"/>
          <w:lang w:val="fr-FR"/>
        </w:rPr>
        <w:t>n</w:t>
      </w:r>
      <w:r w:rsidRPr="00D2632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26328">
        <w:rPr>
          <w:lang w:val="fr-FR"/>
        </w:rPr>
        <w:t xml:space="preserve">62 (Dispositifs antivol </w:t>
      </w:r>
      <w:r>
        <w:rPr>
          <w:lang w:val="fr-FR"/>
        </w:rPr>
        <w:br/>
      </w:r>
      <w:r w:rsidRPr="00D26328">
        <w:rPr>
          <w:lang w:val="fr-FR"/>
        </w:rPr>
        <w:t>des cyclomoteurs et motocycles)</w:t>
      </w:r>
    </w:p>
    <w:p w14:paraId="12A69653" w14:textId="77777777" w:rsidR="00D26328" w:rsidRPr="00D26328" w:rsidRDefault="00D26328" w:rsidP="00D26328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</w:r>
      <w:r w:rsidRPr="00D26328">
        <w:rPr>
          <w:lang w:val="fr-FR"/>
        </w:rPr>
        <w:t>Communication de l</w:t>
      </w:r>
      <w:r w:rsidR="00DE6B28">
        <w:rPr>
          <w:lang w:val="fr-FR"/>
        </w:rPr>
        <w:t>’</w:t>
      </w:r>
      <w:r w:rsidRPr="00D26328">
        <w:rPr>
          <w:lang w:val="fr-FR"/>
        </w:rPr>
        <w:t>expert de la France</w:t>
      </w:r>
      <w:r w:rsidRPr="00D26328">
        <w:rPr>
          <w:b w:val="0"/>
          <w:sz w:val="20"/>
          <w:lang w:val="fr-FR"/>
        </w:rPr>
        <w:footnoteReference w:customMarkFollows="1" w:id="2"/>
        <w:t>*</w:t>
      </w:r>
    </w:p>
    <w:p w14:paraId="1BE1B1D1" w14:textId="77777777" w:rsidR="00D26328" w:rsidRDefault="00D26328" w:rsidP="00D26328">
      <w:pPr>
        <w:pStyle w:val="SingleTxtG"/>
        <w:ind w:firstLine="567"/>
        <w:rPr>
          <w:lang w:val="fr-FR"/>
        </w:rPr>
      </w:pPr>
      <w:r w:rsidRPr="00D26328">
        <w:rPr>
          <w:lang w:val="fr-FR"/>
        </w:rPr>
        <w:t>Le texte, ci-après, établi par l</w:t>
      </w:r>
      <w:r w:rsidR="00DE6B28">
        <w:rPr>
          <w:lang w:val="fr-FR"/>
        </w:rPr>
        <w:t>’</w:t>
      </w:r>
      <w:r w:rsidRPr="00D26328">
        <w:rPr>
          <w:lang w:val="fr-FR"/>
        </w:rPr>
        <w:t>expert de la France, a pour objet d</w:t>
      </w:r>
      <w:r w:rsidR="00DE6B28">
        <w:rPr>
          <w:lang w:val="fr-FR"/>
        </w:rPr>
        <w:t>’</w:t>
      </w:r>
      <w:r w:rsidRPr="00D26328">
        <w:rPr>
          <w:lang w:val="fr-FR"/>
        </w:rPr>
        <w:t>apporter des modifications aux dispositions relatives à la compatibilité électromagnétique. Il est fondé sur le document informel GRSG-116-13, tel que présenté à la 116</w:t>
      </w:r>
      <w:r w:rsidRPr="00D26328">
        <w:rPr>
          <w:vertAlign w:val="superscript"/>
          <w:lang w:val="fr-FR"/>
        </w:rPr>
        <w:t>e</w:t>
      </w:r>
      <w:r>
        <w:rPr>
          <w:vertAlign w:val="superscript"/>
          <w:lang w:val="fr-FR"/>
        </w:rPr>
        <w:t> </w:t>
      </w:r>
      <w:r w:rsidRPr="00D26328">
        <w:rPr>
          <w:lang w:val="fr-FR"/>
        </w:rPr>
        <w:t>session du Groupe de travail des dispositions générales de sécurité (GRSG) (voir rapport ECE/TRANS/WP.29/GRSG/95, par. 72). Les modifications qu</w:t>
      </w:r>
      <w:r w:rsidR="00DE6B28">
        <w:rPr>
          <w:lang w:val="fr-FR"/>
        </w:rPr>
        <w:t>’</w:t>
      </w:r>
      <w:r w:rsidRPr="00D26328">
        <w:rPr>
          <w:lang w:val="fr-FR"/>
        </w:rPr>
        <w:t>il est proposé d</w:t>
      </w:r>
      <w:r w:rsidR="00DE6B28">
        <w:rPr>
          <w:lang w:val="fr-FR"/>
        </w:rPr>
        <w:t>’</w:t>
      </w:r>
      <w:r w:rsidRPr="00D26328">
        <w:rPr>
          <w:lang w:val="fr-FR"/>
        </w:rPr>
        <w:t>apporter au texte actuel du Règlement ONU n</w:t>
      </w:r>
      <w:r w:rsidRPr="00D2632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26328">
        <w:rPr>
          <w:lang w:val="fr-FR"/>
        </w:rPr>
        <w:t>62 sont indiquées en caractères gras.</w:t>
      </w:r>
    </w:p>
    <w:p w14:paraId="3C6F533A" w14:textId="77777777" w:rsidR="00D26328" w:rsidRPr="00D26328" w:rsidRDefault="00D26328" w:rsidP="00D26328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D26328">
        <w:rPr>
          <w:lang w:val="fr-FR"/>
        </w:rPr>
        <w:t>I.</w:t>
      </w:r>
      <w:r w:rsidRPr="00D26328">
        <w:rPr>
          <w:lang w:val="fr-FR"/>
        </w:rPr>
        <w:tab/>
        <w:t>Proposition</w:t>
      </w:r>
    </w:p>
    <w:p w14:paraId="15D8A9AC" w14:textId="77777777" w:rsidR="00D26328" w:rsidRPr="00D26328" w:rsidRDefault="00D26328" w:rsidP="00D26328">
      <w:pPr>
        <w:pStyle w:val="SingleTxtG"/>
        <w:keepNext/>
        <w:keepLines/>
      </w:pPr>
      <w:r w:rsidRPr="00D26328">
        <w:rPr>
          <w:i/>
          <w:lang w:val="fr-FR"/>
        </w:rPr>
        <w:t>Insérer un nouveau paragraphe 5.12</w:t>
      </w:r>
      <w:r w:rsidRPr="00D26328">
        <w:rPr>
          <w:lang w:val="fr-FR"/>
        </w:rPr>
        <w:t>, libellé comme suit</w:t>
      </w:r>
      <w:r>
        <w:rPr>
          <w:lang w:val="fr-FR"/>
        </w:rPr>
        <w:t> :</w:t>
      </w:r>
    </w:p>
    <w:p w14:paraId="33F1D78B" w14:textId="77777777" w:rsidR="00D26328" w:rsidRPr="00D26328" w:rsidRDefault="00D26328" w:rsidP="00D26328">
      <w:pPr>
        <w:pStyle w:val="SingleTxtG"/>
        <w:ind w:left="2268" w:hanging="1134"/>
        <w:rPr>
          <w:b/>
        </w:rPr>
      </w:pPr>
      <w:r w:rsidRPr="00D26328">
        <w:rPr>
          <w:lang w:val="fr-FR"/>
        </w:rPr>
        <w:t>« </w:t>
      </w:r>
      <w:r w:rsidRPr="00D26328">
        <w:rPr>
          <w:b/>
          <w:bCs/>
          <w:lang w:val="fr-FR"/>
        </w:rPr>
        <w:t>5.12</w:t>
      </w:r>
      <w:r w:rsidRPr="00D26328">
        <w:rPr>
          <w:lang w:val="fr-FR"/>
        </w:rPr>
        <w:tab/>
      </w:r>
      <w:r w:rsidRPr="00D26328">
        <w:rPr>
          <w:b/>
          <w:bCs/>
          <w:lang w:val="fr-FR"/>
        </w:rPr>
        <w:t>Compatibilité électromagnétique</w:t>
      </w:r>
    </w:p>
    <w:p w14:paraId="5FE6C1D7" w14:textId="77777777" w:rsidR="00D26328" w:rsidRPr="00D26328" w:rsidRDefault="00D26328" w:rsidP="00D26328">
      <w:pPr>
        <w:pStyle w:val="SingleTxtG"/>
        <w:ind w:left="2268" w:hanging="1134"/>
        <w:rPr>
          <w:b/>
        </w:rPr>
      </w:pPr>
      <w:r>
        <w:rPr>
          <w:b/>
          <w:bCs/>
          <w:lang w:val="fr-FR"/>
        </w:rPr>
        <w:tab/>
      </w:r>
      <w:r w:rsidRPr="00D26328">
        <w:rPr>
          <w:b/>
          <w:bCs/>
          <w:lang w:val="fr-FR"/>
        </w:rPr>
        <w:t>Les dispositifs électromécaniques et électroniques de protection contre une utilisation non autorisée, s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ils équipent un véhicule, doivent satisfaire aux prescriptions relatives à la compatibilité électromagnétique ci-après.</w:t>
      </w:r>
    </w:p>
    <w:p w14:paraId="32A746D9" w14:textId="77777777" w:rsidR="00D26328" w:rsidRPr="00D26328" w:rsidRDefault="00D26328" w:rsidP="00D26328">
      <w:pPr>
        <w:pStyle w:val="SingleTxtG"/>
        <w:ind w:left="2268" w:hanging="1134"/>
      </w:pPr>
      <w:r>
        <w:rPr>
          <w:b/>
          <w:bCs/>
          <w:lang w:val="fr-FR"/>
        </w:rPr>
        <w:tab/>
      </w:r>
      <w:r w:rsidRPr="00D26328">
        <w:rPr>
          <w:b/>
          <w:bCs/>
          <w:lang w:val="fr-FR"/>
        </w:rPr>
        <w:t>Les essais doivent être effectués conformément aux prescriptions techniques et aux dispositions transitoires de la série 06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 xml:space="preserve">amendements du Règlement ONU </w:t>
      </w:r>
      <w:r w:rsidRPr="00D26328">
        <w:rPr>
          <w:rFonts w:eastAsia="MS Mincho"/>
          <w:b/>
          <w:bCs/>
          <w:szCs w:val="22"/>
          <w:lang w:val="fr-FR"/>
        </w:rPr>
        <w:t>n</w:t>
      </w:r>
      <w:r w:rsidRPr="00D26328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D26328">
        <w:rPr>
          <w:b/>
          <w:bCs/>
          <w:lang w:val="fr-FR"/>
        </w:rPr>
        <w:t>10 pertinentes, et aux méthodes concernant les essais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immunité décrites à l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annexe</w:t>
      </w:r>
      <w:r>
        <w:rPr>
          <w:b/>
          <w:bCs/>
          <w:lang w:val="fr-FR"/>
        </w:rPr>
        <w:t> </w:t>
      </w:r>
      <w:r w:rsidRPr="00D26328">
        <w:rPr>
          <w:b/>
          <w:bCs/>
          <w:lang w:val="fr-FR"/>
        </w:rPr>
        <w:t>6 dudit Règlement et à celles concernant les essais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émissions décrites dans les annexes</w:t>
      </w:r>
      <w:r>
        <w:rPr>
          <w:b/>
          <w:bCs/>
          <w:lang w:val="fr-FR"/>
        </w:rPr>
        <w:t> </w:t>
      </w:r>
      <w:r w:rsidRPr="00D26328">
        <w:rPr>
          <w:b/>
          <w:bCs/>
          <w:lang w:val="fr-FR"/>
        </w:rPr>
        <w:t>4 et 5. </w:t>
      </w:r>
      <w:r w:rsidRPr="00D26328">
        <w:rPr>
          <w:lang w:val="fr-FR"/>
        </w:rPr>
        <w:t>»</w:t>
      </w:r>
    </w:p>
    <w:p w14:paraId="5655C254" w14:textId="77777777" w:rsidR="00D26328" w:rsidRPr="00D26328" w:rsidRDefault="00D26328" w:rsidP="00D26328">
      <w:pPr>
        <w:pStyle w:val="SingleTxtG"/>
        <w:keepNext/>
        <w:keepLines/>
        <w:rPr>
          <w:i/>
        </w:rPr>
      </w:pPr>
      <w:r w:rsidRPr="00D26328">
        <w:rPr>
          <w:i/>
          <w:iCs/>
          <w:lang w:val="fr-FR"/>
        </w:rPr>
        <w:t>Insérer un nouveau paragraphe</w:t>
      </w:r>
      <w:r>
        <w:rPr>
          <w:i/>
          <w:iCs/>
          <w:lang w:val="fr-FR"/>
        </w:rPr>
        <w:t> </w:t>
      </w:r>
      <w:r w:rsidRPr="00D26328">
        <w:rPr>
          <w:i/>
          <w:iCs/>
          <w:lang w:val="fr-FR"/>
        </w:rPr>
        <w:t>12</w:t>
      </w:r>
      <w:r w:rsidRPr="00D26328">
        <w:rPr>
          <w:lang w:val="fr-FR"/>
        </w:rPr>
        <w:t>, libellé comme suit</w:t>
      </w:r>
      <w:r>
        <w:rPr>
          <w:lang w:val="fr-FR"/>
        </w:rPr>
        <w:t> :</w:t>
      </w:r>
    </w:p>
    <w:p w14:paraId="330D0601" w14:textId="77777777" w:rsidR="00D26328" w:rsidRPr="00D26328" w:rsidRDefault="00D26328" w:rsidP="00D26328">
      <w:pPr>
        <w:pStyle w:val="SingleTxtG"/>
        <w:ind w:left="2268" w:hanging="1134"/>
        <w:rPr>
          <w:b/>
        </w:rPr>
      </w:pPr>
      <w:r w:rsidRPr="00D26328">
        <w:rPr>
          <w:lang w:val="fr-FR"/>
        </w:rPr>
        <w:t>«</w:t>
      </w:r>
      <w:r w:rsidRPr="00D26328">
        <w:rPr>
          <w:b/>
          <w:bCs/>
          <w:lang w:val="fr-FR"/>
        </w:rPr>
        <w:t> 12</w:t>
      </w:r>
      <w:r w:rsidR="00DE6B28">
        <w:rPr>
          <w:b/>
          <w:bCs/>
          <w:lang w:val="fr-FR"/>
        </w:rPr>
        <w:t>.</w:t>
      </w:r>
      <w:r w:rsidRPr="00D26328">
        <w:rPr>
          <w:lang w:val="fr-FR"/>
        </w:rPr>
        <w:tab/>
      </w:r>
      <w:bookmarkStart w:id="1" w:name="_Hlk17131912"/>
      <w:r w:rsidRPr="00D26328">
        <w:rPr>
          <w:b/>
          <w:bCs/>
          <w:lang w:val="fr-FR"/>
        </w:rPr>
        <w:t>Dispositions transitoires</w:t>
      </w:r>
      <w:bookmarkEnd w:id="1"/>
    </w:p>
    <w:p w14:paraId="15AC2703" w14:textId="77777777" w:rsidR="00D26328" w:rsidRPr="00D26328" w:rsidRDefault="00D26328" w:rsidP="00D26328">
      <w:pPr>
        <w:pStyle w:val="SingleTxtG"/>
        <w:ind w:left="2268" w:hanging="1134"/>
        <w:rPr>
          <w:b/>
        </w:rPr>
      </w:pPr>
      <w:r w:rsidRPr="00D26328">
        <w:rPr>
          <w:b/>
          <w:lang w:val="fr-FR"/>
        </w:rPr>
        <w:t>12.1</w:t>
      </w:r>
      <w:r w:rsidRPr="00D26328">
        <w:rPr>
          <w:lang w:val="fr-FR"/>
        </w:rPr>
        <w:t xml:space="preserve">. </w:t>
      </w:r>
      <w:r w:rsidRPr="00D26328">
        <w:rPr>
          <w:lang w:val="fr-FR"/>
        </w:rPr>
        <w:tab/>
      </w:r>
      <w:r w:rsidRPr="00D26328">
        <w:rPr>
          <w:b/>
          <w:bCs/>
          <w:lang w:val="fr-FR"/>
        </w:rPr>
        <w:t>À compter de la date officielle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entrée en vigueur de la série 01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amendements, aucune Partie contractante appliquant le présent Règlement ne pourra refuser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accorder une homologation de type en vertu du présent Règlement tel que modifié par la série</w:t>
      </w:r>
      <w:r>
        <w:rPr>
          <w:b/>
          <w:bCs/>
          <w:lang w:val="fr-FR"/>
        </w:rPr>
        <w:t> </w:t>
      </w:r>
      <w:r w:rsidRPr="00D26328">
        <w:rPr>
          <w:b/>
          <w:bCs/>
          <w:lang w:val="fr-FR"/>
        </w:rPr>
        <w:t>01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amendements, ou de la reconnaître.</w:t>
      </w:r>
    </w:p>
    <w:p w14:paraId="08615EFB" w14:textId="77777777" w:rsidR="00D26328" w:rsidRPr="00D26328" w:rsidRDefault="00D26328" w:rsidP="00D26328">
      <w:pPr>
        <w:pStyle w:val="SingleTxtG"/>
        <w:ind w:left="2268" w:hanging="1134"/>
        <w:rPr>
          <w:b/>
        </w:rPr>
      </w:pPr>
      <w:r w:rsidRPr="00D26328">
        <w:rPr>
          <w:b/>
          <w:lang w:val="fr-FR"/>
        </w:rPr>
        <w:t>12.2</w:t>
      </w:r>
      <w:r w:rsidRPr="00D26328">
        <w:rPr>
          <w:lang w:val="fr-FR"/>
        </w:rPr>
        <w:tab/>
      </w:r>
      <w:r w:rsidRPr="00D26328">
        <w:rPr>
          <w:b/>
          <w:bCs/>
          <w:lang w:val="fr-FR"/>
        </w:rPr>
        <w:t>À compter du 1</w:t>
      </w:r>
      <w:r w:rsidRPr="00D26328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D26328">
        <w:rPr>
          <w:b/>
          <w:bCs/>
          <w:lang w:val="fr-FR"/>
        </w:rPr>
        <w:t>septembre [2022], les Parties contractantes appliquant le présent Règlement ne seront plus tenues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accepter les homologations de type établies conformément aux précédentes séries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amendements, délivrées pour la première fois après le 1</w:t>
      </w:r>
      <w:r w:rsidRPr="00D26328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D26328">
        <w:rPr>
          <w:b/>
          <w:bCs/>
          <w:lang w:val="fr-FR"/>
        </w:rPr>
        <w:t>septembre [2022].</w:t>
      </w:r>
    </w:p>
    <w:p w14:paraId="1A858233" w14:textId="77777777" w:rsidR="00D26328" w:rsidRPr="00D26328" w:rsidRDefault="00D26328" w:rsidP="00D26328">
      <w:pPr>
        <w:pStyle w:val="SingleTxtG"/>
        <w:ind w:left="2268" w:hanging="1134"/>
        <w:rPr>
          <w:b/>
        </w:rPr>
      </w:pPr>
      <w:r w:rsidRPr="00D26328">
        <w:rPr>
          <w:b/>
          <w:lang w:val="fr-FR"/>
        </w:rPr>
        <w:t>12.3</w:t>
      </w:r>
      <w:r w:rsidRPr="00D26328">
        <w:rPr>
          <w:lang w:val="fr-FR"/>
        </w:rPr>
        <w:tab/>
      </w:r>
      <w:r w:rsidRPr="00D26328">
        <w:rPr>
          <w:b/>
          <w:bCs/>
          <w:lang w:val="fr-FR"/>
        </w:rPr>
        <w:t>Jusqu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au 1</w:t>
      </w:r>
      <w:r w:rsidRPr="00D26328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D26328">
        <w:rPr>
          <w:b/>
          <w:bCs/>
          <w:lang w:val="fr-FR"/>
        </w:rPr>
        <w:t>septembre [2024], les Parties contractantes appliquant le présent Règlement seront tenues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accepter les homologations de type établies conformément aux précédentes séries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amendements, délivrées pour la première fois avant le 1</w:t>
      </w:r>
      <w:r w:rsidRPr="00D26328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D26328">
        <w:rPr>
          <w:b/>
          <w:bCs/>
          <w:lang w:val="fr-FR"/>
        </w:rPr>
        <w:t>septembre [2022].</w:t>
      </w:r>
    </w:p>
    <w:p w14:paraId="0EE0AF27" w14:textId="77777777" w:rsidR="00D26328" w:rsidRPr="00D26328" w:rsidRDefault="00D26328" w:rsidP="00D26328">
      <w:pPr>
        <w:pStyle w:val="SingleTxtG"/>
        <w:ind w:left="2268" w:hanging="1134"/>
        <w:rPr>
          <w:b/>
        </w:rPr>
      </w:pPr>
      <w:r w:rsidRPr="00D26328">
        <w:rPr>
          <w:b/>
          <w:lang w:val="fr-FR"/>
        </w:rPr>
        <w:t>12.4</w:t>
      </w:r>
      <w:r w:rsidRPr="00D26328">
        <w:rPr>
          <w:lang w:val="fr-FR"/>
        </w:rPr>
        <w:tab/>
      </w:r>
      <w:r w:rsidRPr="00D26328">
        <w:rPr>
          <w:b/>
          <w:bCs/>
          <w:lang w:val="fr-FR"/>
        </w:rPr>
        <w:t>À compter du 1</w:t>
      </w:r>
      <w:r w:rsidRPr="00D26328"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</w:t>
      </w:r>
      <w:r w:rsidRPr="00D26328">
        <w:rPr>
          <w:b/>
          <w:bCs/>
          <w:lang w:val="fr-FR"/>
        </w:rPr>
        <w:t>septembre [2024], les Parties contractantes appliquant le présent Règlement ne seront plus tenues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accepter les homologations de type délivrées en vertu des précédentes séries d</w:t>
      </w:r>
      <w:r w:rsidR="00DE6B28">
        <w:rPr>
          <w:b/>
          <w:bCs/>
          <w:lang w:val="fr-FR"/>
        </w:rPr>
        <w:t>’</w:t>
      </w:r>
      <w:r w:rsidRPr="00D26328">
        <w:rPr>
          <w:b/>
          <w:bCs/>
          <w:lang w:val="fr-FR"/>
        </w:rPr>
        <w:t>amendements audit Règlement.</w:t>
      </w:r>
      <w:r>
        <w:rPr>
          <w:b/>
          <w:bCs/>
          <w:lang w:val="fr-FR"/>
        </w:rPr>
        <w:t> </w:t>
      </w:r>
      <w:r w:rsidRPr="00D26328">
        <w:rPr>
          <w:lang w:val="fr-FR"/>
        </w:rPr>
        <w:t>»</w:t>
      </w:r>
    </w:p>
    <w:p w14:paraId="5CAC2FBA" w14:textId="77777777" w:rsidR="00D26328" w:rsidRPr="00D26328" w:rsidRDefault="00D26328" w:rsidP="00D26328">
      <w:pPr>
        <w:pStyle w:val="HChG"/>
      </w:pPr>
      <w:r w:rsidRPr="00D26328">
        <w:rPr>
          <w:lang w:val="fr-FR"/>
        </w:rPr>
        <w:tab/>
        <w:t>II.</w:t>
      </w:r>
      <w:r w:rsidRPr="00D26328">
        <w:rPr>
          <w:lang w:val="fr-FR"/>
        </w:rPr>
        <w:tab/>
        <w:t>Justification</w:t>
      </w:r>
    </w:p>
    <w:p w14:paraId="54AFD420" w14:textId="77777777" w:rsidR="00D26328" w:rsidRPr="00D26328" w:rsidRDefault="00D26328" w:rsidP="00D26328">
      <w:pPr>
        <w:pStyle w:val="SingleTxtG"/>
      </w:pPr>
      <w:r w:rsidRPr="00D26328">
        <w:rPr>
          <w:lang w:val="fr-FR"/>
        </w:rPr>
        <w:t>1.</w:t>
      </w:r>
      <w:r w:rsidRPr="00D26328">
        <w:rPr>
          <w:lang w:val="fr-FR"/>
        </w:rPr>
        <w:tab/>
        <w:t>À sa 116</w:t>
      </w:r>
      <w:r w:rsidRPr="00D26328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D26328">
        <w:rPr>
          <w:lang w:val="fr-FR"/>
        </w:rPr>
        <w:t>session, le Groupe de travail des dispositions générales de sécurité a adopté le document ECE/TRANS/WP.29/GRSG/2018/15, qui visait à permettre qu</w:t>
      </w:r>
      <w:r w:rsidR="00DE6B28">
        <w:rPr>
          <w:lang w:val="fr-FR"/>
        </w:rPr>
        <w:t>’</w:t>
      </w:r>
      <w:r w:rsidRPr="00D26328">
        <w:rPr>
          <w:lang w:val="fr-FR"/>
        </w:rPr>
        <w:t>un dispositif électronique, tel qu</w:t>
      </w:r>
      <w:r w:rsidR="00DE6B28">
        <w:rPr>
          <w:lang w:val="fr-FR"/>
        </w:rPr>
        <w:t>’</w:t>
      </w:r>
      <w:r w:rsidRPr="00D26328">
        <w:rPr>
          <w:lang w:val="fr-FR"/>
        </w:rPr>
        <w:t>un transpondeur, même s</w:t>
      </w:r>
      <w:r w:rsidR="00DE6B28">
        <w:rPr>
          <w:lang w:val="fr-FR"/>
        </w:rPr>
        <w:t>’</w:t>
      </w:r>
      <w:r w:rsidRPr="00D26328">
        <w:rPr>
          <w:lang w:val="fr-FR"/>
        </w:rPr>
        <w:t>il ne remplit pas la fonction classique d</w:t>
      </w:r>
      <w:r w:rsidR="00DE6B28">
        <w:rPr>
          <w:lang w:val="fr-FR"/>
        </w:rPr>
        <w:t>’</w:t>
      </w:r>
      <w:r w:rsidRPr="00D26328">
        <w:rPr>
          <w:lang w:val="fr-FR"/>
        </w:rPr>
        <w:t>une cl</w:t>
      </w:r>
      <w:r>
        <w:rPr>
          <w:lang w:val="fr-FR"/>
        </w:rPr>
        <w:t>ef</w:t>
      </w:r>
      <w:r w:rsidRPr="00D26328">
        <w:rPr>
          <w:lang w:val="fr-FR"/>
        </w:rPr>
        <w:t xml:space="preserve"> mécanique, puisse faire l</w:t>
      </w:r>
      <w:r w:rsidR="00DE6B28">
        <w:rPr>
          <w:lang w:val="fr-FR"/>
        </w:rPr>
        <w:t>’</w:t>
      </w:r>
      <w:r w:rsidRPr="00D26328">
        <w:rPr>
          <w:lang w:val="fr-FR"/>
        </w:rPr>
        <w:t>objet d</w:t>
      </w:r>
      <w:r w:rsidR="00DE6B28">
        <w:rPr>
          <w:lang w:val="fr-FR"/>
        </w:rPr>
        <w:t>’</w:t>
      </w:r>
      <w:r w:rsidRPr="00D26328">
        <w:rPr>
          <w:lang w:val="fr-FR"/>
        </w:rPr>
        <w:t xml:space="preserve">une homologation de type conformément au Règlement ONU </w:t>
      </w:r>
      <w:r w:rsidRPr="00D26328">
        <w:rPr>
          <w:rFonts w:eastAsia="MS Mincho"/>
          <w:szCs w:val="22"/>
          <w:lang w:val="fr-FR"/>
        </w:rPr>
        <w:t>n</w:t>
      </w:r>
      <w:r w:rsidRPr="00D2632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26328">
        <w:rPr>
          <w:lang w:val="fr-FR"/>
        </w:rPr>
        <w:t>62. Il semble nécessaire, en corrélation avec cette adoption, d</w:t>
      </w:r>
      <w:r w:rsidR="00DE6B28">
        <w:rPr>
          <w:lang w:val="fr-FR"/>
        </w:rPr>
        <w:t>’</w:t>
      </w:r>
      <w:r w:rsidRPr="00D26328">
        <w:rPr>
          <w:lang w:val="fr-FR"/>
        </w:rPr>
        <w:t>ajouter les prescriptions de compatibilité électromagnétique énoncées dans le Règlement ONU</w:t>
      </w:r>
      <w:r>
        <w:rPr>
          <w:lang w:val="fr-FR"/>
        </w:rPr>
        <w:t> </w:t>
      </w:r>
      <w:r w:rsidRPr="00D26328">
        <w:rPr>
          <w:rFonts w:eastAsia="MS Mincho"/>
          <w:szCs w:val="22"/>
          <w:lang w:val="fr-FR"/>
        </w:rPr>
        <w:t>n</w:t>
      </w:r>
      <w:r w:rsidRPr="00D2632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26328">
        <w:rPr>
          <w:lang w:val="fr-FR"/>
        </w:rPr>
        <w:t>10 et déjà appliquées dans le Règlement</w:t>
      </w:r>
      <w:r>
        <w:rPr>
          <w:lang w:val="fr-FR"/>
        </w:rPr>
        <w:t> </w:t>
      </w:r>
      <w:r w:rsidR="00DE6B28" w:rsidRPr="00DE6B28">
        <w:rPr>
          <w:rFonts w:eastAsia="MS Mincho"/>
          <w:szCs w:val="22"/>
          <w:lang w:val="fr-FR"/>
        </w:rPr>
        <w:t>n</w:t>
      </w:r>
      <w:r w:rsidR="00DE6B28" w:rsidRPr="00DE6B28">
        <w:rPr>
          <w:rFonts w:eastAsia="MS Mincho"/>
          <w:szCs w:val="22"/>
          <w:vertAlign w:val="superscript"/>
          <w:lang w:val="fr-FR"/>
        </w:rPr>
        <w:t>o</w:t>
      </w:r>
      <w:r w:rsidR="00DE6B28">
        <w:rPr>
          <w:lang w:val="fr-FR"/>
        </w:rPr>
        <w:t> </w:t>
      </w:r>
      <w:r w:rsidRPr="00D26328">
        <w:rPr>
          <w:lang w:val="fr-FR"/>
        </w:rPr>
        <w:t>116. La France propose de le faire dans une nouvelle série d</w:t>
      </w:r>
      <w:r w:rsidR="00DE6B28">
        <w:rPr>
          <w:lang w:val="fr-FR"/>
        </w:rPr>
        <w:t>’</w:t>
      </w:r>
      <w:r w:rsidRPr="00D26328">
        <w:rPr>
          <w:lang w:val="fr-FR"/>
        </w:rPr>
        <w:t>amendements.</w:t>
      </w:r>
    </w:p>
    <w:p w14:paraId="7869BC7E" w14:textId="77777777" w:rsidR="00D26328" w:rsidRPr="00D26328" w:rsidRDefault="00D26328" w:rsidP="00D26328">
      <w:pPr>
        <w:pStyle w:val="SingleTxtG"/>
      </w:pPr>
      <w:r w:rsidRPr="00D26328">
        <w:rPr>
          <w:lang w:val="fr-FR"/>
        </w:rPr>
        <w:t>2.</w:t>
      </w:r>
      <w:r w:rsidRPr="00D26328">
        <w:rPr>
          <w:lang w:val="fr-FR"/>
        </w:rPr>
        <w:tab/>
        <w:t>La conformité aux prescriptions du Règlement ONU</w:t>
      </w:r>
      <w:r>
        <w:rPr>
          <w:lang w:val="fr-FR"/>
        </w:rPr>
        <w:t> </w:t>
      </w:r>
      <w:r w:rsidRPr="00D26328">
        <w:rPr>
          <w:lang w:val="fr-FR"/>
        </w:rPr>
        <w:t>n</w:t>
      </w:r>
      <w:r w:rsidRPr="00D26328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D26328">
        <w:rPr>
          <w:lang w:val="fr-FR"/>
        </w:rPr>
        <w:t>10 en matière de compatibilité électromagnétique est nécessaire pour préserver la sécurité du fonctionnement en cas d</w:t>
      </w:r>
      <w:r w:rsidR="00DE6B28">
        <w:rPr>
          <w:lang w:val="fr-FR"/>
        </w:rPr>
        <w:t>’</w:t>
      </w:r>
      <w:r w:rsidRPr="00D26328">
        <w:rPr>
          <w:lang w:val="fr-FR"/>
        </w:rPr>
        <w:t>installation de dispositifs électroniques, comme cela a déjà été indiqué au paragraphe 5.11. Cette proposition renvoie donc aux spécifications et méthodes d</w:t>
      </w:r>
      <w:r w:rsidR="00DE6B28">
        <w:rPr>
          <w:lang w:val="fr-FR"/>
        </w:rPr>
        <w:t>’</w:t>
      </w:r>
      <w:r w:rsidRPr="00D26328">
        <w:rPr>
          <w:lang w:val="fr-FR"/>
        </w:rPr>
        <w:t>essai applicables en matière d</w:t>
      </w:r>
      <w:r w:rsidR="00DE6B28">
        <w:rPr>
          <w:lang w:val="fr-FR"/>
        </w:rPr>
        <w:t>’</w:t>
      </w:r>
      <w:r w:rsidRPr="00D26328">
        <w:rPr>
          <w:lang w:val="fr-FR"/>
        </w:rPr>
        <w:t>immunité et d</w:t>
      </w:r>
      <w:r w:rsidR="00DE6B28">
        <w:rPr>
          <w:lang w:val="fr-FR"/>
        </w:rPr>
        <w:t>’</w:t>
      </w:r>
      <w:r w:rsidRPr="00D26328">
        <w:rPr>
          <w:lang w:val="fr-FR"/>
        </w:rPr>
        <w:t xml:space="preserve">émission figurant dans le Règlement </w:t>
      </w:r>
      <w:r>
        <w:rPr>
          <w:lang w:val="fr-FR"/>
        </w:rPr>
        <w:t xml:space="preserve">ONU </w:t>
      </w:r>
      <w:r w:rsidRPr="00D26328">
        <w:rPr>
          <w:rFonts w:eastAsia="MS Mincho"/>
          <w:szCs w:val="22"/>
          <w:lang w:val="fr-FR"/>
        </w:rPr>
        <w:t>n</w:t>
      </w:r>
      <w:r w:rsidRPr="00D26328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D26328">
        <w:rPr>
          <w:lang w:val="fr-FR"/>
        </w:rPr>
        <w:t>10.</w:t>
      </w:r>
    </w:p>
    <w:p w14:paraId="0B712B0F" w14:textId="77777777" w:rsidR="00D26328" w:rsidRDefault="00D26328" w:rsidP="00D26328">
      <w:pPr>
        <w:pStyle w:val="SingleTxtG"/>
        <w:rPr>
          <w:lang w:val="fr-FR"/>
        </w:rPr>
      </w:pPr>
      <w:r w:rsidRPr="00D26328">
        <w:rPr>
          <w:lang w:val="fr-FR"/>
        </w:rPr>
        <w:t>3.</w:t>
      </w:r>
      <w:r w:rsidRPr="00D26328">
        <w:rPr>
          <w:lang w:val="fr-FR"/>
        </w:rPr>
        <w:tab/>
        <w:t>Une approche similaire est déjà en vigueur en Europe pour les véhicules de la catégorie L, en vertu des dispositions de l</w:t>
      </w:r>
      <w:r w:rsidR="00DE6B28">
        <w:rPr>
          <w:lang w:val="fr-FR"/>
        </w:rPr>
        <w:t>’</w:t>
      </w:r>
      <w:r w:rsidRPr="00D26328">
        <w:rPr>
          <w:lang w:val="fr-FR"/>
        </w:rPr>
        <w:t>annexe</w:t>
      </w:r>
      <w:r>
        <w:rPr>
          <w:lang w:val="fr-FR"/>
        </w:rPr>
        <w:t> </w:t>
      </w:r>
      <w:r w:rsidRPr="00D26328">
        <w:rPr>
          <w:lang w:val="fr-FR"/>
        </w:rPr>
        <w:t xml:space="preserve">VII du Règlement délégué UE </w:t>
      </w:r>
      <w:r w:rsidRPr="00D26328">
        <w:rPr>
          <w:rFonts w:eastAsia="MS Mincho"/>
          <w:szCs w:val="22"/>
          <w:lang w:val="fr-FR"/>
        </w:rPr>
        <w:t>n</w:t>
      </w:r>
      <w:r w:rsidRPr="00D26328">
        <w:rPr>
          <w:rFonts w:eastAsia="MS Mincho"/>
          <w:szCs w:val="22"/>
          <w:vertAlign w:val="superscript"/>
          <w:lang w:val="fr-FR"/>
        </w:rPr>
        <w:t>o</w:t>
      </w:r>
      <w:r>
        <w:rPr>
          <w:rFonts w:eastAsia="MS Mincho"/>
          <w:szCs w:val="22"/>
          <w:vertAlign w:val="superscript"/>
          <w:lang w:val="fr-FR"/>
        </w:rPr>
        <w:t> </w:t>
      </w:r>
      <w:r w:rsidRPr="00D26328">
        <w:rPr>
          <w:lang w:val="fr-FR"/>
        </w:rPr>
        <w:t>44/2014.</w:t>
      </w:r>
    </w:p>
    <w:p w14:paraId="0F8D868A" w14:textId="77777777" w:rsidR="00D26328" w:rsidRPr="00D26328" w:rsidRDefault="00D26328" w:rsidP="00D2632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6328" w:rsidRPr="00D26328" w:rsidSect="00D263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E524" w14:textId="77777777" w:rsidR="0001204A" w:rsidRDefault="0001204A" w:rsidP="00F95C08">
      <w:pPr>
        <w:spacing w:line="240" w:lineRule="auto"/>
      </w:pPr>
    </w:p>
  </w:endnote>
  <w:endnote w:type="continuationSeparator" w:id="0">
    <w:p w14:paraId="28E26962" w14:textId="77777777" w:rsidR="0001204A" w:rsidRPr="00AC3823" w:rsidRDefault="0001204A" w:rsidP="00AC3823">
      <w:pPr>
        <w:pStyle w:val="Footer"/>
      </w:pPr>
    </w:p>
  </w:endnote>
  <w:endnote w:type="continuationNotice" w:id="1">
    <w:p w14:paraId="1E4BA9F0" w14:textId="77777777" w:rsidR="0001204A" w:rsidRDefault="000120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4804" w14:textId="77777777" w:rsidR="00D26328" w:rsidRPr="00D26328" w:rsidRDefault="00D26328" w:rsidP="00D26328">
    <w:pPr>
      <w:pStyle w:val="Footer"/>
      <w:tabs>
        <w:tab w:val="right" w:pos="9638"/>
      </w:tabs>
    </w:pPr>
    <w:r w:rsidRPr="00D26328">
      <w:rPr>
        <w:b/>
        <w:sz w:val="18"/>
      </w:rPr>
      <w:fldChar w:fldCharType="begin"/>
    </w:r>
    <w:r w:rsidRPr="00D26328">
      <w:rPr>
        <w:b/>
        <w:sz w:val="18"/>
      </w:rPr>
      <w:instrText xml:space="preserve"> PAGE  \* MERGEFORMAT </w:instrText>
    </w:r>
    <w:r w:rsidRPr="00D26328">
      <w:rPr>
        <w:b/>
        <w:sz w:val="18"/>
      </w:rPr>
      <w:fldChar w:fldCharType="separate"/>
    </w:r>
    <w:r w:rsidRPr="00D26328">
      <w:rPr>
        <w:b/>
        <w:noProof/>
        <w:sz w:val="18"/>
      </w:rPr>
      <w:t>2</w:t>
    </w:r>
    <w:r w:rsidRPr="00D26328">
      <w:rPr>
        <w:b/>
        <w:sz w:val="18"/>
      </w:rPr>
      <w:fldChar w:fldCharType="end"/>
    </w:r>
    <w:r>
      <w:rPr>
        <w:b/>
        <w:sz w:val="18"/>
      </w:rPr>
      <w:tab/>
    </w:r>
    <w:r>
      <w:t>GE.19-12293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04E6" w14:textId="77777777" w:rsidR="00D26328" w:rsidRPr="00D26328" w:rsidRDefault="00D26328" w:rsidP="00D26328">
    <w:pPr>
      <w:pStyle w:val="Footer"/>
      <w:tabs>
        <w:tab w:val="right" w:pos="9638"/>
      </w:tabs>
      <w:rPr>
        <w:b/>
        <w:sz w:val="18"/>
      </w:rPr>
    </w:pPr>
    <w:r>
      <w:t>GE.19-12293</w:t>
    </w:r>
    <w:r>
      <w:tab/>
    </w:r>
    <w:r w:rsidRPr="00D26328">
      <w:rPr>
        <w:b/>
        <w:sz w:val="18"/>
      </w:rPr>
      <w:fldChar w:fldCharType="begin"/>
    </w:r>
    <w:r w:rsidRPr="00D26328">
      <w:rPr>
        <w:b/>
        <w:sz w:val="18"/>
      </w:rPr>
      <w:instrText xml:space="preserve"> PAGE  \* MERGEFORMAT </w:instrText>
    </w:r>
    <w:r w:rsidRPr="00D26328">
      <w:rPr>
        <w:b/>
        <w:sz w:val="18"/>
      </w:rPr>
      <w:fldChar w:fldCharType="separate"/>
    </w:r>
    <w:r w:rsidRPr="00D26328">
      <w:rPr>
        <w:b/>
        <w:noProof/>
        <w:sz w:val="18"/>
      </w:rPr>
      <w:t>3</w:t>
    </w:r>
    <w:r w:rsidRPr="00D263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0D4A" w14:textId="77777777" w:rsidR="007F20FA" w:rsidRPr="00D26328" w:rsidRDefault="00D26328" w:rsidP="00D2632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DB00371" wp14:editId="7480DAC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12293  (</w:t>
    </w:r>
    <w:proofErr w:type="gramEnd"/>
    <w:r>
      <w:rPr>
        <w:sz w:val="20"/>
      </w:rPr>
      <w:t>F)    200819    210819</w:t>
    </w:r>
    <w:r>
      <w:rPr>
        <w:sz w:val="20"/>
      </w:rPr>
      <w:br/>
    </w:r>
    <w:r w:rsidRPr="00D26328">
      <w:rPr>
        <w:rFonts w:ascii="C39T30Lfz" w:hAnsi="C39T30Lfz"/>
        <w:sz w:val="56"/>
      </w:rPr>
      <w:t></w:t>
    </w:r>
    <w:r w:rsidRPr="00D26328">
      <w:rPr>
        <w:rFonts w:ascii="C39T30Lfz" w:hAnsi="C39T30Lfz"/>
        <w:sz w:val="56"/>
      </w:rPr>
      <w:t></w:t>
    </w:r>
    <w:r w:rsidRPr="00D26328">
      <w:rPr>
        <w:rFonts w:ascii="C39T30Lfz" w:hAnsi="C39T30Lfz"/>
        <w:sz w:val="56"/>
      </w:rPr>
      <w:t></w:t>
    </w:r>
    <w:r w:rsidRPr="00D26328">
      <w:rPr>
        <w:rFonts w:ascii="C39T30Lfz" w:hAnsi="C39T30Lfz"/>
        <w:sz w:val="56"/>
      </w:rPr>
      <w:t></w:t>
    </w:r>
    <w:r w:rsidRPr="00D26328">
      <w:rPr>
        <w:rFonts w:ascii="C39T30Lfz" w:hAnsi="C39T30Lfz"/>
        <w:sz w:val="56"/>
      </w:rPr>
      <w:t></w:t>
    </w:r>
    <w:r w:rsidRPr="00D26328">
      <w:rPr>
        <w:rFonts w:ascii="C39T30Lfz" w:hAnsi="C39T30Lfz"/>
        <w:sz w:val="56"/>
      </w:rPr>
      <w:t></w:t>
    </w:r>
    <w:r w:rsidRPr="00D26328">
      <w:rPr>
        <w:rFonts w:ascii="C39T30Lfz" w:hAnsi="C39T30Lfz"/>
        <w:sz w:val="56"/>
      </w:rPr>
      <w:t></w:t>
    </w:r>
    <w:r w:rsidRPr="00D26328">
      <w:rPr>
        <w:rFonts w:ascii="C39T30Lfz" w:hAnsi="C39T30Lfz"/>
        <w:sz w:val="56"/>
      </w:rPr>
      <w:t></w:t>
    </w:r>
    <w:r w:rsidRPr="00D2632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E56884C" wp14:editId="28B78A7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9E69" w14:textId="77777777" w:rsidR="0001204A" w:rsidRPr="00AC3823" w:rsidRDefault="000120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F45FA3" w14:textId="77777777" w:rsidR="0001204A" w:rsidRPr="00AC3823" w:rsidRDefault="000120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C69C8A" w14:textId="77777777" w:rsidR="0001204A" w:rsidRPr="00AC3823" w:rsidRDefault="0001204A">
      <w:pPr>
        <w:spacing w:line="240" w:lineRule="auto"/>
        <w:rPr>
          <w:sz w:val="2"/>
          <w:szCs w:val="2"/>
        </w:rPr>
      </w:pPr>
    </w:p>
  </w:footnote>
  <w:footnote w:id="2">
    <w:p w14:paraId="24482D02" w14:textId="77777777" w:rsidR="00D26328" w:rsidRPr="008E55EF" w:rsidRDefault="00D26328" w:rsidP="00D26328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2018-2019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DB82" w14:textId="2C7AB288" w:rsidR="00D26328" w:rsidRPr="00D26328" w:rsidRDefault="00067BF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F0BE" w14:textId="331805AA" w:rsidR="00D26328" w:rsidRPr="00D26328" w:rsidRDefault="00067BF8" w:rsidP="00D2632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A"/>
    <w:rsid w:val="0001204A"/>
    <w:rsid w:val="00017F94"/>
    <w:rsid w:val="00023842"/>
    <w:rsid w:val="000334F9"/>
    <w:rsid w:val="00045FEB"/>
    <w:rsid w:val="000571FA"/>
    <w:rsid w:val="00067BF8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2A8A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26328"/>
    <w:rsid w:val="00D3439C"/>
    <w:rsid w:val="00DA2A4A"/>
    <w:rsid w:val="00DB1831"/>
    <w:rsid w:val="00DD3BFD"/>
    <w:rsid w:val="00DE6B28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4C9C0"/>
  <w15:docId w15:val="{CD02EA7C-2C62-45B4-96E0-0593BBD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ECE/TRANS/WP.29/GRSG/2019/24</vt:lpstr>
      <vt:lpstr>ECE/TRANS/WP.29/GRSG/2019/24</vt:lpstr>
    </vt:vector>
  </TitlesOfParts>
  <Company>DCM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ECE/TRANS/WP.29/GRSG/2019/24</dc:title>
  <dc:subject/>
  <dc:creator>Edith BOURION</dc:creator>
  <cp:keywords/>
  <cp:lastModifiedBy>Marie-Claude Collet</cp:lastModifiedBy>
  <cp:revision>3</cp:revision>
  <cp:lastPrinted>2019-08-30T06:46:00Z</cp:lastPrinted>
  <dcterms:created xsi:type="dcterms:W3CDTF">2019-08-30T06:46:00Z</dcterms:created>
  <dcterms:modified xsi:type="dcterms:W3CDTF">2019-08-30T06:46:00Z</dcterms:modified>
</cp:coreProperties>
</file>