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ED50B4" w14:paraId="3DE7498B" w14:textId="77777777" w:rsidTr="00B20551">
        <w:trPr>
          <w:cantSplit/>
          <w:trHeight w:hRule="exact" w:val="851"/>
        </w:trPr>
        <w:tc>
          <w:tcPr>
            <w:tcW w:w="1276" w:type="dxa"/>
            <w:tcBorders>
              <w:bottom w:val="single" w:sz="4" w:space="0" w:color="auto"/>
            </w:tcBorders>
            <w:vAlign w:val="bottom"/>
          </w:tcPr>
          <w:p w14:paraId="0714A9CE" w14:textId="77777777" w:rsidR="009E6CB7" w:rsidRPr="00ED50B4" w:rsidRDefault="009E6CB7" w:rsidP="00B20551">
            <w:pPr>
              <w:spacing w:after="80"/>
            </w:pPr>
          </w:p>
        </w:tc>
        <w:tc>
          <w:tcPr>
            <w:tcW w:w="2268" w:type="dxa"/>
            <w:tcBorders>
              <w:bottom w:val="single" w:sz="4" w:space="0" w:color="auto"/>
            </w:tcBorders>
            <w:vAlign w:val="bottom"/>
          </w:tcPr>
          <w:p w14:paraId="3EC2F13E" w14:textId="77777777" w:rsidR="009E6CB7" w:rsidRPr="00ED50B4" w:rsidRDefault="009E6CB7" w:rsidP="00B20551">
            <w:pPr>
              <w:spacing w:after="80" w:line="300" w:lineRule="exact"/>
              <w:rPr>
                <w:b/>
                <w:sz w:val="24"/>
                <w:szCs w:val="24"/>
              </w:rPr>
            </w:pPr>
            <w:r w:rsidRPr="00ED50B4">
              <w:rPr>
                <w:sz w:val="28"/>
                <w:szCs w:val="28"/>
              </w:rPr>
              <w:t>United Nations</w:t>
            </w:r>
          </w:p>
        </w:tc>
        <w:tc>
          <w:tcPr>
            <w:tcW w:w="6095" w:type="dxa"/>
            <w:gridSpan w:val="2"/>
            <w:tcBorders>
              <w:bottom w:val="single" w:sz="4" w:space="0" w:color="auto"/>
            </w:tcBorders>
            <w:vAlign w:val="bottom"/>
          </w:tcPr>
          <w:p w14:paraId="57ADB435" w14:textId="77777777" w:rsidR="009E6CB7" w:rsidRPr="00ED50B4" w:rsidRDefault="0039621D" w:rsidP="0039621D">
            <w:pPr>
              <w:jc w:val="right"/>
            </w:pPr>
            <w:r w:rsidRPr="00ED50B4">
              <w:rPr>
                <w:sz w:val="40"/>
              </w:rPr>
              <w:t>ECE</w:t>
            </w:r>
            <w:r w:rsidRPr="00ED50B4">
              <w:t>/TRANS/WP.29/GRSP/2019/20</w:t>
            </w:r>
          </w:p>
        </w:tc>
      </w:tr>
      <w:tr w:rsidR="009E6CB7" w:rsidRPr="00ED50B4" w14:paraId="374E9E6F" w14:textId="77777777" w:rsidTr="00B20551">
        <w:trPr>
          <w:cantSplit/>
          <w:trHeight w:hRule="exact" w:val="2835"/>
        </w:trPr>
        <w:tc>
          <w:tcPr>
            <w:tcW w:w="1276" w:type="dxa"/>
            <w:tcBorders>
              <w:top w:val="single" w:sz="4" w:space="0" w:color="auto"/>
              <w:bottom w:val="single" w:sz="12" w:space="0" w:color="auto"/>
            </w:tcBorders>
          </w:tcPr>
          <w:p w14:paraId="6CFD2FBC" w14:textId="77777777" w:rsidR="009E6CB7" w:rsidRPr="00ED50B4" w:rsidRDefault="00686A48" w:rsidP="00B20551">
            <w:pPr>
              <w:spacing w:before="120"/>
            </w:pPr>
            <w:r w:rsidRPr="00E71624">
              <w:rPr>
                <w:noProof/>
                <w:lang w:val="en-US" w:eastAsia="zh-CN"/>
              </w:rPr>
              <w:drawing>
                <wp:inline distT="0" distB="0" distL="0" distR="0" wp14:anchorId="62390159" wp14:editId="3FF5A9A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1D421F" w14:textId="77777777" w:rsidR="009E6CB7" w:rsidRPr="00ED50B4" w:rsidRDefault="009E6CB7" w:rsidP="00B20551">
            <w:pPr>
              <w:spacing w:before="120" w:line="420" w:lineRule="exact"/>
              <w:rPr>
                <w:sz w:val="40"/>
                <w:szCs w:val="40"/>
              </w:rPr>
            </w:pPr>
            <w:r w:rsidRPr="00ED50B4">
              <w:rPr>
                <w:b/>
                <w:sz w:val="40"/>
                <w:szCs w:val="40"/>
              </w:rPr>
              <w:t>Economic and Social Council</w:t>
            </w:r>
          </w:p>
        </w:tc>
        <w:tc>
          <w:tcPr>
            <w:tcW w:w="2835" w:type="dxa"/>
            <w:tcBorders>
              <w:top w:val="single" w:sz="4" w:space="0" w:color="auto"/>
              <w:bottom w:val="single" w:sz="12" w:space="0" w:color="auto"/>
            </w:tcBorders>
          </w:tcPr>
          <w:p w14:paraId="257E7ECC" w14:textId="77777777" w:rsidR="009E6CB7" w:rsidRPr="00ED50B4" w:rsidRDefault="0039621D" w:rsidP="0039621D">
            <w:pPr>
              <w:spacing w:before="240" w:line="240" w:lineRule="exact"/>
            </w:pPr>
            <w:r w:rsidRPr="00ED50B4">
              <w:t xml:space="preserve">Distr.: General </w:t>
            </w:r>
          </w:p>
          <w:p w14:paraId="00D3224B" w14:textId="77777777" w:rsidR="0039621D" w:rsidRPr="00ED50B4" w:rsidRDefault="00AF587D" w:rsidP="0039621D">
            <w:pPr>
              <w:spacing w:line="240" w:lineRule="exact"/>
            </w:pPr>
            <w:r>
              <w:t>26</w:t>
            </w:r>
            <w:r w:rsidR="0039621D" w:rsidRPr="00ED50B4">
              <w:t xml:space="preserve"> September 2019</w:t>
            </w:r>
          </w:p>
          <w:p w14:paraId="3ED743FB" w14:textId="77777777" w:rsidR="0039621D" w:rsidRPr="00ED50B4" w:rsidRDefault="0039621D" w:rsidP="0039621D">
            <w:pPr>
              <w:spacing w:line="240" w:lineRule="exact"/>
            </w:pPr>
          </w:p>
          <w:p w14:paraId="6357B884" w14:textId="77777777" w:rsidR="0039621D" w:rsidRPr="00ED50B4" w:rsidRDefault="0039621D" w:rsidP="0039621D">
            <w:pPr>
              <w:spacing w:line="240" w:lineRule="exact"/>
            </w:pPr>
            <w:r w:rsidRPr="00ED50B4">
              <w:t>Original: English</w:t>
            </w:r>
          </w:p>
        </w:tc>
      </w:tr>
    </w:tbl>
    <w:p w14:paraId="5E20D32D" w14:textId="77777777" w:rsidR="0039621D" w:rsidRPr="00ED50B4" w:rsidRDefault="0039621D" w:rsidP="0039621D">
      <w:pPr>
        <w:rPr>
          <w:b/>
          <w:sz w:val="28"/>
          <w:szCs w:val="28"/>
        </w:rPr>
      </w:pPr>
      <w:r w:rsidRPr="00ED50B4">
        <w:rPr>
          <w:b/>
          <w:sz w:val="28"/>
          <w:szCs w:val="28"/>
        </w:rPr>
        <w:t>Economic Commission for Europe</w:t>
      </w:r>
    </w:p>
    <w:p w14:paraId="2C5250CC" w14:textId="77777777" w:rsidR="0039621D" w:rsidRPr="00ED50B4" w:rsidRDefault="0039621D" w:rsidP="0039621D">
      <w:pPr>
        <w:spacing w:before="120"/>
        <w:rPr>
          <w:sz w:val="28"/>
          <w:szCs w:val="28"/>
        </w:rPr>
      </w:pPr>
      <w:r w:rsidRPr="00ED50B4">
        <w:rPr>
          <w:sz w:val="28"/>
          <w:szCs w:val="28"/>
        </w:rPr>
        <w:t>Inland Transport Committee</w:t>
      </w:r>
    </w:p>
    <w:p w14:paraId="6CF267B7" w14:textId="77777777" w:rsidR="0039621D" w:rsidRPr="00ED50B4" w:rsidRDefault="0039621D" w:rsidP="0039621D">
      <w:pPr>
        <w:spacing w:before="120"/>
        <w:rPr>
          <w:b/>
          <w:sz w:val="24"/>
          <w:szCs w:val="24"/>
        </w:rPr>
      </w:pPr>
      <w:r w:rsidRPr="00ED50B4">
        <w:rPr>
          <w:b/>
          <w:sz w:val="24"/>
          <w:szCs w:val="24"/>
        </w:rPr>
        <w:t>World Forum for Harmonization of Vehicle Regulations</w:t>
      </w:r>
    </w:p>
    <w:p w14:paraId="2A81CDDE" w14:textId="77777777" w:rsidR="0039621D" w:rsidRPr="00ED50B4" w:rsidRDefault="0039621D" w:rsidP="0039621D">
      <w:pPr>
        <w:spacing w:before="120"/>
        <w:rPr>
          <w:b/>
        </w:rPr>
      </w:pPr>
      <w:r w:rsidRPr="00ED50B4">
        <w:rPr>
          <w:b/>
        </w:rPr>
        <w:t>Working Party on Passive Safety</w:t>
      </w:r>
    </w:p>
    <w:p w14:paraId="50C39730" w14:textId="77777777" w:rsidR="0039621D" w:rsidRPr="00ED50B4" w:rsidRDefault="0039621D" w:rsidP="0039621D">
      <w:pPr>
        <w:spacing w:before="120"/>
        <w:rPr>
          <w:b/>
        </w:rPr>
      </w:pPr>
      <w:r w:rsidRPr="00ED50B4">
        <w:rPr>
          <w:b/>
        </w:rPr>
        <w:t xml:space="preserve">Sixty-sixth session </w:t>
      </w:r>
    </w:p>
    <w:p w14:paraId="7A8BE899" w14:textId="4B68ABDB" w:rsidR="0039621D" w:rsidRPr="00ED50B4" w:rsidRDefault="0039621D" w:rsidP="0039621D">
      <w:pPr>
        <w:rPr>
          <w:bCs/>
        </w:rPr>
      </w:pPr>
      <w:r w:rsidRPr="00ED50B4">
        <w:rPr>
          <w:bCs/>
        </w:rPr>
        <w:t>Geneva, 10</w:t>
      </w:r>
      <w:r w:rsidR="00275642">
        <w:t>-</w:t>
      </w:r>
      <w:r w:rsidRPr="00ED50B4">
        <w:rPr>
          <w:bCs/>
        </w:rPr>
        <w:t>13 December 2019</w:t>
      </w:r>
    </w:p>
    <w:p w14:paraId="64671F74" w14:textId="77777777" w:rsidR="0039621D" w:rsidRPr="00ED50B4" w:rsidRDefault="0039621D" w:rsidP="0039621D">
      <w:pPr>
        <w:rPr>
          <w:bCs/>
        </w:rPr>
      </w:pPr>
      <w:r w:rsidRPr="00ED50B4">
        <w:rPr>
          <w:bCs/>
        </w:rPr>
        <w:t>Item 2 of the provisional agenda</w:t>
      </w:r>
    </w:p>
    <w:p w14:paraId="632E984E" w14:textId="77777777" w:rsidR="0039621D" w:rsidRPr="00ED50B4" w:rsidRDefault="0039621D" w:rsidP="0039621D">
      <w:pPr>
        <w:rPr>
          <w:b/>
          <w:bCs/>
        </w:rPr>
      </w:pPr>
      <w:r w:rsidRPr="00ED50B4">
        <w:rPr>
          <w:b/>
          <w:bCs/>
        </w:rPr>
        <w:t>UN Global Technical Regulation No. 7 (Head restraints)</w:t>
      </w:r>
    </w:p>
    <w:p w14:paraId="0D95C926" w14:textId="77777777" w:rsidR="0039621D" w:rsidRPr="00ED50B4" w:rsidRDefault="0039621D" w:rsidP="0039621D">
      <w:pPr>
        <w:pStyle w:val="HChG"/>
        <w:rPr>
          <w:bCs/>
        </w:rPr>
      </w:pPr>
      <w:r w:rsidRPr="00ED50B4">
        <w:tab/>
      </w:r>
      <w:r w:rsidRPr="00ED50B4">
        <w:tab/>
      </w:r>
      <w:r w:rsidRPr="00ED50B4">
        <w:rPr>
          <w:bCs/>
        </w:rPr>
        <w:t>Proposal for Amendment 1 of Phase 2 of UN Global Technical Regulation No. 7 (Head restraints)</w:t>
      </w:r>
    </w:p>
    <w:p w14:paraId="46525DFE" w14:textId="77777777" w:rsidR="0039621D" w:rsidRPr="00ED50B4" w:rsidRDefault="0039621D" w:rsidP="0039621D">
      <w:pPr>
        <w:pStyle w:val="H1G"/>
      </w:pPr>
      <w:r w:rsidRPr="00ED50B4">
        <w:tab/>
      </w:r>
      <w:r w:rsidRPr="00ED50B4">
        <w:tab/>
      </w:r>
      <w:r w:rsidRPr="00ED50B4">
        <w:rPr>
          <w:rFonts w:eastAsia="MS Mincho"/>
          <w:lang w:eastAsia="en-US"/>
        </w:rPr>
        <w:t xml:space="preserve">Submitted by the expert from the European Association of Automotive Suppliers </w:t>
      </w:r>
      <w:r w:rsidRPr="00ED50B4">
        <w:rPr>
          <w:rStyle w:val="FootnoteReference"/>
          <w:sz w:val="20"/>
        </w:rPr>
        <w:footnoteReference w:customMarkFollows="1" w:id="2"/>
        <w:t>*</w:t>
      </w:r>
    </w:p>
    <w:p w14:paraId="60ECB309" w14:textId="77777777" w:rsidR="0039621D" w:rsidRPr="00E71624" w:rsidRDefault="0039621D" w:rsidP="0039621D">
      <w:pPr>
        <w:pStyle w:val="SingleTxtG"/>
        <w:ind w:firstLine="567"/>
      </w:pPr>
      <w:r w:rsidRPr="00ED50B4">
        <w:rPr>
          <w:snapToGrid w:val="0"/>
        </w:rPr>
        <w:t xml:space="preserve">The text reproduced below was prepared by the expert </w:t>
      </w:r>
      <w:r w:rsidRPr="00ED50B4">
        <w:rPr>
          <w:snapToGrid w:val="0"/>
          <w:color w:val="000000" w:themeColor="text1"/>
        </w:rPr>
        <w:t xml:space="preserve">from the European Association of Automotive Suppliers (CLEPA) </w:t>
      </w:r>
      <w:r w:rsidRPr="00ED50B4">
        <w:t>to amend the proposal of Amendment 1 (ECE/TRANS/WP.29/GRSP/2019/5</w:t>
      </w:r>
      <w:r w:rsidR="00ED50B4">
        <w:t>,</w:t>
      </w:r>
      <w:r w:rsidRPr="00ED50B4">
        <w:t xml:space="preserve"> amended by GRSP-65-24) to Global Technical Regulation N° 7</w:t>
      </w:r>
      <w:r w:rsidR="00ED50B4">
        <w:t>.</w:t>
      </w:r>
      <w:r w:rsidRPr="00ED50B4">
        <w:t xml:space="preserve"> Head Restraints proposed by Japan and the Informal Working Group on Phase 2 of Head Restraints.  This document is based on ECE/TRANS/WP.29/GRSP/2019/10</w:t>
      </w:r>
      <w:r w:rsidR="00400F4B" w:rsidRPr="00ED50B4">
        <w:t xml:space="preserve"> and supersedes it</w:t>
      </w:r>
      <w:r w:rsidRPr="00ED50B4">
        <w:t xml:space="preserve">. </w:t>
      </w:r>
      <w:r w:rsidR="00A03B6B" w:rsidRPr="00ED50B4">
        <w:t>The modifications to the existing text of the UN Global Technical Regulation No. 7 (ECE/TRANS/180/Add.7)</w:t>
      </w:r>
      <w:r w:rsidR="00A03B6B" w:rsidRPr="00ED50B4">
        <w:rPr>
          <w:iCs/>
        </w:rPr>
        <w:t xml:space="preserve"> </w:t>
      </w:r>
      <w:r w:rsidR="00A03B6B" w:rsidRPr="00ED50B4">
        <w:t>are marked in bold for new or strikethrough for deleted characters</w:t>
      </w:r>
      <w:r w:rsidR="00A03B6B" w:rsidRPr="00ED50B4">
        <w:rPr>
          <w:sz w:val="18"/>
        </w:rPr>
        <w:t>.</w:t>
      </w:r>
    </w:p>
    <w:p w14:paraId="739D5155" w14:textId="77777777" w:rsidR="00400F4B" w:rsidRPr="00ED50B4" w:rsidRDefault="00400F4B">
      <w:pPr>
        <w:suppressAutoHyphens w:val="0"/>
        <w:spacing w:line="240" w:lineRule="auto"/>
      </w:pPr>
      <w:r w:rsidRPr="00ED50B4">
        <w:br w:type="page"/>
      </w:r>
    </w:p>
    <w:p w14:paraId="75462DC0" w14:textId="77777777" w:rsidR="00400F4B" w:rsidRPr="00ED50B4" w:rsidRDefault="00DA460A" w:rsidP="00400F4B">
      <w:pPr>
        <w:pStyle w:val="HChG"/>
        <w:rPr>
          <w:bCs/>
        </w:rPr>
      </w:pPr>
      <w:r w:rsidRPr="00ED50B4">
        <w:rPr>
          <w:bCs/>
        </w:rPr>
        <w:lastRenderedPageBreak/>
        <w:tab/>
      </w:r>
      <w:r w:rsidR="00400F4B" w:rsidRPr="00ED50B4">
        <w:rPr>
          <w:bCs/>
        </w:rPr>
        <w:t>I.</w:t>
      </w:r>
      <w:r w:rsidR="00400F4B" w:rsidRPr="00ED50B4">
        <w:rPr>
          <w:bCs/>
        </w:rPr>
        <w:tab/>
      </w:r>
      <w:bookmarkStart w:id="0" w:name="_GoBack"/>
      <w:bookmarkEnd w:id="0"/>
      <w:r w:rsidR="00400F4B" w:rsidRPr="00ED50B4">
        <w:rPr>
          <w:bCs/>
        </w:rPr>
        <w:t>Proposal</w:t>
      </w:r>
    </w:p>
    <w:p w14:paraId="205612F7" w14:textId="77777777" w:rsidR="00400F4B" w:rsidRPr="00ED50B4" w:rsidRDefault="00400F4B" w:rsidP="00400F4B">
      <w:pPr>
        <w:spacing w:after="120"/>
        <w:ind w:left="1134" w:right="1134"/>
        <w:jc w:val="both"/>
        <w:rPr>
          <w:iCs/>
          <w:lang w:bidi="th-TH"/>
        </w:rPr>
      </w:pPr>
      <w:r w:rsidRPr="00ED50B4">
        <w:rPr>
          <w:i/>
          <w:lang w:bidi="th-TH"/>
        </w:rPr>
        <w:t>Paragraph 5.4.4.5</w:t>
      </w:r>
      <w:r w:rsidRPr="00ED50B4">
        <w:rPr>
          <w:iCs/>
          <w:lang w:bidi="th-TH"/>
        </w:rPr>
        <w:t>., amend to read:</w:t>
      </w:r>
    </w:p>
    <w:p w14:paraId="21225D15" w14:textId="77777777" w:rsidR="00400F4B" w:rsidRPr="00ED50B4" w:rsidRDefault="00400F4B" w:rsidP="00400F4B">
      <w:pPr>
        <w:spacing w:after="120"/>
        <w:ind w:left="2268" w:right="1134" w:hanging="1134"/>
        <w:jc w:val="both"/>
        <w:rPr>
          <w:lang w:bidi="th-TH"/>
        </w:rPr>
      </w:pPr>
      <w:r w:rsidRPr="00ED50B4">
        <w:rPr>
          <w:lang w:bidi="th-TH"/>
        </w:rPr>
        <w:t>"5.4.4.5.</w:t>
      </w:r>
      <w:r w:rsidRPr="00ED50B4">
        <w:rPr>
          <w:lang w:bidi="th-TH"/>
        </w:rPr>
        <w:tab/>
        <w:t xml:space="preserve">The </w:t>
      </w:r>
      <w:r w:rsidRPr="00ED50B4">
        <w:rPr>
          <w:b/>
          <w:bCs/>
          <w:lang w:eastAsia="zh-CN" w:bidi="th-TH"/>
        </w:rPr>
        <w:t>presence of a non-use position of a</w:t>
      </w:r>
      <w:r w:rsidRPr="00ED50B4">
        <w:rPr>
          <w:lang w:bidi="th-TH"/>
        </w:rPr>
        <w:t xml:space="preserve"> head restraint shall be marked with a label in the form of a pictogram which may include explanatory text. The label shall either provide an indication when the head restraint is in a non-use position or provide information to enable an occupant to determine whether the head restraint is in a non-use position.  The label shall be durably affixed and located such that it is clearly visible by an occupant when entering the vehicle to the designated seating position. </w:t>
      </w:r>
      <w:r w:rsidRPr="00ED50B4">
        <w:rPr>
          <w:b/>
          <w:lang w:eastAsia="zh-CN" w:bidi="th-TH"/>
        </w:rPr>
        <w:t>The number of labels is not requested to exceed the number of head restraints with non-use positions.</w:t>
      </w:r>
      <w:r w:rsidRPr="00ED50B4">
        <w:rPr>
          <w:bCs/>
          <w:lang w:eastAsia="zh-CN" w:bidi="th-TH"/>
        </w:rPr>
        <w:t xml:space="preserve">  </w:t>
      </w:r>
      <w:r w:rsidRPr="00ED50B4">
        <w:rPr>
          <w:lang w:bidi="th-TH"/>
        </w:rPr>
        <w:t>Examples of possible designs of pictograms are shown in Figure 1.</w:t>
      </w:r>
    </w:p>
    <w:p w14:paraId="3E59AFD1" w14:textId="77777777" w:rsidR="00400F4B" w:rsidRPr="00ED50B4" w:rsidRDefault="00400F4B" w:rsidP="00400F4B">
      <w:pPr>
        <w:spacing w:after="120"/>
        <w:ind w:left="2268" w:right="1134"/>
        <w:jc w:val="both"/>
        <w:rPr>
          <w:lang w:bidi="th-TH"/>
        </w:rPr>
      </w:pPr>
      <w:r w:rsidRPr="00ED50B4">
        <w:rPr>
          <w:lang w:bidi="th-TH"/>
        </w:rPr>
        <w:t>…"</w:t>
      </w:r>
    </w:p>
    <w:p w14:paraId="11BABFD1" w14:textId="77777777" w:rsidR="00400F4B" w:rsidRPr="00ED50B4" w:rsidRDefault="00400F4B" w:rsidP="00400F4B">
      <w:pPr>
        <w:spacing w:after="120"/>
        <w:ind w:left="1134" w:right="1134"/>
        <w:jc w:val="both"/>
        <w:rPr>
          <w:iCs/>
          <w:lang w:bidi="th-TH"/>
        </w:rPr>
      </w:pPr>
      <w:r w:rsidRPr="00ED50B4">
        <w:rPr>
          <w:i/>
          <w:lang w:bidi="th-TH"/>
        </w:rPr>
        <w:t>Annex 2, paragraph 2.1</w:t>
      </w:r>
      <w:r w:rsidRPr="00ED50B4">
        <w:rPr>
          <w:iCs/>
          <w:lang w:bidi="th-TH"/>
        </w:rPr>
        <w:t>., amend to read:</w:t>
      </w:r>
    </w:p>
    <w:p w14:paraId="445D7511" w14:textId="77777777" w:rsidR="00400F4B" w:rsidRPr="00ED50B4" w:rsidRDefault="00400F4B" w:rsidP="00400F4B">
      <w:pPr>
        <w:spacing w:after="120"/>
        <w:ind w:left="2268" w:right="1134" w:hanging="1134"/>
        <w:jc w:val="both"/>
        <w:rPr>
          <w:bCs/>
          <w:lang w:bidi="th-TH"/>
        </w:rPr>
      </w:pPr>
      <w:r w:rsidRPr="00ED50B4">
        <w:rPr>
          <w:bCs/>
          <w:lang w:bidi="th-TH"/>
        </w:rPr>
        <w:t>"2.1.</w:t>
      </w:r>
      <w:r w:rsidRPr="00ED50B4">
        <w:rPr>
          <w:bCs/>
          <w:lang w:bidi="th-TH"/>
        </w:rPr>
        <w:tab/>
        <w:t>The seat shall be adjusted such that its H-point coincides with the R-point; if the seat back is adjustable, it is set at the design seat back angle; both these adjustments shall be in accordance with the requirements of paragraph 2.1. of Annex 1.</w:t>
      </w:r>
    </w:p>
    <w:p w14:paraId="5060D33C" w14:textId="77777777" w:rsidR="00400F4B" w:rsidRPr="00ED50B4" w:rsidRDefault="00400F4B" w:rsidP="00400F4B">
      <w:pPr>
        <w:spacing w:after="120"/>
        <w:ind w:left="2268" w:right="1134" w:hanging="1134"/>
        <w:jc w:val="both"/>
        <w:rPr>
          <w:bCs/>
          <w:lang w:bidi="th-TH"/>
        </w:rPr>
      </w:pPr>
      <w:r w:rsidRPr="00ED50B4">
        <w:rPr>
          <w:b/>
          <w:lang w:bidi="th-TH"/>
        </w:rPr>
        <w:tab/>
        <w:t>The head restraint shall be adjusted to its highest and most rearward position relative to the seat back</w:t>
      </w:r>
      <w:r w:rsidRPr="00ED50B4">
        <w:rPr>
          <w:bCs/>
          <w:lang w:bidi="th-TH"/>
        </w:rPr>
        <w:t>."</w:t>
      </w:r>
    </w:p>
    <w:p w14:paraId="2D947845" w14:textId="77777777" w:rsidR="00400F4B" w:rsidRPr="00ED50B4" w:rsidRDefault="00400F4B" w:rsidP="00400F4B">
      <w:pPr>
        <w:spacing w:after="120"/>
        <w:ind w:left="1134" w:right="1134"/>
        <w:jc w:val="both"/>
        <w:rPr>
          <w:bCs/>
          <w:snapToGrid w:val="0"/>
          <w:lang w:bidi="th-TH"/>
        </w:rPr>
      </w:pPr>
      <w:r w:rsidRPr="00ED50B4">
        <w:rPr>
          <w:i/>
          <w:lang w:bidi="th-TH"/>
        </w:rPr>
        <w:t>Annex 3, paragraph 2.3</w:t>
      </w:r>
      <w:r w:rsidRPr="00ED50B4">
        <w:rPr>
          <w:iCs/>
          <w:lang w:bidi="th-TH"/>
        </w:rPr>
        <w:t>., amend to read:</w:t>
      </w:r>
    </w:p>
    <w:p w14:paraId="33D6AFE1" w14:textId="77777777" w:rsidR="00400F4B" w:rsidRPr="00ED50B4" w:rsidRDefault="00400F4B" w:rsidP="00400F4B">
      <w:pPr>
        <w:suppressAutoHyphens w:val="0"/>
        <w:snapToGrid w:val="0"/>
        <w:spacing w:after="120"/>
        <w:ind w:left="2268" w:right="1134" w:hanging="1134"/>
        <w:jc w:val="both"/>
        <w:rPr>
          <w:bCs/>
          <w:lang w:bidi="th-TH"/>
        </w:rPr>
      </w:pPr>
      <w:r w:rsidRPr="00ED50B4">
        <w:rPr>
          <w:bCs/>
          <w:lang w:bidi="th-TH"/>
        </w:rPr>
        <w:t>"2.3.</w:t>
      </w:r>
      <w:r w:rsidRPr="00ED50B4">
        <w:rPr>
          <w:bCs/>
          <w:lang w:bidi="th-TH"/>
        </w:rPr>
        <w:tab/>
        <w:t xml:space="preserve">The area of measurement is anywhere between two vertical longitudinal planes passing at 85 mm on either side of the torso line and above </w:t>
      </w:r>
      <w:r w:rsidRPr="00ED50B4">
        <w:rPr>
          <w:bCs/>
          <w:strike/>
          <w:lang w:bidi="th-TH"/>
        </w:rPr>
        <w:t>the top of the seat back</w:t>
      </w:r>
      <w:r w:rsidRPr="00ED50B4">
        <w:rPr>
          <w:bCs/>
          <w:lang w:bidi="th-TH"/>
        </w:rPr>
        <w:t xml:space="preserve"> </w:t>
      </w:r>
      <w:r w:rsidRPr="00ED50B4">
        <w:rPr>
          <w:b/>
          <w:lang w:bidi="th-TH"/>
        </w:rPr>
        <w:t>a height of 540 mm.</w:t>
      </w:r>
      <w:r w:rsidRPr="00ED50B4">
        <w:rPr>
          <w:bCs/>
          <w:lang w:bidi="th-TH"/>
        </w:rPr>
        <w:t>"</w:t>
      </w:r>
    </w:p>
    <w:p w14:paraId="4E262926" w14:textId="77777777" w:rsidR="00400F4B" w:rsidRPr="00ED50B4" w:rsidRDefault="00400F4B" w:rsidP="00400F4B">
      <w:pPr>
        <w:spacing w:after="120"/>
        <w:ind w:left="1134" w:right="1134"/>
        <w:jc w:val="both"/>
        <w:rPr>
          <w:bCs/>
          <w:snapToGrid w:val="0"/>
          <w:lang w:bidi="th-TH"/>
        </w:rPr>
      </w:pPr>
      <w:r w:rsidRPr="00ED50B4">
        <w:rPr>
          <w:i/>
          <w:lang w:bidi="th-TH"/>
        </w:rPr>
        <w:t>Annex 3, paragraph 2.5</w:t>
      </w:r>
      <w:r w:rsidRPr="00ED50B4">
        <w:rPr>
          <w:iCs/>
          <w:lang w:bidi="th-TH"/>
        </w:rPr>
        <w:t>., amend to read:</w:t>
      </w:r>
    </w:p>
    <w:p w14:paraId="29056B8D" w14:textId="77777777" w:rsidR="00400F4B" w:rsidRPr="00ED50B4" w:rsidRDefault="00400F4B" w:rsidP="00400F4B">
      <w:pPr>
        <w:suppressAutoHyphens w:val="0"/>
        <w:snapToGrid w:val="0"/>
        <w:spacing w:after="120"/>
        <w:ind w:left="2268" w:right="1134" w:hanging="1134"/>
        <w:jc w:val="both"/>
        <w:rPr>
          <w:bCs/>
          <w:lang w:bidi="th-TH"/>
        </w:rPr>
      </w:pPr>
      <w:r w:rsidRPr="00ED50B4">
        <w:rPr>
          <w:bCs/>
          <w:lang w:bidi="th-TH"/>
        </w:rPr>
        <w:t>"2.5.</w:t>
      </w:r>
      <w:r w:rsidRPr="00ED50B4">
        <w:rPr>
          <w:bCs/>
          <w:lang w:bidi="th-TH"/>
        </w:rPr>
        <w:tab/>
        <w:t>Determine the gap dimension by measuring the straight line distance between the inner edges of the two furthest contact points, as shown in Figures 3</w:t>
      </w:r>
      <w:r w:rsidRPr="00ED50B4">
        <w:rPr>
          <w:bCs/>
          <w:lang w:bidi="th-TH"/>
        </w:rPr>
        <w:noBreakHyphen/>
        <w:t>1</w:t>
      </w:r>
      <w:r w:rsidRPr="00ED50B4">
        <w:rPr>
          <w:b/>
          <w:lang w:bidi="th-TH"/>
        </w:rPr>
        <w:t>,</w:t>
      </w:r>
      <w:r w:rsidRPr="00ED50B4">
        <w:rPr>
          <w:bCs/>
          <w:lang w:bidi="th-TH"/>
        </w:rPr>
        <w:t xml:space="preserve"> </w:t>
      </w:r>
      <w:r w:rsidRPr="00ED50B4">
        <w:rPr>
          <w:bCs/>
          <w:strike/>
          <w:lang w:bidi="th-TH"/>
        </w:rPr>
        <w:t>and</w:t>
      </w:r>
      <w:r w:rsidRPr="00ED50B4">
        <w:rPr>
          <w:bCs/>
          <w:lang w:bidi="th-TH"/>
        </w:rPr>
        <w:t> 3</w:t>
      </w:r>
      <w:r w:rsidRPr="00ED50B4">
        <w:rPr>
          <w:bCs/>
          <w:lang w:bidi="th-TH"/>
        </w:rPr>
        <w:noBreakHyphen/>
        <w:t xml:space="preserve">2 </w:t>
      </w:r>
      <w:r w:rsidRPr="00ED50B4">
        <w:rPr>
          <w:b/>
          <w:lang w:bidi="th-TH"/>
        </w:rPr>
        <w:t>and 3-3</w:t>
      </w:r>
      <w:r w:rsidRPr="00ED50B4">
        <w:rPr>
          <w:bCs/>
          <w:lang w:bidi="th-TH"/>
        </w:rPr>
        <w:t>."</w:t>
      </w:r>
    </w:p>
    <w:p w14:paraId="4FFBC468" w14:textId="77777777" w:rsidR="00400F4B" w:rsidRPr="00ED50B4" w:rsidRDefault="00400F4B" w:rsidP="00400F4B">
      <w:pPr>
        <w:spacing w:after="120"/>
        <w:ind w:left="567" w:right="1134" w:firstLine="567"/>
        <w:jc w:val="both"/>
        <w:rPr>
          <w:rFonts w:eastAsia="Yu Mincho"/>
          <w:iCs/>
        </w:rPr>
      </w:pPr>
      <w:r w:rsidRPr="00ED50B4">
        <w:rPr>
          <w:rFonts w:eastAsia="Yu Mincho"/>
          <w:i/>
        </w:rPr>
        <w:t xml:space="preserve">Annex 3, insert a new Figure 3-3, </w:t>
      </w:r>
      <w:r w:rsidRPr="00ED50B4">
        <w:rPr>
          <w:rFonts w:eastAsia="Yu Mincho"/>
          <w:iCs/>
        </w:rPr>
        <w:t>to read:</w:t>
      </w:r>
    </w:p>
    <w:p w14:paraId="08AAAEDD" w14:textId="77777777" w:rsidR="00400F4B" w:rsidRPr="00ED50B4" w:rsidRDefault="00400F4B" w:rsidP="00400F4B">
      <w:pPr>
        <w:spacing w:after="120"/>
        <w:ind w:left="1134" w:right="1134"/>
        <w:rPr>
          <w:rFonts w:eastAsia="Yu Mincho"/>
          <w:iCs/>
        </w:rPr>
      </w:pPr>
      <w:r w:rsidRPr="00ED50B4">
        <w:rPr>
          <w:rFonts w:eastAsia="Yu Mincho"/>
          <w:iCs/>
        </w:rPr>
        <w:t>"Figure 3-3</w:t>
      </w:r>
      <w:r w:rsidRPr="00ED50B4">
        <w:rPr>
          <w:rFonts w:eastAsia="Yu Mincho"/>
          <w:b/>
          <w:snapToGrid w:val="0"/>
        </w:rPr>
        <w:t xml:space="preserve"> </w:t>
      </w:r>
      <w:r w:rsidRPr="00ED50B4">
        <w:rPr>
          <w:rFonts w:eastAsia="Yu Mincho"/>
          <w:b/>
          <w:snapToGrid w:val="0"/>
        </w:rPr>
        <w:br/>
        <w:t>Portion of gap above 540mm.</w:t>
      </w:r>
    </w:p>
    <w:p w14:paraId="1703090A" w14:textId="77777777" w:rsidR="00400F4B" w:rsidRPr="00ED50B4" w:rsidRDefault="00400F4B" w:rsidP="00400F4B">
      <w:pPr>
        <w:suppressAutoHyphens w:val="0"/>
        <w:snapToGrid w:val="0"/>
        <w:spacing w:after="120"/>
        <w:ind w:left="1134" w:right="1134" w:hanging="1134"/>
        <w:jc w:val="center"/>
      </w:pPr>
      <w:r w:rsidRPr="00E71624">
        <w:rPr>
          <w:noProof/>
          <w:lang w:val="en-US" w:eastAsia="zh-CN"/>
        </w:rPr>
        <w:drawing>
          <wp:inline distT="0" distB="0" distL="0" distR="0" wp14:anchorId="4E79F183" wp14:editId="37330EE0">
            <wp:extent cx="3314700" cy="272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l="16417" t="27814" r="40056" b="8360"/>
                    <a:stretch>
                      <a:fillRect/>
                    </a:stretch>
                  </pic:blipFill>
                  <pic:spPr bwMode="auto">
                    <a:xfrm>
                      <a:off x="0" y="0"/>
                      <a:ext cx="3314700" cy="2724150"/>
                    </a:xfrm>
                    <a:prstGeom prst="rect">
                      <a:avLst/>
                    </a:prstGeom>
                    <a:noFill/>
                    <a:ln>
                      <a:noFill/>
                    </a:ln>
                  </pic:spPr>
                </pic:pic>
              </a:graphicData>
            </a:graphic>
          </wp:inline>
        </w:drawing>
      </w:r>
    </w:p>
    <w:p w14:paraId="6A7E7350" w14:textId="77777777" w:rsidR="00400F4B" w:rsidRPr="00ED50B4" w:rsidRDefault="00400F4B" w:rsidP="00400F4B">
      <w:pPr>
        <w:suppressAutoHyphens w:val="0"/>
        <w:snapToGrid w:val="0"/>
        <w:spacing w:after="120"/>
        <w:ind w:right="1134"/>
        <w:rPr>
          <w:bCs/>
          <w:lang w:bidi="th-TH"/>
        </w:rPr>
      </w:pPr>
    </w:p>
    <w:p w14:paraId="101AA420" w14:textId="77777777" w:rsidR="00400F4B" w:rsidRPr="00ED50B4" w:rsidRDefault="00400F4B" w:rsidP="00400F4B">
      <w:pPr>
        <w:suppressAutoHyphens w:val="0"/>
        <w:snapToGrid w:val="0"/>
        <w:spacing w:after="120"/>
        <w:ind w:left="1080" w:right="1134" w:firstLine="54"/>
        <w:rPr>
          <w:bCs/>
          <w:lang w:bidi="th-TH"/>
        </w:rPr>
      </w:pPr>
      <w:r w:rsidRPr="00ED50B4">
        <w:rPr>
          <w:bCs/>
          <w:lang w:bidi="th-TH"/>
        </w:rPr>
        <w:t>"</w:t>
      </w:r>
    </w:p>
    <w:p w14:paraId="69170DDB" w14:textId="77777777" w:rsidR="00400F4B" w:rsidRPr="00ED50B4" w:rsidRDefault="00400F4B" w:rsidP="00400F4B">
      <w:pPr>
        <w:spacing w:after="120"/>
        <w:ind w:left="567" w:right="1134" w:firstLine="567"/>
        <w:jc w:val="both"/>
        <w:rPr>
          <w:bCs/>
          <w:iCs/>
          <w:snapToGrid w:val="0"/>
          <w:lang w:bidi="th-TH"/>
        </w:rPr>
      </w:pPr>
      <w:r w:rsidRPr="00ED50B4">
        <w:rPr>
          <w:i/>
          <w:lang w:bidi="th-TH"/>
        </w:rPr>
        <w:lastRenderedPageBreak/>
        <w:t>Annex 3, paragraph 3.3</w:t>
      </w:r>
      <w:r w:rsidRPr="00ED50B4">
        <w:rPr>
          <w:iCs/>
          <w:lang w:bidi="th-TH"/>
        </w:rPr>
        <w:t>., amend to read:</w:t>
      </w:r>
    </w:p>
    <w:p w14:paraId="347B672C" w14:textId="77777777" w:rsidR="00400F4B" w:rsidRPr="00ED50B4" w:rsidRDefault="00400F4B" w:rsidP="00400F4B">
      <w:pPr>
        <w:suppressAutoHyphens w:val="0"/>
        <w:snapToGrid w:val="0"/>
        <w:spacing w:after="120"/>
        <w:ind w:left="2268" w:right="1134" w:hanging="1134"/>
        <w:jc w:val="both"/>
        <w:rPr>
          <w:bCs/>
          <w:lang w:bidi="th-TH"/>
        </w:rPr>
      </w:pPr>
      <w:r w:rsidRPr="00ED50B4">
        <w:rPr>
          <w:bCs/>
          <w:lang w:bidi="th-TH"/>
        </w:rPr>
        <w:t>"3.3.</w:t>
      </w:r>
      <w:r w:rsidRPr="00ED50B4">
        <w:rPr>
          <w:bCs/>
          <w:lang w:bidi="th-TH"/>
        </w:rPr>
        <w:tab/>
        <w:t>The gap between the bottom of the head restraint and the top of the seat is measured as the perpendicular distance between two parallel planes, described as follows (see Figure 3-</w:t>
      </w:r>
      <w:r w:rsidRPr="00ED50B4">
        <w:rPr>
          <w:bCs/>
          <w:strike/>
          <w:lang w:bidi="th-TH"/>
        </w:rPr>
        <w:t>3</w:t>
      </w:r>
      <w:r w:rsidRPr="00ED50B4">
        <w:rPr>
          <w:b/>
          <w:lang w:bidi="th-TH"/>
        </w:rPr>
        <w:t>4</w:t>
      </w:r>
      <w:r w:rsidRPr="00ED50B4">
        <w:rPr>
          <w:bCs/>
          <w:lang w:bidi="th-TH"/>
        </w:rPr>
        <w:t>):"</w:t>
      </w:r>
    </w:p>
    <w:p w14:paraId="7D31C9F0" w14:textId="77777777" w:rsidR="00400F4B" w:rsidRPr="00ED50B4" w:rsidRDefault="00400F4B" w:rsidP="00400F4B">
      <w:pPr>
        <w:spacing w:after="120"/>
        <w:ind w:left="1134" w:right="1134"/>
        <w:jc w:val="both"/>
        <w:rPr>
          <w:rFonts w:eastAsia="Yu Mincho"/>
          <w:i/>
        </w:rPr>
      </w:pPr>
      <w:r w:rsidRPr="00ED50B4">
        <w:rPr>
          <w:rFonts w:eastAsia="Yu Mincho"/>
          <w:i/>
        </w:rPr>
        <w:t>Annex 3, Figure 3-3 (former)</w:t>
      </w:r>
      <w:r w:rsidRPr="00ED50B4">
        <w:rPr>
          <w:rFonts w:eastAsia="Yu Mincho"/>
          <w:iCs/>
        </w:rPr>
        <w:t>, renumber</w:t>
      </w:r>
      <w:r w:rsidRPr="00ED50B4">
        <w:rPr>
          <w:rFonts w:eastAsia="Yu Mincho"/>
          <w:i/>
        </w:rPr>
        <w:t xml:space="preserve"> as </w:t>
      </w:r>
      <w:r w:rsidRPr="00ED50B4">
        <w:rPr>
          <w:rFonts w:eastAsia="Yu Mincho"/>
          <w:iCs/>
        </w:rPr>
        <w:t>Figure 3-4</w:t>
      </w:r>
      <w:r w:rsidRPr="00ED50B4">
        <w:rPr>
          <w:rFonts w:eastAsia="Yu Mincho"/>
          <w:i/>
        </w:rPr>
        <w:t xml:space="preserve"> </w:t>
      </w:r>
    </w:p>
    <w:p w14:paraId="7A1CFCE9" w14:textId="77777777" w:rsidR="00633124" w:rsidRPr="00ED50B4" w:rsidRDefault="00633124" w:rsidP="00400F4B">
      <w:pPr>
        <w:spacing w:after="120"/>
        <w:ind w:left="1134" w:right="1134"/>
        <w:jc w:val="both"/>
        <w:rPr>
          <w:rFonts w:eastAsia="Yu Mincho"/>
          <w:i/>
        </w:rPr>
      </w:pPr>
      <w:r w:rsidRPr="00ED50B4">
        <w:rPr>
          <w:rFonts w:eastAsia="Yu Mincho"/>
          <w:i/>
        </w:rPr>
        <w:t xml:space="preserve">Annex 4, </w:t>
      </w:r>
      <w:r w:rsidR="00A03B6B" w:rsidRPr="00ED50B4">
        <w:rPr>
          <w:rFonts w:eastAsia="Yu Mincho"/>
          <w:iCs/>
        </w:rPr>
        <w:t>shall be deleted</w:t>
      </w:r>
      <w:r w:rsidR="00A03B6B" w:rsidRPr="00ED50B4">
        <w:rPr>
          <w:rFonts w:eastAsia="Yu Mincho"/>
          <w:i/>
        </w:rPr>
        <w:t xml:space="preserve"> </w:t>
      </w:r>
    </w:p>
    <w:p w14:paraId="451F793F" w14:textId="77777777" w:rsidR="00A03B6B" w:rsidRPr="00ED50B4" w:rsidRDefault="00A03B6B" w:rsidP="00400F4B">
      <w:pPr>
        <w:spacing w:after="120"/>
        <w:ind w:left="1134" w:right="1134"/>
        <w:jc w:val="both"/>
        <w:rPr>
          <w:rFonts w:eastAsia="Yu Mincho"/>
          <w:iCs/>
        </w:rPr>
      </w:pPr>
      <w:r w:rsidRPr="00ED50B4">
        <w:rPr>
          <w:rFonts w:eastAsia="Yu Mincho"/>
          <w:i/>
        </w:rPr>
        <w:t>Annexes 5 to 7 (former)</w:t>
      </w:r>
      <w:r w:rsidRPr="00ED50B4">
        <w:rPr>
          <w:rFonts w:eastAsia="Yu Mincho"/>
          <w:iCs/>
        </w:rPr>
        <w:t>, renumber as Annexes 4 to 6</w:t>
      </w:r>
    </w:p>
    <w:p w14:paraId="637B3070" w14:textId="77777777" w:rsidR="00400F4B" w:rsidRPr="00ED50B4" w:rsidRDefault="00400F4B" w:rsidP="00400F4B">
      <w:pPr>
        <w:spacing w:after="120"/>
        <w:ind w:left="1134" w:right="1134"/>
        <w:jc w:val="both"/>
        <w:rPr>
          <w:rFonts w:eastAsia="MS Mincho"/>
          <w:bCs/>
          <w:iCs/>
          <w:lang w:eastAsia="zh-CN" w:bidi="th-TH"/>
        </w:rPr>
      </w:pPr>
      <w:r w:rsidRPr="00ED50B4">
        <w:rPr>
          <w:i/>
          <w:lang w:bidi="th-TH"/>
        </w:rPr>
        <w:t xml:space="preserve">Annex </w:t>
      </w:r>
      <w:r w:rsidR="00B6590B" w:rsidRPr="00ED50B4">
        <w:rPr>
          <w:i/>
          <w:lang w:bidi="th-TH"/>
        </w:rPr>
        <w:t>8 (former)</w:t>
      </w:r>
      <w:r w:rsidRPr="00ED50B4">
        <w:rPr>
          <w:i/>
          <w:lang w:bidi="th-TH"/>
        </w:rPr>
        <w:t xml:space="preserve">, </w:t>
      </w:r>
      <w:r w:rsidR="00B6590B" w:rsidRPr="00ED50B4">
        <w:rPr>
          <w:iCs/>
          <w:lang w:bidi="th-TH"/>
        </w:rPr>
        <w:t xml:space="preserve">renumber as Annex 7 and </w:t>
      </w:r>
      <w:r w:rsidRPr="00ED50B4">
        <w:rPr>
          <w:iCs/>
          <w:lang w:bidi="th-TH"/>
        </w:rPr>
        <w:t>insert a new paragraph 2.10. to read:</w:t>
      </w:r>
    </w:p>
    <w:p w14:paraId="07FE2EA1" w14:textId="77777777" w:rsidR="00400F4B" w:rsidRPr="00ED50B4" w:rsidRDefault="00400F4B" w:rsidP="00B6590B">
      <w:pPr>
        <w:spacing w:after="120"/>
        <w:ind w:left="2268" w:right="1134" w:hanging="1134"/>
        <w:jc w:val="both"/>
        <w:rPr>
          <w:rFonts w:eastAsia="MS Mincho"/>
          <w:bCs/>
        </w:rPr>
      </w:pPr>
      <w:r w:rsidRPr="00ED50B4">
        <w:rPr>
          <w:rFonts w:eastAsia="MS Mincho"/>
          <w:bCs/>
        </w:rPr>
        <w:t>"</w:t>
      </w:r>
      <w:r w:rsidRPr="00ED50B4">
        <w:rPr>
          <w:rFonts w:eastAsia="MS Mincho"/>
          <w:b/>
        </w:rPr>
        <w:t>2.10.</w:t>
      </w:r>
      <w:r w:rsidRPr="00ED50B4">
        <w:rPr>
          <w:rFonts w:eastAsia="MS Mincho"/>
          <w:b/>
        </w:rPr>
        <w:tab/>
        <w:t>Alternatively, when the manufacturer demonstrates that the difference of the reference positions of the cylinder measured in paragraphs 2.3</w:t>
      </w:r>
      <w:r w:rsidR="00AF587D">
        <w:rPr>
          <w:rFonts w:eastAsia="MS Mincho"/>
          <w:b/>
        </w:rPr>
        <w:t>.</w:t>
      </w:r>
      <w:r w:rsidRPr="00ED50B4">
        <w:rPr>
          <w:rFonts w:eastAsia="MS Mincho"/>
          <w:b/>
        </w:rPr>
        <w:t xml:space="preserve"> and 2.6</w:t>
      </w:r>
      <w:r w:rsidR="00AF587D">
        <w:rPr>
          <w:rFonts w:eastAsia="MS Mincho"/>
          <w:b/>
        </w:rPr>
        <w:t>.</w:t>
      </w:r>
      <w:r w:rsidRPr="00ED50B4">
        <w:rPr>
          <w:rFonts w:eastAsia="MS Mincho"/>
          <w:b/>
        </w:rPr>
        <w:t xml:space="preserve"> of this Annex is smaller than the value required by paragraph 5.2.2. of the Regulation, then the test result will also comply to paragraph 5.2.2. of the Regulation. In this case measurements of 2.4. and 2.7. of Annex 7 do not need to be recorded.</w:t>
      </w:r>
      <w:r w:rsidRPr="00ED50B4">
        <w:rPr>
          <w:rFonts w:eastAsia="MS Mincho"/>
          <w:bCs/>
        </w:rPr>
        <w:t>"</w:t>
      </w:r>
    </w:p>
    <w:p w14:paraId="3D4F8638" w14:textId="77777777" w:rsidR="00A03B6B" w:rsidRPr="00ED50B4" w:rsidRDefault="00A03B6B" w:rsidP="00B6590B">
      <w:pPr>
        <w:spacing w:after="120"/>
        <w:ind w:left="2268" w:right="1134" w:hanging="1134"/>
        <w:jc w:val="both"/>
        <w:rPr>
          <w:rFonts w:eastAsia="MS Mincho"/>
          <w:b/>
          <w:lang w:eastAsia="en-US"/>
        </w:rPr>
      </w:pPr>
      <w:r w:rsidRPr="00ED50B4">
        <w:rPr>
          <w:rFonts w:eastAsia="MS Mincho"/>
          <w:bCs/>
          <w:i/>
          <w:iCs/>
        </w:rPr>
        <w:t>Annexes 9 to 13 (former)</w:t>
      </w:r>
      <w:r w:rsidRPr="00ED50B4">
        <w:rPr>
          <w:rFonts w:eastAsia="MS Mincho"/>
          <w:bCs/>
        </w:rPr>
        <w:t xml:space="preserve">, renumber as </w:t>
      </w:r>
      <w:r w:rsidRPr="00ED50B4">
        <w:rPr>
          <w:rFonts w:eastAsia="Yu Mincho"/>
          <w:iCs/>
        </w:rPr>
        <w:t>Annexes 8 to 12</w:t>
      </w:r>
    </w:p>
    <w:p w14:paraId="2EDCE0DF" w14:textId="77777777" w:rsidR="00400F4B" w:rsidRPr="00ED50B4" w:rsidRDefault="00400F4B" w:rsidP="00400F4B">
      <w:pPr>
        <w:pStyle w:val="HChG"/>
        <w:spacing w:before="120"/>
        <w:rPr>
          <w:bCs/>
        </w:rPr>
      </w:pPr>
      <w:r w:rsidRPr="00ED50B4">
        <w:rPr>
          <w:bCs/>
        </w:rPr>
        <w:tab/>
        <w:t>II.</w:t>
      </w:r>
      <w:r w:rsidRPr="00ED50B4">
        <w:rPr>
          <w:bCs/>
        </w:rPr>
        <w:tab/>
        <w:t>Justification</w:t>
      </w:r>
    </w:p>
    <w:p w14:paraId="6AAB8C46" w14:textId="77777777" w:rsidR="00400F4B" w:rsidRPr="00ED50B4" w:rsidRDefault="00400F4B" w:rsidP="00400F4B">
      <w:pPr>
        <w:pStyle w:val="SingleTxtG"/>
        <w:spacing w:before="240" w:after="0"/>
      </w:pPr>
      <w:r w:rsidRPr="00ED50B4">
        <w:t>1.</w:t>
      </w:r>
      <w:r w:rsidRPr="00ED50B4">
        <w:tab/>
        <w:t>This document clarifies the way to apply and to understand GTR7</w:t>
      </w:r>
      <w:r w:rsidR="00ED50B4">
        <w:t>,</w:t>
      </w:r>
      <w:r w:rsidRPr="00ED50B4">
        <w:t xml:space="preserve"> phase 2 static alternative provisions which have been detected </w:t>
      </w:r>
      <w:r w:rsidR="00ED50B4">
        <w:t xml:space="preserve">as </w:t>
      </w:r>
      <w:r w:rsidR="00ED50B4" w:rsidRPr="00ED50B4">
        <w:t xml:space="preserve">not </w:t>
      </w:r>
      <w:r w:rsidRPr="00ED50B4">
        <w:t>being fully clear. It also aligns the area where the gap is measured to actual practice in UN Regulation No. 17 and Federal Motor Vehicle Safety Standard 202 which consider</w:t>
      </w:r>
      <w:r w:rsidR="00ED50B4">
        <w:t>s</w:t>
      </w:r>
      <w:r w:rsidRPr="00ED50B4">
        <w:t xml:space="preserve"> only gaps over a height of 540mm.</w:t>
      </w:r>
    </w:p>
    <w:p w14:paraId="52313B49" w14:textId="77777777" w:rsidR="001C6663" w:rsidRPr="00ED50B4" w:rsidRDefault="00400F4B" w:rsidP="00400F4B">
      <w:pPr>
        <w:pStyle w:val="SingleTxtG"/>
        <w:spacing w:before="240" w:after="0"/>
      </w:pPr>
      <w:r w:rsidRPr="00ED50B4">
        <w:t>2.</w:t>
      </w:r>
      <w:r w:rsidRPr="00ED50B4">
        <w:tab/>
        <w:t>The new paragraph 2.10</w:t>
      </w:r>
      <w:r w:rsidR="00AF587D">
        <w:t>.</w:t>
      </w:r>
      <w:r w:rsidRPr="00ED50B4">
        <w:t xml:space="preserve"> to Annex 7 "Height Retention Test", </w:t>
      </w:r>
      <w:r w:rsidR="00ED50B4" w:rsidRPr="00ED50B4">
        <w:t>aim</w:t>
      </w:r>
      <w:r w:rsidR="00ED50B4">
        <w:t>s</w:t>
      </w:r>
      <w:r w:rsidR="00ED50B4" w:rsidRPr="00ED50B4">
        <w:t xml:space="preserve"> </w:t>
      </w:r>
      <w:r w:rsidRPr="00ED50B4">
        <w:t>at facilitating testing by laboratories</w:t>
      </w:r>
      <w:r w:rsidR="00ED50B4">
        <w:t>,</w:t>
      </w:r>
      <w:r w:rsidRPr="00ED50B4">
        <w:t xml:space="preserve"> which can more easily measure the displacement on the top of the head restraint. As the displacement of the head restraint on the top of the head restraint is greater than the bottom of the head restraint, any head restraint fulfilling the displacement requirement of 25 mm already on the top of the head restraint would be considered also compliant with the displacement requirement of the height retention test. </w:t>
      </w:r>
    </w:p>
    <w:p w14:paraId="45BC41E6" w14:textId="77777777" w:rsidR="00400F4B" w:rsidRPr="00ED50B4" w:rsidRDefault="00400F4B" w:rsidP="00400F4B">
      <w:pPr>
        <w:spacing w:before="240"/>
        <w:jc w:val="center"/>
        <w:rPr>
          <w:u w:val="single"/>
        </w:rPr>
      </w:pPr>
      <w:r w:rsidRPr="00ED50B4">
        <w:rPr>
          <w:u w:val="single"/>
        </w:rPr>
        <w:tab/>
      </w:r>
      <w:r w:rsidRPr="00ED50B4">
        <w:rPr>
          <w:u w:val="single"/>
        </w:rPr>
        <w:tab/>
      </w:r>
      <w:r w:rsidRPr="00ED50B4">
        <w:rPr>
          <w:u w:val="single"/>
        </w:rPr>
        <w:tab/>
      </w:r>
    </w:p>
    <w:sectPr w:rsidR="00400F4B" w:rsidRPr="00ED50B4" w:rsidSect="0039621D">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85364" w14:textId="77777777" w:rsidR="009A23EE" w:rsidRDefault="009A23EE"/>
  </w:endnote>
  <w:endnote w:type="continuationSeparator" w:id="0">
    <w:p w14:paraId="57E5D317" w14:textId="77777777" w:rsidR="009A23EE" w:rsidRDefault="009A23EE"/>
  </w:endnote>
  <w:endnote w:type="continuationNotice" w:id="1">
    <w:p w14:paraId="79C38859" w14:textId="77777777" w:rsidR="009A23EE" w:rsidRDefault="009A2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0D44" w14:textId="28EF6C10" w:rsidR="0039621D" w:rsidRPr="0039621D" w:rsidRDefault="0039621D" w:rsidP="0039621D">
    <w:pPr>
      <w:pStyle w:val="Footer"/>
      <w:tabs>
        <w:tab w:val="right" w:pos="9638"/>
      </w:tabs>
      <w:rPr>
        <w:sz w:val="18"/>
      </w:rPr>
    </w:pPr>
    <w:r w:rsidRPr="0039621D">
      <w:rPr>
        <w:b/>
        <w:sz w:val="18"/>
      </w:rPr>
      <w:fldChar w:fldCharType="begin"/>
    </w:r>
    <w:r w:rsidRPr="0039621D">
      <w:rPr>
        <w:b/>
        <w:sz w:val="18"/>
      </w:rPr>
      <w:instrText xml:space="preserve"> PAGE  \* MERGEFORMAT </w:instrText>
    </w:r>
    <w:r w:rsidRPr="0039621D">
      <w:rPr>
        <w:b/>
        <w:sz w:val="18"/>
      </w:rPr>
      <w:fldChar w:fldCharType="separate"/>
    </w:r>
    <w:r w:rsidR="00C261FE">
      <w:rPr>
        <w:b/>
        <w:noProof/>
        <w:sz w:val="18"/>
      </w:rPr>
      <w:t>2</w:t>
    </w:r>
    <w:r w:rsidRPr="0039621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4D95C" w14:textId="2985D819" w:rsidR="0039621D" w:rsidRPr="0039621D" w:rsidRDefault="0039621D" w:rsidP="0039621D">
    <w:pPr>
      <w:pStyle w:val="Footer"/>
      <w:tabs>
        <w:tab w:val="right" w:pos="9638"/>
      </w:tabs>
      <w:rPr>
        <w:b/>
        <w:sz w:val="18"/>
      </w:rPr>
    </w:pPr>
    <w:r>
      <w:tab/>
    </w:r>
    <w:r w:rsidRPr="0039621D">
      <w:rPr>
        <w:b/>
        <w:sz w:val="18"/>
      </w:rPr>
      <w:fldChar w:fldCharType="begin"/>
    </w:r>
    <w:r w:rsidRPr="0039621D">
      <w:rPr>
        <w:b/>
        <w:sz w:val="18"/>
      </w:rPr>
      <w:instrText xml:space="preserve"> PAGE  \* MERGEFORMAT </w:instrText>
    </w:r>
    <w:r w:rsidRPr="0039621D">
      <w:rPr>
        <w:b/>
        <w:sz w:val="18"/>
      </w:rPr>
      <w:fldChar w:fldCharType="separate"/>
    </w:r>
    <w:r w:rsidR="00C261FE">
      <w:rPr>
        <w:b/>
        <w:noProof/>
        <w:sz w:val="18"/>
      </w:rPr>
      <w:t>3</w:t>
    </w:r>
    <w:r w:rsidRPr="003962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B035C" w14:textId="37FD1BD9" w:rsidR="00773BF8" w:rsidRDefault="00773BF8" w:rsidP="00773BF8">
    <w:pPr>
      <w:pStyle w:val="Footer"/>
    </w:pPr>
    <w:r>
      <w:rPr>
        <w:noProof/>
        <w:lang w:val="en-US" w:eastAsia="zh-CN"/>
      </w:rPr>
      <w:drawing>
        <wp:anchor distT="0" distB="0" distL="114300" distR="114300" simplePos="0" relativeHeight="251659264" behindDoc="1" locked="1" layoutInCell="1" allowOverlap="1" wp14:anchorId="2431B4EB" wp14:editId="21F65B1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4222C1A" w14:textId="4E2180D1" w:rsidR="00773BF8" w:rsidRDefault="00773BF8" w:rsidP="00773BF8">
    <w:pPr>
      <w:pStyle w:val="Footer"/>
      <w:ind w:right="1134"/>
      <w:rPr>
        <w:sz w:val="20"/>
      </w:rPr>
    </w:pPr>
    <w:r>
      <w:rPr>
        <w:sz w:val="20"/>
      </w:rPr>
      <w:t>GE.19-16529(E)</w:t>
    </w:r>
  </w:p>
  <w:p w14:paraId="7657B654" w14:textId="08491175" w:rsidR="00773BF8" w:rsidRPr="00773BF8" w:rsidRDefault="00773BF8" w:rsidP="00773BF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1FA0B3C9" wp14:editId="38AEA4CA">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19/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2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ACC3D" w14:textId="77777777" w:rsidR="009A23EE" w:rsidRPr="000B175B" w:rsidRDefault="009A23EE" w:rsidP="000B175B">
      <w:pPr>
        <w:tabs>
          <w:tab w:val="right" w:pos="2155"/>
        </w:tabs>
        <w:spacing w:after="80"/>
        <w:ind w:left="680"/>
        <w:rPr>
          <w:u w:val="single"/>
        </w:rPr>
      </w:pPr>
      <w:r>
        <w:rPr>
          <w:u w:val="single"/>
        </w:rPr>
        <w:tab/>
      </w:r>
    </w:p>
  </w:footnote>
  <w:footnote w:type="continuationSeparator" w:id="0">
    <w:p w14:paraId="68C9A824" w14:textId="77777777" w:rsidR="009A23EE" w:rsidRPr="00FC68B7" w:rsidRDefault="009A23EE" w:rsidP="00FC68B7">
      <w:pPr>
        <w:tabs>
          <w:tab w:val="left" w:pos="2155"/>
        </w:tabs>
        <w:spacing w:after="80"/>
        <w:ind w:left="680"/>
        <w:rPr>
          <w:u w:val="single"/>
        </w:rPr>
      </w:pPr>
      <w:r>
        <w:rPr>
          <w:u w:val="single"/>
        </w:rPr>
        <w:tab/>
      </w:r>
    </w:p>
  </w:footnote>
  <w:footnote w:type="continuationNotice" w:id="1">
    <w:p w14:paraId="26FF646C" w14:textId="77777777" w:rsidR="009A23EE" w:rsidRDefault="009A23EE"/>
  </w:footnote>
  <w:footnote w:id="2">
    <w:p w14:paraId="0ADA79BE" w14:textId="77777777" w:rsidR="0039621D" w:rsidRPr="00EC4B12" w:rsidRDefault="0039621D" w:rsidP="0039621D">
      <w:pPr>
        <w:pStyle w:val="FootnoteText"/>
        <w:jc w:val="both"/>
        <w:rPr>
          <w:lang w:val="en-US"/>
        </w:rPr>
      </w:pPr>
      <w:r>
        <w:tab/>
      </w:r>
      <w:r w:rsidRPr="007406A7">
        <w:rPr>
          <w:rStyle w:val="FootnoteReference"/>
        </w:rPr>
        <w:t>*</w:t>
      </w:r>
      <w:r w:rsidRPr="007406A7">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225C" w14:textId="6FB4E2CF" w:rsidR="0039621D" w:rsidRPr="0039621D" w:rsidRDefault="00E64D13">
    <w:pPr>
      <w:pStyle w:val="Header"/>
    </w:pPr>
    <w:fldSimple w:instr=" TITLE  \* MERGEFORMAT ">
      <w:r>
        <w:t>ECE/TRANS/WP.29/GRSP/2019/20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81B4" w14:textId="5CE90FEE" w:rsidR="0039621D" w:rsidRPr="0039621D" w:rsidRDefault="00E64D13" w:rsidP="0039621D">
    <w:pPr>
      <w:pStyle w:val="Header"/>
      <w:jc w:val="right"/>
    </w:pPr>
    <w:fldSimple w:instr=" TITLE  \* MERGEFORMAT ">
      <w:r>
        <w:t>ECE/TRANS/WP.29/GRSP/2019/20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1D"/>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75642"/>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9621D"/>
    <w:rsid w:val="003A46BB"/>
    <w:rsid w:val="003A4EC7"/>
    <w:rsid w:val="003A7295"/>
    <w:rsid w:val="003B1F60"/>
    <w:rsid w:val="003C2CC4"/>
    <w:rsid w:val="003D4B23"/>
    <w:rsid w:val="003E278A"/>
    <w:rsid w:val="00400F4B"/>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33124"/>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3BF8"/>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369A9"/>
    <w:rsid w:val="00947162"/>
    <w:rsid w:val="009610D0"/>
    <w:rsid w:val="0096375C"/>
    <w:rsid w:val="009662E6"/>
    <w:rsid w:val="0097095E"/>
    <w:rsid w:val="0098592B"/>
    <w:rsid w:val="00985FC4"/>
    <w:rsid w:val="00990766"/>
    <w:rsid w:val="00991261"/>
    <w:rsid w:val="009964C4"/>
    <w:rsid w:val="009A23EE"/>
    <w:rsid w:val="009A7B81"/>
    <w:rsid w:val="009B7EB7"/>
    <w:rsid w:val="009D01C0"/>
    <w:rsid w:val="009D6A08"/>
    <w:rsid w:val="009E0A16"/>
    <w:rsid w:val="009E6CB7"/>
    <w:rsid w:val="009E7970"/>
    <w:rsid w:val="009F2EAC"/>
    <w:rsid w:val="009F57E3"/>
    <w:rsid w:val="00A03B6B"/>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7D"/>
    <w:rsid w:val="00AF58C1"/>
    <w:rsid w:val="00B04A3F"/>
    <w:rsid w:val="00B06643"/>
    <w:rsid w:val="00B15055"/>
    <w:rsid w:val="00B20551"/>
    <w:rsid w:val="00B30179"/>
    <w:rsid w:val="00B31E0B"/>
    <w:rsid w:val="00B33FC7"/>
    <w:rsid w:val="00B37B15"/>
    <w:rsid w:val="00B4162A"/>
    <w:rsid w:val="00B45C02"/>
    <w:rsid w:val="00B6590B"/>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261FE"/>
    <w:rsid w:val="00C463DD"/>
    <w:rsid w:val="00C745C3"/>
    <w:rsid w:val="00C978F5"/>
    <w:rsid w:val="00CA24A4"/>
    <w:rsid w:val="00CB348D"/>
    <w:rsid w:val="00CD46F5"/>
    <w:rsid w:val="00CE4A8F"/>
    <w:rsid w:val="00CF071D"/>
    <w:rsid w:val="00D003C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460A"/>
    <w:rsid w:val="00DC18AD"/>
    <w:rsid w:val="00DF7CAE"/>
    <w:rsid w:val="00E423C0"/>
    <w:rsid w:val="00E6414C"/>
    <w:rsid w:val="00E64D13"/>
    <w:rsid w:val="00E71624"/>
    <w:rsid w:val="00E7260F"/>
    <w:rsid w:val="00E8702D"/>
    <w:rsid w:val="00E905F4"/>
    <w:rsid w:val="00E916A9"/>
    <w:rsid w:val="00E916DE"/>
    <w:rsid w:val="00E925AD"/>
    <w:rsid w:val="00E96630"/>
    <w:rsid w:val="00ED18DC"/>
    <w:rsid w:val="00ED50B4"/>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05A4576"/>
  <w15:docId w15:val="{633F43AD-9A2E-45EC-A90D-9EF67C0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39621D"/>
    <w:rPr>
      <w:lang w:val="en-GB"/>
    </w:rPr>
  </w:style>
  <w:style w:type="character" w:customStyle="1" w:styleId="HChGChar">
    <w:name w:val="_ H _Ch_G Char"/>
    <w:link w:val="HChG"/>
    <w:rsid w:val="0039621D"/>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50950">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E941A-223C-44FB-8705-EF3004E5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3856</Characters>
  <Application>Microsoft Office Word</Application>
  <DocSecurity>0</DocSecurity>
  <Lines>90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ECE/TRANS/WP.29/GRSP/2019/20</vt:lpstr>
      <vt:lpstr/>
    </vt:vector>
  </TitlesOfParts>
  <Company>CSD</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ECE/TRANS/WP.29/GRSP/2019/20</dc:title>
  <dc:subject>1916529</dc:subject>
  <dc:creator>Edoardo Gianotti</dc:creator>
  <cp:keywords/>
  <dc:description/>
  <cp:lastModifiedBy>Generic Pdf eng</cp:lastModifiedBy>
  <cp:revision>2</cp:revision>
  <cp:lastPrinted>2019-09-25T15:16:00Z</cp:lastPrinted>
  <dcterms:created xsi:type="dcterms:W3CDTF">2019-09-26T08:41:00Z</dcterms:created>
  <dcterms:modified xsi:type="dcterms:W3CDTF">2019-09-26T08:41:00Z</dcterms:modified>
</cp:coreProperties>
</file>