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B19E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B19E4" w:rsidP="008B19E4">
            <w:pPr>
              <w:jc w:val="right"/>
            </w:pPr>
            <w:r w:rsidRPr="008B19E4">
              <w:rPr>
                <w:sz w:val="40"/>
              </w:rPr>
              <w:t>ECE</w:t>
            </w:r>
            <w:r>
              <w:t>/TRANS/WP.29/GRSP/2019/23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B19E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B19E4" w:rsidRDefault="008B19E4" w:rsidP="008B19E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September 2019</w:t>
            </w:r>
          </w:p>
          <w:p w:rsidR="008B19E4" w:rsidRDefault="008B19E4" w:rsidP="008B19E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B19E4" w:rsidRPr="008D53B6" w:rsidRDefault="008B19E4" w:rsidP="008B19E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B19E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B19E4" w:rsidRPr="008B19E4" w:rsidRDefault="008B19E4" w:rsidP="008B19E4">
      <w:pPr>
        <w:spacing w:before="120"/>
        <w:rPr>
          <w:sz w:val="28"/>
          <w:szCs w:val="28"/>
        </w:rPr>
      </w:pPr>
      <w:r w:rsidRPr="008B19E4">
        <w:rPr>
          <w:sz w:val="28"/>
          <w:szCs w:val="28"/>
        </w:rPr>
        <w:t>Комитет по внутреннему транспорту</w:t>
      </w:r>
    </w:p>
    <w:p w:rsidR="008B19E4" w:rsidRPr="008B19E4" w:rsidRDefault="008B19E4" w:rsidP="008B19E4">
      <w:pPr>
        <w:spacing w:before="120"/>
        <w:rPr>
          <w:b/>
          <w:sz w:val="24"/>
          <w:szCs w:val="24"/>
        </w:rPr>
      </w:pPr>
      <w:r w:rsidRPr="008B19E4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8B19E4">
        <w:rPr>
          <w:b/>
          <w:bCs/>
          <w:sz w:val="24"/>
          <w:szCs w:val="24"/>
        </w:rPr>
        <w:t>в области транспортных средств</w:t>
      </w:r>
    </w:p>
    <w:p w:rsidR="008B19E4" w:rsidRPr="00C624D5" w:rsidRDefault="008B19E4" w:rsidP="008B19E4">
      <w:pPr>
        <w:spacing w:before="120"/>
        <w:rPr>
          <w:b/>
        </w:rPr>
      </w:pPr>
      <w:r>
        <w:rPr>
          <w:b/>
          <w:bCs/>
        </w:rPr>
        <w:t>Рабочая группа по пассивной безопасности</w:t>
      </w:r>
    </w:p>
    <w:p w:rsidR="008B19E4" w:rsidRPr="00C624D5" w:rsidRDefault="008B19E4" w:rsidP="008B19E4">
      <w:pPr>
        <w:spacing w:before="120"/>
        <w:rPr>
          <w:b/>
        </w:rPr>
      </w:pPr>
      <w:r>
        <w:rPr>
          <w:b/>
          <w:bCs/>
        </w:rPr>
        <w:t>Шестьдесят шестая сессия</w:t>
      </w:r>
    </w:p>
    <w:p w:rsidR="008B19E4" w:rsidRPr="00C624D5" w:rsidRDefault="008B19E4" w:rsidP="008B19E4">
      <w:r>
        <w:t>Женева, 10–13 декабря 2019 года</w:t>
      </w:r>
    </w:p>
    <w:p w:rsidR="008B19E4" w:rsidRPr="00C624D5" w:rsidRDefault="008B19E4" w:rsidP="008B19E4">
      <w:r>
        <w:t>Пункт 13 предварительной повестки дня</w:t>
      </w:r>
    </w:p>
    <w:p w:rsidR="008B19E4" w:rsidRPr="00C624D5" w:rsidRDefault="008B19E4" w:rsidP="008B19E4">
      <w:r>
        <w:rPr>
          <w:b/>
          <w:bCs/>
        </w:rPr>
        <w:t xml:space="preserve">Правила № 44 ООН (детские удерживающие </w:t>
      </w:r>
      <w:r>
        <w:rPr>
          <w:b/>
          <w:bCs/>
        </w:rPr>
        <w:br/>
        <w:t>системы)</w:t>
      </w:r>
    </w:p>
    <w:p w:rsidR="008B19E4" w:rsidRPr="00832CF4" w:rsidRDefault="008B19E4" w:rsidP="008B19E4">
      <w:pPr>
        <w:pStyle w:val="HChG"/>
        <w:rPr>
          <w:rFonts w:eastAsia="MS Mincho"/>
        </w:rPr>
      </w:pPr>
      <w:r>
        <w:tab/>
      </w:r>
      <w:r>
        <w:tab/>
      </w:r>
      <w:r w:rsidRPr="00832CF4">
        <w:t xml:space="preserve">Предложение по </w:t>
      </w:r>
      <w:r w:rsidRPr="008B19E4">
        <w:t>дополнению</w:t>
      </w:r>
      <w:r w:rsidRPr="00832CF4">
        <w:t xml:space="preserve"> 18 к поправкам серии 04 к</w:t>
      </w:r>
      <w:r>
        <w:rPr>
          <w:lang w:val="en-US"/>
        </w:rPr>
        <w:t> </w:t>
      </w:r>
      <w:r w:rsidRPr="00832CF4">
        <w:t>Правилам № 44 ООН (детские удерживающие системы)</w:t>
      </w:r>
    </w:p>
    <w:p w:rsidR="008B19E4" w:rsidRPr="00C624D5" w:rsidRDefault="008B19E4" w:rsidP="008B19E4">
      <w:pPr>
        <w:pStyle w:val="H1G"/>
        <w:rPr>
          <w:rFonts w:eastAsia="MS Mincho"/>
        </w:rPr>
      </w:pPr>
      <w:r>
        <w:tab/>
      </w:r>
      <w:r>
        <w:tab/>
        <w:t>Представлено экспертом от Европейской ассоциации по координации участия потребителей в деятельности по стандартизации от имени Международной организации потребительских союзов</w:t>
      </w:r>
      <w:r w:rsidRPr="008B19E4">
        <w:rPr>
          <w:rFonts w:eastAsia="MS Mincho"/>
          <w:b w:val="0"/>
          <w:sz w:val="20"/>
        </w:rPr>
        <w:footnoteReference w:customMarkFollows="1" w:id="1"/>
        <w:t>*</w:t>
      </w:r>
      <w:r>
        <w:t xml:space="preserve"> </w:t>
      </w:r>
    </w:p>
    <w:p w:rsidR="008B19E4" w:rsidRPr="00C624D5" w:rsidRDefault="008B19E4" w:rsidP="008B19E4">
      <w:pPr>
        <w:pStyle w:val="SingleTxtGR"/>
      </w:pPr>
      <w:r>
        <w:tab/>
        <w:t>Воспроизведенный ниже текст был подготовлен экспертом от Европейской ассоциации по координации участия потребителей в деятельности по стандартизации (АНЕК) от имени Международной организации потребительских союзов (МОПС). Он содержит поправку к Правилам № 44 ООН (детские удерживающие системы (ДУС)). Изменения к существующему тексту Правил ООН выделены жирным шрифтом в случае новых положений и зачеркиванием в случае исключенных элементов.</w:t>
      </w:r>
    </w:p>
    <w:p w:rsidR="008B19E4" w:rsidRPr="00C624D5" w:rsidRDefault="008B19E4" w:rsidP="008B19E4">
      <w:pPr>
        <w:pStyle w:val="HChG"/>
        <w:pageBreakBefore/>
        <w:ind w:left="1138" w:right="1138" w:hanging="1138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:rsidR="008B19E4" w:rsidRPr="00C624D5" w:rsidRDefault="008B19E4" w:rsidP="008B19E4">
      <w:pPr>
        <w:pStyle w:val="SingleTxtG"/>
      </w:pPr>
      <w:r>
        <w:rPr>
          <w:i/>
          <w:iCs/>
        </w:rPr>
        <w:t>Пункт 6.1.3</w:t>
      </w:r>
      <w:r>
        <w:t xml:space="preserve"> изменить следующим образом:</w:t>
      </w:r>
    </w:p>
    <w:p w:rsidR="008B19E4" w:rsidRPr="00C624D5" w:rsidRDefault="008B19E4" w:rsidP="008B19E4">
      <w:pPr>
        <w:pStyle w:val="SingleTxtGR"/>
        <w:tabs>
          <w:tab w:val="clear" w:pos="1701"/>
        </w:tabs>
        <w:ind w:left="2146" w:right="1138" w:hanging="1008"/>
      </w:pPr>
      <w:r>
        <w:t>«6.1.3</w:t>
      </w:r>
      <w:r>
        <w:tab/>
      </w:r>
      <w:proofErr w:type="gramStart"/>
      <w:r>
        <w:t>В</w:t>
      </w:r>
      <w:proofErr w:type="gramEnd"/>
      <w:r>
        <w:t xml:space="preserve"> зависимости от своей категории детское удерживающее устройство должно крепиться к конструкции транспортного средства или к конструкции сиденья.</w:t>
      </w:r>
    </w:p>
    <w:p w:rsidR="008B19E4" w:rsidRDefault="008B19E4" w:rsidP="008B19E4">
      <w:pPr>
        <w:pStyle w:val="SingleTxtGR"/>
        <w:jc w:val="left"/>
        <w:rPr>
          <w:b/>
          <w:bCs/>
        </w:rPr>
      </w:pPr>
      <w:r w:rsidRPr="00F204A8">
        <w:rPr>
          <w:b/>
          <w:bCs/>
        </w:rPr>
        <w:t>Возможные конфигурации для официального утверждения с</w:t>
      </w:r>
      <w:r w:rsidR="008016F2">
        <w:rPr>
          <w:b/>
          <w:bCs/>
          <w:lang w:val="en-US"/>
        </w:rPr>
        <w:t xml:space="preserve"> </w:t>
      </w:r>
      <w:r w:rsidRPr="00F204A8">
        <w:rPr>
          <w:b/>
          <w:bCs/>
        </w:rPr>
        <w:t>указанием групп/</w:t>
      </w:r>
      <w:r w:rsidR="008016F2">
        <w:rPr>
          <w:b/>
          <w:bCs/>
        </w:rPr>
        <w:br/>
      </w:r>
      <w:r w:rsidRPr="00F204A8">
        <w:rPr>
          <w:b/>
          <w:bCs/>
        </w:rPr>
        <w:t>категорий</w:t>
      </w:r>
    </w:p>
    <w:tbl>
      <w:tblPr>
        <w:tblStyle w:val="TabTxt"/>
        <w:tblW w:w="8504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321"/>
        <w:gridCol w:w="2140"/>
        <w:gridCol w:w="450"/>
        <w:gridCol w:w="990"/>
        <w:gridCol w:w="450"/>
        <w:gridCol w:w="1080"/>
        <w:gridCol w:w="450"/>
        <w:gridCol w:w="990"/>
        <w:gridCol w:w="450"/>
        <w:gridCol w:w="1183"/>
      </w:tblGrid>
      <w:tr w:rsidR="00317EE7" w:rsidRPr="008B19E4" w:rsidTr="00317EE7">
        <w:trPr>
          <w:trHeight w:val="465"/>
        </w:trPr>
        <w:tc>
          <w:tcPr>
            <w:tcW w:w="2461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B19E4" w:rsidRPr="008B19E4" w:rsidRDefault="008B19E4" w:rsidP="00317EE7">
            <w:pPr>
              <w:spacing w:before="80" w:after="80" w:line="200" w:lineRule="exact"/>
              <w:rPr>
                <w:i/>
                <w:sz w:val="16"/>
              </w:rPr>
            </w:pPr>
            <w:r w:rsidRPr="008B19E4">
              <w:rPr>
                <w:i/>
                <w:sz w:val="16"/>
              </w:rPr>
              <w:t>Группа/Категория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19E4" w:rsidRPr="008B19E4" w:rsidRDefault="008B19E4" w:rsidP="00317EE7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8B19E4">
              <w:rPr>
                <w:i/>
                <w:sz w:val="16"/>
              </w:rPr>
              <w:t>Универсальная</w:t>
            </w:r>
            <w:r w:rsidRPr="001D6754">
              <w:rPr>
                <w:sz w:val="16"/>
                <w:vertAlign w:val="superscript"/>
              </w:rPr>
              <w:t>1)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19E4" w:rsidRPr="008B19E4" w:rsidRDefault="008B19E4" w:rsidP="00317EE7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8B19E4">
              <w:rPr>
                <w:i/>
                <w:sz w:val="16"/>
              </w:rPr>
              <w:t>Полууниверсальная</w:t>
            </w:r>
            <w:r w:rsidRPr="001D6754">
              <w:rPr>
                <w:sz w:val="16"/>
                <w:vertAlign w:val="superscript"/>
              </w:rPr>
              <w:t>2)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19E4" w:rsidRPr="008B19E4" w:rsidRDefault="008B19E4" w:rsidP="00317EE7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8B19E4">
              <w:rPr>
                <w:i/>
                <w:sz w:val="16"/>
              </w:rPr>
              <w:t>Ограниченного</w:t>
            </w:r>
            <w:r w:rsidRPr="008B19E4">
              <w:rPr>
                <w:i/>
                <w:sz w:val="16"/>
              </w:rPr>
              <w:br/>
              <w:t>использования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E4" w:rsidRPr="008B19E4" w:rsidRDefault="008B19E4" w:rsidP="00317EE7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8B19E4">
              <w:rPr>
                <w:i/>
                <w:sz w:val="16"/>
              </w:rPr>
              <w:t xml:space="preserve">Конкретного </w:t>
            </w:r>
            <w:r w:rsidRPr="008B19E4">
              <w:rPr>
                <w:i/>
                <w:sz w:val="16"/>
              </w:rPr>
              <w:br/>
              <w:t>транспортного средства</w:t>
            </w:r>
          </w:p>
        </w:tc>
      </w:tr>
      <w:tr w:rsidR="00317EE7" w:rsidRPr="008B19E4" w:rsidTr="00317EE7">
        <w:trPr>
          <w:trHeight w:val="465"/>
        </w:trPr>
        <w:tc>
          <w:tcPr>
            <w:tcW w:w="2461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B19E4" w:rsidRPr="008B19E4" w:rsidRDefault="008B19E4" w:rsidP="00317EE7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B19E4" w:rsidRPr="008B19E4" w:rsidRDefault="008B19E4" w:rsidP="00317EE7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8B19E4">
              <w:rPr>
                <w:i/>
                <w:sz w:val="16"/>
              </w:rPr>
              <w:t>ДУС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B19E4" w:rsidRPr="008B19E4" w:rsidRDefault="008B19E4" w:rsidP="00317EE7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8B19E4">
              <w:rPr>
                <w:i/>
                <w:sz w:val="16"/>
              </w:rPr>
              <w:t>ДУС ISOFIX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B19E4" w:rsidRPr="008B19E4" w:rsidRDefault="008B19E4" w:rsidP="00317EE7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8B19E4">
              <w:rPr>
                <w:i/>
                <w:sz w:val="16"/>
              </w:rPr>
              <w:t>ДУС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B19E4" w:rsidRPr="008B19E4" w:rsidRDefault="008B19E4" w:rsidP="00317EE7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8B19E4">
              <w:rPr>
                <w:i/>
                <w:sz w:val="16"/>
              </w:rPr>
              <w:t>ДУС ISOFIX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B19E4" w:rsidRPr="008B19E4" w:rsidRDefault="008B19E4" w:rsidP="00317EE7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8B19E4">
              <w:rPr>
                <w:i/>
                <w:sz w:val="16"/>
              </w:rPr>
              <w:t>ДУС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B19E4" w:rsidRPr="008B19E4" w:rsidRDefault="008B19E4" w:rsidP="00317EE7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8B19E4">
              <w:rPr>
                <w:i/>
                <w:sz w:val="16"/>
              </w:rPr>
              <w:t>ДУС ISOFIX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B19E4" w:rsidRPr="008B19E4" w:rsidRDefault="008B19E4" w:rsidP="00317EE7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8B19E4">
              <w:rPr>
                <w:i/>
                <w:sz w:val="16"/>
              </w:rPr>
              <w:t xml:space="preserve">ДУС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9E4" w:rsidRPr="008B19E4" w:rsidRDefault="008B19E4" w:rsidP="00317EE7">
            <w:pPr>
              <w:spacing w:before="80" w:after="80" w:line="200" w:lineRule="exact"/>
              <w:ind w:left="57"/>
              <w:rPr>
                <w:i/>
                <w:sz w:val="16"/>
              </w:rPr>
            </w:pPr>
            <w:r w:rsidRPr="008B19E4">
              <w:rPr>
                <w:i/>
                <w:sz w:val="16"/>
              </w:rPr>
              <w:t>ДУС ISOFIX</w:t>
            </w:r>
          </w:p>
        </w:tc>
      </w:tr>
      <w:tr w:rsidR="00317EE7" w:rsidRPr="00144DB5" w:rsidTr="002523DC">
        <w:trPr>
          <w:trHeight w:hRule="exact" w:val="400"/>
        </w:trPr>
        <w:tc>
          <w:tcPr>
            <w:tcW w:w="321" w:type="dxa"/>
            <w:vMerge w:val="restar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8B19E4" w:rsidRPr="00144DB5" w:rsidRDefault="008B19E4" w:rsidP="00DB3071">
            <w:pPr>
              <w:spacing w:before="720" w:line="200" w:lineRule="exact"/>
              <w:ind w:left="43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0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Детская люлька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8B19E4" w:rsidRPr="00144DB5" w:rsidRDefault="008B19E4" w:rsidP="002005CB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8B19E4" w:rsidRPr="00144DB5" w:rsidRDefault="008B19E4" w:rsidP="002005CB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2523DC" w:rsidRPr="00144DB5" w:rsidTr="002523DC">
        <w:trPr>
          <w:trHeight w:hRule="exact" w:val="400"/>
        </w:trPr>
        <w:tc>
          <w:tcPr>
            <w:tcW w:w="321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:rsidR="002523DC" w:rsidRPr="00144DB5" w:rsidRDefault="002523DC" w:rsidP="00317EE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12" w:space="0" w:color="auto"/>
              <w:bottom w:val="single" w:sz="4" w:space="0" w:color="auto"/>
            </w:tcBorders>
          </w:tcPr>
          <w:p w:rsidR="002523DC" w:rsidRPr="00144DB5" w:rsidRDefault="002523DC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2523DC" w:rsidRPr="00144DB5" w:rsidRDefault="002523DC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</w:tcPr>
          <w:p w:rsidR="002523DC" w:rsidRPr="00144DB5" w:rsidRDefault="002523DC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2523DC" w:rsidRPr="00144DB5" w:rsidRDefault="002523DC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2523DC" w:rsidRPr="00144DB5" w:rsidRDefault="002523DC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2523DC" w:rsidRPr="00144DB5" w:rsidRDefault="002523DC" w:rsidP="002005CB">
            <w:pPr>
              <w:spacing w:line="200" w:lineRule="exact"/>
              <w:ind w:left="57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</w:tcPr>
          <w:p w:rsidR="002523DC" w:rsidRPr="00144DB5" w:rsidRDefault="002523DC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</w:tcPr>
          <w:p w:rsidR="002523DC" w:rsidRPr="00144DB5" w:rsidRDefault="002523DC" w:rsidP="002005CB">
            <w:pPr>
              <w:spacing w:line="200" w:lineRule="exact"/>
              <w:ind w:left="57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23DC" w:rsidRPr="00144DB5" w:rsidRDefault="002523DC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</w:p>
        </w:tc>
      </w:tr>
      <w:tr w:rsidR="00317EE7" w:rsidRPr="00144DB5" w:rsidTr="002523DC">
        <w:trPr>
          <w:trHeight w:hRule="exact" w:val="529"/>
        </w:trPr>
        <w:tc>
          <w:tcPr>
            <w:tcW w:w="321" w:type="dxa"/>
            <w:vMerge/>
            <w:tcBorders>
              <w:top w:val="single" w:sz="4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Против направления движения</w:t>
            </w:r>
          </w:p>
        </w:tc>
        <w:tc>
          <w:tcPr>
            <w:tcW w:w="450" w:type="dxa"/>
            <w:tcBorders>
              <w:top w:val="single" w:sz="4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450" w:type="dxa"/>
            <w:tcBorders>
              <w:top w:val="single" w:sz="4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50" w:type="dxa"/>
            <w:tcBorders>
              <w:top w:val="single" w:sz="4" w:space="0" w:color="auto"/>
            </w:tcBorders>
            <w:hideMark/>
          </w:tcPr>
          <w:p w:rsidR="008B19E4" w:rsidRPr="00144DB5" w:rsidRDefault="008B19E4" w:rsidP="002005CB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450" w:type="dxa"/>
            <w:tcBorders>
              <w:top w:val="single" w:sz="4" w:space="0" w:color="auto"/>
            </w:tcBorders>
            <w:hideMark/>
          </w:tcPr>
          <w:p w:rsidR="008B19E4" w:rsidRPr="00144DB5" w:rsidRDefault="008B19E4" w:rsidP="002005CB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317EE7" w:rsidRPr="00144DB5" w:rsidTr="002523DC">
        <w:trPr>
          <w:trHeight w:hRule="exact" w:val="518"/>
        </w:trPr>
        <w:tc>
          <w:tcPr>
            <w:tcW w:w="321" w:type="dxa"/>
            <w:hideMark/>
          </w:tcPr>
          <w:p w:rsidR="008B19E4" w:rsidRPr="00144DB5" w:rsidRDefault="008B19E4" w:rsidP="00DB3071">
            <w:pPr>
              <w:spacing w:line="200" w:lineRule="exact"/>
              <w:ind w:left="29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0+</w:t>
            </w:r>
          </w:p>
        </w:tc>
        <w:tc>
          <w:tcPr>
            <w:tcW w:w="214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Против направления движения</w:t>
            </w:r>
          </w:p>
        </w:tc>
        <w:tc>
          <w:tcPr>
            <w:tcW w:w="45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9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450" w:type="dxa"/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EF1BF6">
              <w:rPr>
                <w:sz w:val="18"/>
                <w:szCs w:val="18"/>
              </w:rPr>
              <w:t>3)</w:t>
            </w:r>
          </w:p>
        </w:tc>
        <w:tc>
          <w:tcPr>
            <w:tcW w:w="108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50" w:type="dxa"/>
            <w:hideMark/>
          </w:tcPr>
          <w:p w:rsidR="008B19E4" w:rsidRPr="00144DB5" w:rsidRDefault="008B19E4" w:rsidP="002005CB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9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450" w:type="dxa"/>
            <w:hideMark/>
          </w:tcPr>
          <w:p w:rsidR="008B19E4" w:rsidRPr="00144DB5" w:rsidRDefault="008B19E4" w:rsidP="002005CB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317EE7" w:rsidRPr="00144DB5" w:rsidTr="00317EE7">
        <w:trPr>
          <w:trHeight w:val="392"/>
        </w:trPr>
        <w:tc>
          <w:tcPr>
            <w:tcW w:w="321" w:type="dxa"/>
            <w:vMerge w:val="restart"/>
            <w:hideMark/>
          </w:tcPr>
          <w:p w:rsidR="008B19E4" w:rsidRPr="00144DB5" w:rsidRDefault="008B19E4" w:rsidP="00DB3071">
            <w:pPr>
              <w:spacing w:before="960" w:line="200" w:lineRule="exact"/>
              <w:ind w:left="43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I</w:t>
            </w:r>
          </w:p>
        </w:tc>
        <w:tc>
          <w:tcPr>
            <w:tcW w:w="214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 xml:space="preserve">Против направления движения </w:t>
            </w:r>
          </w:p>
        </w:tc>
        <w:tc>
          <w:tcPr>
            <w:tcW w:w="45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9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450" w:type="dxa"/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08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50" w:type="dxa"/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9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450" w:type="dxa"/>
            <w:hideMark/>
          </w:tcPr>
          <w:p w:rsidR="008B19E4" w:rsidRPr="00144DB5" w:rsidRDefault="008B19E4" w:rsidP="002005CB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317EE7" w:rsidRPr="00144DB5" w:rsidTr="00317EE7">
        <w:trPr>
          <w:trHeight w:val="568"/>
        </w:trPr>
        <w:tc>
          <w:tcPr>
            <w:tcW w:w="321" w:type="dxa"/>
            <w:vMerge/>
            <w:hideMark/>
          </w:tcPr>
          <w:p w:rsidR="008B19E4" w:rsidRPr="00144DB5" w:rsidRDefault="008B19E4" w:rsidP="00317EE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14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По направлению движения (встроенная)</w:t>
            </w:r>
          </w:p>
        </w:tc>
        <w:tc>
          <w:tcPr>
            <w:tcW w:w="45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9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50" w:type="dxa"/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08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450" w:type="dxa"/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9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450" w:type="dxa"/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317EE7" w:rsidRPr="00144DB5" w:rsidTr="00317EE7">
        <w:trPr>
          <w:trHeight w:val="578"/>
        </w:trPr>
        <w:tc>
          <w:tcPr>
            <w:tcW w:w="321" w:type="dxa"/>
            <w:vMerge/>
            <w:hideMark/>
          </w:tcPr>
          <w:p w:rsidR="008B19E4" w:rsidRPr="00144DB5" w:rsidRDefault="008B19E4" w:rsidP="00317EE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14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По направлению движения (невстроенная)</w:t>
            </w:r>
          </w:p>
        </w:tc>
        <w:tc>
          <w:tcPr>
            <w:tcW w:w="45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99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45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108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45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99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45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</w:tr>
      <w:tr w:rsidR="00317EE7" w:rsidRPr="00144DB5" w:rsidTr="00317EE7">
        <w:trPr>
          <w:trHeight w:val="465"/>
        </w:trPr>
        <w:tc>
          <w:tcPr>
            <w:tcW w:w="321" w:type="dxa"/>
            <w:vMerge/>
            <w:hideMark/>
          </w:tcPr>
          <w:p w:rsidR="008B19E4" w:rsidRPr="00144DB5" w:rsidRDefault="008B19E4" w:rsidP="00317EE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14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 xml:space="preserve">По направлению движения </w:t>
            </w:r>
            <w:r w:rsidR="00317EE7">
              <w:rPr>
                <w:sz w:val="18"/>
                <w:szCs w:val="18"/>
              </w:rPr>
              <w:br/>
            </w:r>
            <w:r w:rsidRPr="00144DB5">
              <w:rPr>
                <w:sz w:val="18"/>
                <w:szCs w:val="18"/>
              </w:rPr>
              <w:t xml:space="preserve">(невстроенная − </w:t>
            </w:r>
            <w:r w:rsidR="00317EE7">
              <w:rPr>
                <w:sz w:val="18"/>
                <w:szCs w:val="18"/>
              </w:rPr>
              <w:br/>
            </w:r>
            <w:r w:rsidRPr="00144DB5">
              <w:rPr>
                <w:sz w:val="18"/>
                <w:szCs w:val="18"/>
              </w:rPr>
              <w:t>см.</w:t>
            </w:r>
            <w:r w:rsidR="001D6754" w:rsidRPr="00144DB5">
              <w:rPr>
                <w:sz w:val="18"/>
                <w:szCs w:val="18"/>
              </w:rPr>
              <w:t xml:space="preserve"> </w:t>
            </w:r>
            <w:r w:rsidRPr="00144DB5">
              <w:rPr>
                <w:sz w:val="18"/>
                <w:szCs w:val="18"/>
              </w:rPr>
              <w:t>пункт 6.1.12)</w:t>
            </w:r>
          </w:p>
        </w:tc>
        <w:tc>
          <w:tcPr>
            <w:tcW w:w="450" w:type="dxa"/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9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450" w:type="dxa"/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08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450" w:type="dxa"/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9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450" w:type="dxa"/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317EE7" w:rsidRPr="00144DB5" w:rsidTr="00317EE7">
        <w:trPr>
          <w:trHeight w:val="306"/>
        </w:trPr>
        <w:tc>
          <w:tcPr>
            <w:tcW w:w="321" w:type="dxa"/>
            <w:vMerge w:val="restart"/>
            <w:hideMark/>
          </w:tcPr>
          <w:p w:rsidR="008B19E4" w:rsidRPr="00144DB5" w:rsidRDefault="008B19E4" w:rsidP="00DB3071">
            <w:pPr>
              <w:spacing w:before="600" w:line="200" w:lineRule="exact"/>
              <w:ind w:left="43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II</w:t>
            </w:r>
          </w:p>
        </w:tc>
        <w:tc>
          <w:tcPr>
            <w:tcW w:w="214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Против направления движения</w:t>
            </w:r>
          </w:p>
        </w:tc>
        <w:tc>
          <w:tcPr>
            <w:tcW w:w="450" w:type="dxa"/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9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450" w:type="dxa"/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08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450" w:type="dxa"/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9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450" w:type="dxa"/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317EE7" w:rsidRPr="00144DB5" w:rsidTr="00317EE7">
        <w:trPr>
          <w:trHeight w:val="465"/>
        </w:trPr>
        <w:tc>
          <w:tcPr>
            <w:tcW w:w="321" w:type="dxa"/>
            <w:vMerge/>
            <w:hideMark/>
          </w:tcPr>
          <w:p w:rsidR="008B19E4" w:rsidRPr="00144DB5" w:rsidRDefault="008B19E4" w:rsidP="00317EE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14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По направлению движения (встроенная)</w:t>
            </w:r>
          </w:p>
        </w:tc>
        <w:tc>
          <w:tcPr>
            <w:tcW w:w="450" w:type="dxa"/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9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450" w:type="dxa"/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08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450" w:type="dxa"/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9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450" w:type="dxa"/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317EE7" w:rsidRPr="00144DB5" w:rsidTr="00317EE7">
        <w:trPr>
          <w:trHeight w:val="465"/>
        </w:trPr>
        <w:tc>
          <w:tcPr>
            <w:tcW w:w="321" w:type="dxa"/>
            <w:vMerge/>
            <w:tcBorders>
              <w:bottom w:val="single" w:sz="4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14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По направлению движения (невстроенная)</w:t>
            </w:r>
          </w:p>
        </w:tc>
        <w:tc>
          <w:tcPr>
            <w:tcW w:w="450" w:type="dxa"/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9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450" w:type="dxa"/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08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450" w:type="dxa"/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9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450" w:type="dxa"/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317EE7" w:rsidRPr="00144DB5" w:rsidTr="00317EE7">
        <w:trPr>
          <w:trHeight w:val="389"/>
        </w:trPr>
        <w:tc>
          <w:tcPr>
            <w:tcW w:w="321" w:type="dxa"/>
            <w:vMerge w:val="restart"/>
            <w:hideMark/>
          </w:tcPr>
          <w:p w:rsidR="008B19E4" w:rsidRPr="00144DB5" w:rsidRDefault="008B19E4" w:rsidP="00DB3071">
            <w:pPr>
              <w:spacing w:before="600" w:line="200" w:lineRule="exact"/>
              <w:ind w:left="43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III</w:t>
            </w:r>
          </w:p>
        </w:tc>
        <w:tc>
          <w:tcPr>
            <w:tcW w:w="214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Против направления движения</w:t>
            </w:r>
          </w:p>
        </w:tc>
        <w:tc>
          <w:tcPr>
            <w:tcW w:w="450" w:type="dxa"/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9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450" w:type="dxa"/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08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450" w:type="dxa"/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90" w:type="dxa"/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450" w:type="dxa"/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317EE7" w:rsidRPr="00144DB5" w:rsidTr="00317EE7">
        <w:trPr>
          <w:trHeight w:val="465"/>
        </w:trPr>
        <w:tc>
          <w:tcPr>
            <w:tcW w:w="321" w:type="dxa"/>
            <w:vMerge/>
            <w:hideMark/>
          </w:tcPr>
          <w:p w:rsidR="008B19E4" w:rsidRPr="00144DB5" w:rsidRDefault="008B19E4" w:rsidP="00317EE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По направлению движения (встроенная)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4" w:rsidRPr="00144DB5" w:rsidRDefault="008B19E4" w:rsidP="00EF1BF6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317EE7" w:rsidRPr="00144DB5" w:rsidTr="00317EE7">
        <w:trPr>
          <w:trHeight w:val="465"/>
        </w:trPr>
        <w:tc>
          <w:tcPr>
            <w:tcW w:w="321" w:type="dxa"/>
            <w:vMerge/>
            <w:tcBorders>
              <w:bottom w:val="single" w:sz="4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По направлению движения (невстроенная)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НП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E4" w:rsidRPr="00144DB5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144DB5">
              <w:rPr>
                <w:sz w:val="18"/>
                <w:szCs w:val="18"/>
              </w:rPr>
              <w:t>П</w:t>
            </w:r>
            <w:r w:rsidRPr="00144DB5">
              <w:rPr>
                <w:b/>
                <w:sz w:val="18"/>
                <w:szCs w:val="18"/>
                <w:vertAlign w:val="superscript"/>
              </w:rPr>
              <w:t>3)</w:t>
            </w:r>
          </w:p>
        </w:tc>
      </w:tr>
      <w:tr w:rsidR="008B19E4" w:rsidRPr="008B19E4" w:rsidTr="001D6754">
        <w:trPr>
          <w:trHeight w:val="4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4" w:type="dxa"/>
            <w:gridSpan w:val="10"/>
            <w:tcBorders>
              <w:top w:val="single" w:sz="4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hideMark/>
          </w:tcPr>
          <w:p w:rsidR="008B19E4" w:rsidRPr="008B19E4" w:rsidRDefault="008B19E4" w:rsidP="00317EE7">
            <w:pPr>
              <w:spacing w:before="120" w:after="0" w:line="200" w:lineRule="exact"/>
              <w:ind w:left="57"/>
              <w:rPr>
                <w:sz w:val="18"/>
                <w:szCs w:val="18"/>
              </w:rPr>
            </w:pPr>
            <w:r w:rsidRPr="001D6754">
              <w:rPr>
                <w:i/>
                <w:sz w:val="18"/>
                <w:szCs w:val="18"/>
              </w:rPr>
              <w:t>Обозначения</w:t>
            </w:r>
            <w:r w:rsidRPr="008B19E4">
              <w:rPr>
                <w:sz w:val="18"/>
                <w:szCs w:val="18"/>
              </w:rPr>
              <w:t>:</w:t>
            </w:r>
          </w:p>
          <w:p w:rsidR="008B19E4" w:rsidRPr="008B19E4" w:rsidRDefault="008B19E4" w:rsidP="00317EE7">
            <w:pPr>
              <w:tabs>
                <w:tab w:val="left" w:pos="708"/>
              </w:tabs>
              <w:spacing w:before="0" w:after="0" w:line="200" w:lineRule="exact"/>
              <w:ind w:left="57"/>
              <w:rPr>
                <w:sz w:val="18"/>
                <w:szCs w:val="18"/>
              </w:rPr>
            </w:pPr>
            <w:r w:rsidRPr="008B19E4">
              <w:rPr>
                <w:sz w:val="18"/>
                <w:szCs w:val="18"/>
              </w:rPr>
              <w:t>ДУС:</w:t>
            </w:r>
            <w:r w:rsidRPr="008B19E4">
              <w:rPr>
                <w:sz w:val="18"/>
                <w:szCs w:val="18"/>
              </w:rPr>
              <w:tab/>
              <w:t>детская удерживающая система.</w:t>
            </w:r>
          </w:p>
          <w:p w:rsidR="008B19E4" w:rsidRPr="008B19E4" w:rsidRDefault="008B19E4" w:rsidP="00317EE7">
            <w:pPr>
              <w:tabs>
                <w:tab w:val="left" w:pos="708"/>
              </w:tabs>
              <w:spacing w:before="0" w:after="0" w:line="200" w:lineRule="exact"/>
              <w:ind w:left="57"/>
              <w:rPr>
                <w:sz w:val="18"/>
                <w:szCs w:val="18"/>
              </w:rPr>
            </w:pPr>
            <w:r w:rsidRPr="008B19E4">
              <w:rPr>
                <w:sz w:val="18"/>
                <w:szCs w:val="18"/>
              </w:rPr>
              <w:t>П:</w:t>
            </w:r>
            <w:r w:rsidRPr="008B19E4">
              <w:rPr>
                <w:sz w:val="18"/>
                <w:szCs w:val="18"/>
              </w:rPr>
              <w:tab/>
              <w:t>применяется.</w:t>
            </w:r>
          </w:p>
          <w:p w:rsidR="008B19E4" w:rsidRPr="008B19E4" w:rsidRDefault="008B19E4" w:rsidP="00317EE7">
            <w:pPr>
              <w:tabs>
                <w:tab w:val="left" w:pos="708"/>
              </w:tabs>
              <w:spacing w:before="0" w:after="0" w:line="200" w:lineRule="exact"/>
              <w:ind w:left="57"/>
              <w:rPr>
                <w:sz w:val="18"/>
                <w:szCs w:val="18"/>
              </w:rPr>
            </w:pPr>
            <w:r w:rsidRPr="008B19E4">
              <w:rPr>
                <w:sz w:val="18"/>
                <w:szCs w:val="18"/>
              </w:rPr>
              <w:t>НП:</w:t>
            </w:r>
            <w:r w:rsidRPr="008B19E4">
              <w:rPr>
                <w:sz w:val="18"/>
                <w:szCs w:val="18"/>
              </w:rPr>
              <w:tab/>
              <w:t>не применяется.</w:t>
            </w:r>
          </w:p>
          <w:p w:rsidR="008B19E4" w:rsidRPr="008B19E4" w:rsidRDefault="008B19E4" w:rsidP="00317EE7">
            <w:pPr>
              <w:spacing w:line="200" w:lineRule="exact"/>
              <w:ind w:left="57"/>
              <w:rPr>
                <w:sz w:val="18"/>
                <w:szCs w:val="18"/>
              </w:rPr>
            </w:pPr>
            <w:r w:rsidRPr="008B19E4">
              <w:rPr>
                <w:sz w:val="18"/>
                <w:szCs w:val="18"/>
              </w:rPr>
              <w:t>__________________</w:t>
            </w:r>
          </w:p>
          <w:p w:rsidR="008B19E4" w:rsidRPr="008B19E4" w:rsidRDefault="008B19E4" w:rsidP="0013630B">
            <w:pPr>
              <w:pStyle w:val="ad"/>
              <w:tabs>
                <w:tab w:val="left" w:pos="276"/>
              </w:tabs>
              <w:spacing w:line="200" w:lineRule="exact"/>
              <w:ind w:left="346" w:right="0" w:hanging="288"/>
              <w:rPr>
                <w:szCs w:val="18"/>
              </w:rPr>
            </w:pPr>
            <w:r w:rsidRPr="008B19E4">
              <w:rPr>
                <w:szCs w:val="18"/>
                <w:vertAlign w:val="superscript"/>
              </w:rPr>
              <w:t>1)</w:t>
            </w:r>
            <w:r w:rsidRPr="008B19E4">
              <w:rPr>
                <w:szCs w:val="18"/>
                <w:vertAlign w:val="superscript"/>
              </w:rPr>
              <w:tab/>
            </w:r>
            <w:r w:rsidRPr="008B19E4">
              <w:rPr>
                <w:szCs w:val="18"/>
              </w:rPr>
              <w:t>Универсальная ДУС ISOFIX означает удерживающие устройства, устанавливаемые в транспортном средстве по направлению его движения с целью эксплуатации в положениях, предусматривающих использование системы креплений ISOFIX и верхнего крепления страховочного троса.</w:t>
            </w:r>
          </w:p>
          <w:p w:rsidR="008B19E4" w:rsidRPr="008B19E4" w:rsidRDefault="008B19E4" w:rsidP="0013630B">
            <w:pPr>
              <w:pStyle w:val="ad"/>
              <w:tabs>
                <w:tab w:val="left" w:pos="276"/>
              </w:tabs>
              <w:spacing w:line="200" w:lineRule="exact"/>
              <w:ind w:left="346" w:right="0" w:hanging="288"/>
              <w:rPr>
                <w:szCs w:val="18"/>
              </w:rPr>
            </w:pPr>
            <w:r w:rsidRPr="008B19E4">
              <w:rPr>
                <w:szCs w:val="18"/>
                <w:vertAlign w:val="superscript"/>
              </w:rPr>
              <w:t>2)</w:t>
            </w:r>
            <w:r w:rsidRPr="008B19E4">
              <w:rPr>
                <w:szCs w:val="18"/>
              </w:rPr>
              <w:tab/>
            </w:r>
            <w:proofErr w:type="spellStart"/>
            <w:r w:rsidRPr="008B19E4">
              <w:rPr>
                <w:szCs w:val="18"/>
              </w:rPr>
              <w:t>Полууниверсальная</w:t>
            </w:r>
            <w:proofErr w:type="spellEnd"/>
            <w:r w:rsidRPr="008B19E4">
              <w:rPr>
                <w:szCs w:val="18"/>
              </w:rPr>
              <w:t xml:space="preserve"> ДУС ISOFIX означает:</w:t>
            </w:r>
          </w:p>
          <w:p w:rsidR="008B19E4" w:rsidRPr="008B19E4" w:rsidRDefault="008B19E4" w:rsidP="0013630B">
            <w:pPr>
              <w:pStyle w:val="Bullet1GR"/>
              <w:numPr>
                <w:ilvl w:val="0"/>
                <w:numId w:val="16"/>
              </w:numPr>
              <w:spacing w:before="0" w:after="60" w:line="200" w:lineRule="exact"/>
              <w:ind w:left="332" w:right="72" w:hanging="274"/>
              <w:jc w:val="left"/>
              <w:rPr>
                <w:sz w:val="18"/>
                <w:szCs w:val="18"/>
              </w:rPr>
            </w:pPr>
            <w:r w:rsidRPr="008B19E4">
              <w:rPr>
                <w:sz w:val="18"/>
                <w:szCs w:val="18"/>
              </w:rPr>
              <w:t xml:space="preserve">устанавливаемые по направлению движения удерживающие устройства, оборудованные опорой; </w:t>
            </w:r>
          </w:p>
        </w:tc>
      </w:tr>
      <w:tr w:rsidR="008B19E4" w:rsidRPr="008B19E4" w:rsidTr="001D6754">
        <w:trPr>
          <w:trHeight w:val="4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B19E4" w:rsidRPr="008B19E4" w:rsidRDefault="008B19E4" w:rsidP="0013630B">
            <w:pPr>
              <w:pStyle w:val="Bullet1GR"/>
              <w:numPr>
                <w:ilvl w:val="0"/>
                <w:numId w:val="16"/>
              </w:numPr>
              <w:spacing w:before="0" w:after="60" w:line="200" w:lineRule="exact"/>
              <w:ind w:left="332" w:right="72" w:hanging="274"/>
              <w:jc w:val="left"/>
              <w:rPr>
                <w:sz w:val="18"/>
                <w:szCs w:val="18"/>
              </w:rPr>
            </w:pPr>
            <w:r w:rsidRPr="0013630B">
              <w:rPr>
                <w:sz w:val="18"/>
                <w:szCs w:val="18"/>
              </w:rPr>
              <w:lastRenderedPageBreak/>
              <w:t>либо</w:t>
            </w:r>
            <w:r w:rsidRPr="008B19E4">
              <w:rPr>
                <w:sz w:val="18"/>
                <w:szCs w:val="18"/>
              </w:rPr>
              <w:t xml:space="preserve"> устанавливаемые против направления движения удерживающие устройства, оборудованные опорой или лямкой верхнего страховочного троса и предназначенные для эксплуатации на транспортных средствах в положениях, предусматривающих использование системы креплений ISOFIX и крепления верхнего страховочного троса, если это необходимо;</w:t>
            </w:r>
          </w:p>
          <w:p w:rsidR="008B19E4" w:rsidRPr="008B19E4" w:rsidRDefault="008B19E4" w:rsidP="0013630B">
            <w:pPr>
              <w:pStyle w:val="Bullet1GR"/>
              <w:numPr>
                <w:ilvl w:val="0"/>
                <w:numId w:val="16"/>
              </w:numPr>
              <w:spacing w:before="0" w:after="60" w:line="200" w:lineRule="exact"/>
              <w:ind w:left="332" w:right="72" w:hanging="274"/>
              <w:jc w:val="left"/>
              <w:rPr>
                <w:sz w:val="18"/>
                <w:szCs w:val="18"/>
              </w:rPr>
            </w:pPr>
            <w:r w:rsidRPr="008B19E4">
              <w:rPr>
                <w:sz w:val="18"/>
                <w:szCs w:val="18"/>
              </w:rPr>
              <w:t>либо устанавливаемые против направления движения удерживающие устройства с опорой на приборную панель транспортного средства, предназначенные для эксплуатации на переднем пассажирском сиденье, оборудованном системой креплений ISOFIX;</w:t>
            </w:r>
          </w:p>
          <w:p w:rsidR="008B19E4" w:rsidRDefault="008B19E4" w:rsidP="0013630B">
            <w:pPr>
              <w:pStyle w:val="Bullet1GR"/>
              <w:numPr>
                <w:ilvl w:val="0"/>
                <w:numId w:val="16"/>
              </w:numPr>
              <w:spacing w:before="0" w:after="60" w:line="200" w:lineRule="exact"/>
              <w:ind w:left="332" w:right="72" w:hanging="274"/>
              <w:jc w:val="left"/>
              <w:rPr>
                <w:sz w:val="18"/>
                <w:szCs w:val="18"/>
              </w:rPr>
            </w:pPr>
            <w:r w:rsidRPr="008B19E4">
              <w:rPr>
                <w:sz w:val="18"/>
                <w:szCs w:val="18"/>
              </w:rPr>
              <w:t>либо устанавливаемые в боковом положении удерживающие устройства, оснащенные при необходимости препятствующим угловому перемещению приспособлением и предназначенные для эксплуатации на транспортных средствах в положениях, предусматривающих использование системы креплений ISOFIX и крепления верхнего страховочного троса, если это необходимо.</w:t>
            </w:r>
          </w:p>
          <w:p w:rsidR="001D6754" w:rsidRPr="008B19E4" w:rsidRDefault="001D6754" w:rsidP="0013630B">
            <w:pPr>
              <w:pStyle w:val="ad"/>
              <w:tabs>
                <w:tab w:val="left" w:pos="276"/>
              </w:tabs>
              <w:spacing w:line="200" w:lineRule="exact"/>
              <w:ind w:left="346" w:right="0" w:hanging="288"/>
              <w:rPr>
                <w:szCs w:val="18"/>
              </w:rPr>
            </w:pPr>
            <w:r>
              <w:rPr>
                <w:szCs w:val="18"/>
              </w:rPr>
              <w:t>…</w:t>
            </w:r>
          </w:p>
          <w:p w:rsidR="008B19E4" w:rsidRPr="008B19E4" w:rsidRDefault="008B19E4" w:rsidP="00D91990">
            <w:pPr>
              <w:pStyle w:val="ad"/>
              <w:tabs>
                <w:tab w:val="left" w:pos="276"/>
              </w:tabs>
              <w:spacing w:after="0" w:line="200" w:lineRule="exact"/>
              <w:ind w:left="346" w:right="0" w:hanging="288"/>
              <w:rPr>
                <w:szCs w:val="18"/>
              </w:rPr>
            </w:pPr>
            <w:r w:rsidRPr="008B19E4">
              <w:rPr>
                <w:b/>
                <w:sz w:val="16"/>
                <w:szCs w:val="16"/>
                <w:vertAlign w:val="superscript"/>
              </w:rPr>
              <w:t>3)</w:t>
            </w:r>
            <w:r w:rsidRPr="008B19E4">
              <w:rPr>
                <w:sz w:val="16"/>
                <w:szCs w:val="16"/>
                <w:vertAlign w:val="superscript"/>
              </w:rPr>
              <w:tab/>
            </w:r>
            <w:r w:rsidRPr="008B19E4">
              <w:rPr>
                <w:szCs w:val="18"/>
              </w:rPr>
              <w:t>Новые официальные утверждения и распространения официальных утверждений будут предоставляться в соответствии с пунктами 17.16</w:t>
            </w:r>
            <w:r w:rsidRPr="008B19E4">
              <w:rPr>
                <w:b/>
                <w:szCs w:val="18"/>
              </w:rPr>
              <w:t>–</w:t>
            </w:r>
            <w:r w:rsidR="001D6754" w:rsidRPr="00E073B0">
              <w:rPr>
                <w:bCs/>
                <w:strike/>
                <w:szCs w:val="18"/>
              </w:rPr>
              <w:t>17.21</w:t>
            </w:r>
            <w:r w:rsidRPr="008B19E4">
              <w:rPr>
                <w:b/>
                <w:szCs w:val="18"/>
              </w:rPr>
              <w:t>17.23</w:t>
            </w:r>
            <w:r w:rsidRPr="008B19E4">
              <w:rPr>
                <w:szCs w:val="18"/>
              </w:rPr>
              <w:t>.</w:t>
            </w:r>
          </w:p>
        </w:tc>
      </w:tr>
      <w:tr w:rsidR="001D6754" w:rsidRPr="008B19E4" w:rsidTr="001D6754">
        <w:trPr>
          <w:trHeight w:val="84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4" w:rsidRPr="001D6754" w:rsidRDefault="001D6754" w:rsidP="00317EE7">
            <w:pPr>
              <w:spacing w:before="0" w:after="0" w:line="200" w:lineRule="exact"/>
            </w:pPr>
          </w:p>
        </w:tc>
      </w:tr>
    </w:tbl>
    <w:p w:rsidR="00FA1D7C" w:rsidRPr="00FA1D7C" w:rsidRDefault="00FA1D7C" w:rsidP="00D91990">
      <w:pPr>
        <w:pStyle w:val="para"/>
        <w:spacing w:after="0"/>
        <w:ind w:left="2276" w:right="1138" w:hanging="1138"/>
        <w:jc w:val="right"/>
        <w:rPr>
          <w:iCs/>
          <w:lang w:val="ru-RU"/>
        </w:rPr>
      </w:pPr>
      <w:r w:rsidRPr="00FA1D7C">
        <w:rPr>
          <w:iCs/>
          <w:lang w:val="ru-RU"/>
        </w:rPr>
        <w:t>»</w:t>
      </w:r>
    </w:p>
    <w:p w:rsidR="008B19E4" w:rsidRPr="00C624D5" w:rsidRDefault="008B19E4" w:rsidP="001D6754">
      <w:pPr>
        <w:pStyle w:val="para"/>
        <w:spacing w:before="120"/>
        <w:ind w:left="2276" w:right="1138" w:hanging="1138"/>
        <w:rPr>
          <w:lang w:val="ru-RU"/>
        </w:rPr>
      </w:pPr>
      <w:r>
        <w:rPr>
          <w:i/>
          <w:iCs/>
          <w:lang w:val="ru-RU"/>
        </w:rPr>
        <w:t>Включить новые пункты 17.</w:t>
      </w:r>
      <w:r>
        <w:rPr>
          <w:b/>
          <w:bCs/>
          <w:i/>
          <w:iCs/>
          <w:lang w:val="ru-RU"/>
        </w:rPr>
        <w:t>22</w:t>
      </w:r>
      <w:r>
        <w:rPr>
          <w:i/>
          <w:iCs/>
          <w:lang w:val="ru-RU"/>
        </w:rPr>
        <w:t xml:space="preserve"> и 17.</w:t>
      </w:r>
      <w:r>
        <w:rPr>
          <w:b/>
          <w:bCs/>
          <w:i/>
          <w:iCs/>
          <w:lang w:val="ru-RU"/>
        </w:rPr>
        <w:t>23</w:t>
      </w:r>
      <w:r>
        <w:rPr>
          <w:lang w:val="ru-RU"/>
        </w:rPr>
        <w:t xml:space="preserve"> следующего содержания:</w:t>
      </w:r>
    </w:p>
    <w:p w:rsidR="008B19E4" w:rsidRPr="00C624D5" w:rsidRDefault="001D6754" w:rsidP="001D6754">
      <w:pPr>
        <w:pStyle w:val="SingleTxtGR"/>
        <w:tabs>
          <w:tab w:val="clear" w:pos="1701"/>
        </w:tabs>
        <w:ind w:left="2146" w:right="1138" w:hanging="1008"/>
        <w:rPr>
          <w:b/>
        </w:rPr>
      </w:pPr>
      <w:r w:rsidRPr="001D6754">
        <w:rPr>
          <w:bCs/>
        </w:rPr>
        <w:t>«</w:t>
      </w:r>
      <w:r w:rsidR="008B19E4">
        <w:rPr>
          <w:b/>
          <w:bCs/>
        </w:rPr>
        <w:t>17.22</w:t>
      </w:r>
      <w:r>
        <w:tab/>
      </w:r>
      <w:r w:rsidR="008B19E4" w:rsidRPr="001D6754">
        <w:rPr>
          <w:b/>
        </w:rPr>
        <w:t>Начиная</w:t>
      </w:r>
      <w:r w:rsidR="008B19E4">
        <w:rPr>
          <w:b/>
          <w:bCs/>
        </w:rPr>
        <w:t xml:space="preserve"> с [1 сентября 2020 года] никакие новые официальные утверждения для детских удерживающих систем на основании настоящих Правил не должны предоставляться.</w:t>
      </w:r>
      <w:r w:rsidR="008B19E4">
        <w:t xml:space="preserve"> </w:t>
      </w:r>
    </w:p>
    <w:p w:rsidR="008B19E4" w:rsidRPr="00C624D5" w:rsidRDefault="008B19E4" w:rsidP="001D6754">
      <w:pPr>
        <w:pStyle w:val="SingleTxtGR"/>
        <w:tabs>
          <w:tab w:val="clear" w:pos="1701"/>
        </w:tabs>
        <w:ind w:left="2146" w:right="1138" w:hanging="1008"/>
        <w:rPr>
          <w:b/>
        </w:rPr>
      </w:pPr>
      <w:r w:rsidRPr="00C624D5">
        <w:rPr>
          <w:b/>
        </w:rPr>
        <w:t>17.23</w:t>
      </w:r>
      <w:r>
        <w:tab/>
      </w:r>
      <w:r w:rsidRPr="001D6754">
        <w:rPr>
          <w:b/>
        </w:rPr>
        <w:t>Начиная</w:t>
      </w:r>
      <w:r>
        <w:rPr>
          <w:b/>
          <w:bCs/>
        </w:rPr>
        <w:t xml:space="preserve"> с [1 сентября 2022 года] никакие распространения для детских удерживающих систем на основании настоящих Правил не должны предоставляться</w:t>
      </w:r>
      <w:r w:rsidR="001D6754" w:rsidRPr="001D6754">
        <w:rPr>
          <w:bCs/>
        </w:rPr>
        <w:t>».</w:t>
      </w:r>
    </w:p>
    <w:p w:rsidR="008B19E4" w:rsidRPr="00C624D5" w:rsidRDefault="008B19E4" w:rsidP="008B19E4">
      <w:pPr>
        <w:pStyle w:val="HChG"/>
        <w:ind w:left="0" w:firstLine="0"/>
      </w:pPr>
      <w:r>
        <w:tab/>
        <w:t>II.</w:t>
      </w:r>
      <w:r>
        <w:tab/>
      </w:r>
      <w:r>
        <w:rPr>
          <w:bCs/>
        </w:rPr>
        <w:t>Обоснование</w:t>
      </w:r>
    </w:p>
    <w:p w:rsidR="008B19E4" w:rsidRPr="00C624D5" w:rsidRDefault="008B19E4" w:rsidP="008B19E4">
      <w:pPr>
        <w:pStyle w:val="SingleTxtG"/>
        <w:rPr>
          <w:rFonts w:eastAsia="MS Mincho"/>
        </w:rPr>
      </w:pPr>
      <w:r>
        <w:t>1.</w:t>
      </w:r>
      <w:r>
        <w:tab/>
        <w:t xml:space="preserve">На своей 179-й сессии WP.29 принял предложение о введении положений, позволяющих включить в область применения Правил № 129 </w:t>
      </w:r>
      <w:proofErr w:type="gramStart"/>
      <w:r>
        <w:t>ООН</w:t>
      </w:r>
      <w:proofErr w:type="gramEnd"/>
      <w:r>
        <w:t xml:space="preserve"> усовершенствованные детские удерживающие системы категории «</w:t>
      </w:r>
      <w:proofErr w:type="spellStart"/>
      <w:r>
        <w:t>бустерная</w:t>
      </w:r>
      <w:proofErr w:type="spellEnd"/>
      <w:r>
        <w:t xml:space="preserve"> подушка», в качестве дополнения 3 к поправкам серии 03.</w:t>
      </w:r>
    </w:p>
    <w:p w:rsidR="008B19E4" w:rsidRPr="00C624D5" w:rsidRDefault="008B19E4" w:rsidP="008B19E4">
      <w:pPr>
        <w:pStyle w:val="SingleTxtG"/>
        <w:rPr>
          <w:rFonts w:eastAsia="MS Mincho"/>
        </w:rPr>
      </w:pPr>
      <w:r>
        <w:t>2.</w:t>
      </w:r>
      <w:r>
        <w:tab/>
      </w:r>
      <w:proofErr w:type="gramStart"/>
      <w:r>
        <w:t>В</w:t>
      </w:r>
      <w:proofErr w:type="gramEnd"/>
      <w:r>
        <w:t xml:space="preserve"> таком случае </w:t>
      </w:r>
      <w:proofErr w:type="spellStart"/>
      <w:r>
        <w:t>бустерные</w:t>
      </w:r>
      <w:proofErr w:type="spellEnd"/>
      <w:r>
        <w:t xml:space="preserve"> подушки могут официально утверждаться на основании либо Правил № 44 ООН, либо Правил № 129 ООН по усмотрению изготовителя, возможно в течение неопределенного периода.  </w:t>
      </w:r>
    </w:p>
    <w:p w:rsidR="008B19E4" w:rsidRPr="00C624D5" w:rsidRDefault="00317EE7" w:rsidP="008B19E4">
      <w:pPr>
        <w:pStyle w:val="SingleTxtG"/>
        <w:rPr>
          <w:rFonts w:eastAsia="MS Mincho"/>
        </w:rPr>
      </w:pPr>
      <w:r>
        <w:t>3.</w:t>
      </w:r>
      <w:r>
        <w:tab/>
      </w:r>
      <w:r w:rsidR="008B19E4">
        <w:t xml:space="preserve">МОПС и АНЕК считают, что нежелательно продолжать разрешать изготовителям УДУС приступать к разработке новых изделий на основании </w:t>
      </w:r>
      <w:r w:rsidR="00FA1D7C">
        <w:br/>
      </w:r>
      <w:r w:rsidR="008B19E4">
        <w:t xml:space="preserve">Правил № 44 ООН в течение неопределенного периода, так как это чревато следующими последствиями: </w:t>
      </w:r>
    </w:p>
    <w:p w:rsidR="008B19E4" w:rsidRPr="00C624D5" w:rsidRDefault="008B19E4" w:rsidP="008B19E4">
      <w:pPr>
        <w:pStyle w:val="SingleTxtG"/>
        <w:tabs>
          <w:tab w:val="left" w:pos="1701"/>
        </w:tabs>
        <w:rPr>
          <w:rFonts w:eastAsia="MS Mincho"/>
        </w:rPr>
      </w:pPr>
      <w:r>
        <w:tab/>
        <w:t>a)</w:t>
      </w:r>
      <w:r>
        <w:tab/>
        <w:t>возможность поступления на рынок двух категорий изделий, обеспечивающих два уровня защиты;</w:t>
      </w:r>
    </w:p>
    <w:p w:rsidR="008B19E4" w:rsidRPr="00C624D5" w:rsidRDefault="008B19E4" w:rsidP="008B19E4">
      <w:pPr>
        <w:pStyle w:val="SingleTxtG"/>
        <w:tabs>
          <w:tab w:val="left" w:pos="1701"/>
        </w:tabs>
        <w:rPr>
          <w:rFonts w:eastAsia="MS Mincho"/>
        </w:rPr>
      </w:pPr>
      <w:r>
        <w:tab/>
        <w:t>b)</w:t>
      </w:r>
      <w:r>
        <w:tab/>
        <w:t xml:space="preserve">дезориентация пользователей (критерий массы против критерия роста); </w:t>
      </w:r>
    </w:p>
    <w:p w:rsidR="008B19E4" w:rsidRPr="00C624D5" w:rsidRDefault="008B19E4" w:rsidP="008B19E4">
      <w:pPr>
        <w:pStyle w:val="SingleTxtG"/>
        <w:tabs>
          <w:tab w:val="left" w:pos="1701"/>
        </w:tabs>
        <w:rPr>
          <w:rFonts w:eastAsia="MS Mincho"/>
        </w:rPr>
      </w:pPr>
      <w:r>
        <w:tab/>
        <w:t>c)</w:t>
      </w:r>
      <w:r>
        <w:tab/>
        <w:t xml:space="preserve">снижение стимулов, поощряющих изготовителей разрабатывать изделия, соответствующие самому последнему стандарту. </w:t>
      </w:r>
    </w:p>
    <w:p w:rsidR="008B19E4" w:rsidRPr="00C624D5" w:rsidRDefault="008B19E4" w:rsidP="008B19E4">
      <w:pPr>
        <w:pStyle w:val="SingleTxtG"/>
        <w:rPr>
          <w:rFonts w:eastAsia="MS Mincho"/>
        </w:rPr>
      </w:pPr>
      <w:r>
        <w:t>4.</w:t>
      </w:r>
      <w:r>
        <w:tab/>
        <w:t>Благодаря этому все категории ДУС охвачены Правилами № 129 ООН, что создает возможность для применения единых правил.</w:t>
      </w:r>
    </w:p>
    <w:p w:rsidR="008B19E4" w:rsidRPr="00C624D5" w:rsidRDefault="008B19E4" w:rsidP="008B19E4">
      <w:pPr>
        <w:pStyle w:val="SingleTxtG"/>
        <w:rPr>
          <w:rFonts w:eastAsia="MS Mincho"/>
        </w:rPr>
      </w:pPr>
      <w:r>
        <w:t>5.</w:t>
      </w:r>
      <w:r>
        <w:tab/>
        <w:t>Более значительное число договаривающихся сторон Соглашения 1958 года подписали Правила № 129 ООН, чем Правила № 44 ООН. Нет ни одной договаривающейся стороны, которая подписала бы только Правила № 44 ООН, не подписав при этом Правила № 129 ООН. Поэтому нет никакого риска в отношении того, что недавно разработанные УДУС не будут иметь доступа на некоторые рынки.</w:t>
      </w:r>
    </w:p>
    <w:p w:rsidR="00E12C5F" w:rsidRDefault="008B19E4" w:rsidP="008852B9">
      <w:pPr>
        <w:pStyle w:val="SingleTxtGR"/>
        <w:spacing w:after="0"/>
        <w:ind w:left="1138" w:right="1138"/>
      </w:pPr>
      <w:r>
        <w:t>6.</w:t>
      </w:r>
      <w:r>
        <w:tab/>
        <w:t>Исходя из этого, МОПС и АНЕК предлагают не предоставлять новых официальных утверждений в отношении ДУС на основании Правил № 44 ООН начиная с [1 сентября 2020 года] и соответствующим образом изменить переходные положения.</w:t>
      </w:r>
    </w:p>
    <w:p w:rsidR="001D6754" w:rsidRPr="001D6754" w:rsidRDefault="001D6754" w:rsidP="008852B9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D6754" w:rsidRPr="001D6754" w:rsidSect="008B19E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3E" w:rsidRPr="00A312BC" w:rsidRDefault="00002B3E" w:rsidP="00A312BC"/>
  </w:endnote>
  <w:endnote w:type="continuationSeparator" w:id="0">
    <w:p w:rsidR="00002B3E" w:rsidRPr="00A312BC" w:rsidRDefault="00002B3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E4" w:rsidRPr="008B19E4" w:rsidRDefault="008B19E4">
    <w:pPr>
      <w:pStyle w:val="a8"/>
    </w:pPr>
    <w:r w:rsidRPr="008B19E4">
      <w:rPr>
        <w:b/>
        <w:sz w:val="18"/>
      </w:rPr>
      <w:fldChar w:fldCharType="begin"/>
    </w:r>
    <w:r w:rsidRPr="008B19E4">
      <w:rPr>
        <w:b/>
        <w:sz w:val="18"/>
      </w:rPr>
      <w:instrText xml:space="preserve"> PAGE  \* MERGEFORMAT </w:instrText>
    </w:r>
    <w:r w:rsidRPr="008B19E4">
      <w:rPr>
        <w:b/>
        <w:sz w:val="18"/>
      </w:rPr>
      <w:fldChar w:fldCharType="separate"/>
    </w:r>
    <w:r w:rsidR="00967689">
      <w:rPr>
        <w:b/>
        <w:noProof/>
        <w:sz w:val="18"/>
      </w:rPr>
      <w:t>2</w:t>
    </w:r>
    <w:r w:rsidRPr="008B19E4">
      <w:rPr>
        <w:b/>
        <w:sz w:val="18"/>
      </w:rPr>
      <w:fldChar w:fldCharType="end"/>
    </w:r>
    <w:r>
      <w:rPr>
        <w:b/>
        <w:sz w:val="18"/>
      </w:rPr>
      <w:tab/>
    </w:r>
    <w:r>
      <w:t>GE.19-16564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E4" w:rsidRPr="008B19E4" w:rsidRDefault="008B19E4" w:rsidP="008B19E4">
    <w:pPr>
      <w:pStyle w:val="a8"/>
      <w:tabs>
        <w:tab w:val="clear" w:pos="9639"/>
        <w:tab w:val="right" w:pos="9638"/>
      </w:tabs>
      <w:rPr>
        <w:b/>
        <w:sz w:val="18"/>
      </w:rPr>
    </w:pPr>
    <w:r>
      <w:t>GE.19-16564</w:t>
    </w:r>
    <w:r>
      <w:tab/>
    </w:r>
    <w:r w:rsidRPr="008B19E4">
      <w:rPr>
        <w:b/>
        <w:sz w:val="18"/>
      </w:rPr>
      <w:fldChar w:fldCharType="begin"/>
    </w:r>
    <w:r w:rsidRPr="008B19E4">
      <w:rPr>
        <w:b/>
        <w:sz w:val="18"/>
      </w:rPr>
      <w:instrText xml:space="preserve"> PAGE  \* MERGEFORMAT </w:instrText>
    </w:r>
    <w:r w:rsidRPr="008B19E4">
      <w:rPr>
        <w:b/>
        <w:sz w:val="18"/>
      </w:rPr>
      <w:fldChar w:fldCharType="separate"/>
    </w:r>
    <w:r w:rsidR="00967689">
      <w:rPr>
        <w:b/>
        <w:noProof/>
        <w:sz w:val="18"/>
      </w:rPr>
      <w:t>3</w:t>
    </w:r>
    <w:r w:rsidRPr="008B19E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B19E4" w:rsidRDefault="008B19E4" w:rsidP="008B19E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16564  (</w:t>
    </w:r>
    <w:proofErr w:type="gramEnd"/>
    <w:r>
      <w:t>R)</w:t>
    </w:r>
    <w:r>
      <w:rPr>
        <w:lang w:val="en-US"/>
      </w:rPr>
      <w:t xml:space="preserve">  270919  300919</w:t>
    </w:r>
    <w:r>
      <w:br/>
    </w:r>
    <w:r w:rsidRPr="008B19E4">
      <w:rPr>
        <w:rFonts w:ascii="C39T30Lfz" w:hAnsi="C39T30Lfz"/>
        <w:kern w:val="14"/>
        <w:sz w:val="56"/>
      </w:rPr>
      <w:t></w:t>
    </w:r>
    <w:r w:rsidRPr="008B19E4">
      <w:rPr>
        <w:rFonts w:ascii="C39T30Lfz" w:hAnsi="C39T30Lfz"/>
        <w:kern w:val="14"/>
        <w:sz w:val="56"/>
      </w:rPr>
      <w:t></w:t>
    </w:r>
    <w:r w:rsidRPr="008B19E4">
      <w:rPr>
        <w:rFonts w:ascii="C39T30Lfz" w:hAnsi="C39T30Lfz"/>
        <w:kern w:val="14"/>
        <w:sz w:val="56"/>
      </w:rPr>
      <w:t></w:t>
    </w:r>
    <w:r w:rsidRPr="008B19E4">
      <w:rPr>
        <w:rFonts w:ascii="C39T30Lfz" w:hAnsi="C39T30Lfz"/>
        <w:kern w:val="14"/>
        <w:sz w:val="56"/>
      </w:rPr>
      <w:t></w:t>
    </w:r>
    <w:r w:rsidRPr="008B19E4">
      <w:rPr>
        <w:rFonts w:ascii="C39T30Lfz" w:hAnsi="C39T30Lfz"/>
        <w:kern w:val="14"/>
        <w:sz w:val="56"/>
      </w:rPr>
      <w:t></w:t>
    </w:r>
    <w:r w:rsidRPr="008B19E4">
      <w:rPr>
        <w:rFonts w:ascii="C39T30Lfz" w:hAnsi="C39T30Lfz"/>
        <w:kern w:val="14"/>
        <w:sz w:val="56"/>
      </w:rPr>
      <w:t></w:t>
    </w:r>
    <w:r w:rsidRPr="008B19E4">
      <w:rPr>
        <w:rFonts w:ascii="C39T30Lfz" w:hAnsi="C39T30Lfz"/>
        <w:kern w:val="14"/>
        <w:sz w:val="56"/>
      </w:rPr>
      <w:t></w:t>
    </w:r>
    <w:r w:rsidRPr="008B19E4">
      <w:rPr>
        <w:rFonts w:ascii="C39T30Lfz" w:hAnsi="C39T30Lfz"/>
        <w:kern w:val="14"/>
        <w:sz w:val="56"/>
      </w:rPr>
      <w:t></w:t>
    </w:r>
    <w:r w:rsidRPr="008B19E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9/2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2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3E" w:rsidRPr="001075E9" w:rsidRDefault="00002B3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02B3E" w:rsidRDefault="00002B3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B19E4" w:rsidRPr="005463F9" w:rsidRDefault="008B19E4" w:rsidP="008B19E4">
      <w:pPr>
        <w:pStyle w:val="ad"/>
      </w:pPr>
      <w:r>
        <w:tab/>
      </w:r>
      <w:r w:rsidRPr="008B19E4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E4" w:rsidRPr="008B19E4" w:rsidRDefault="0096768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D35745">
      <w:t>ECE/TRANS/WP.29/GRSP/2019/23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9E4" w:rsidRPr="008B19E4" w:rsidRDefault="00967689" w:rsidP="008B19E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35745">
      <w:t>ECE/TRANS/WP.29/GRSP/2019/23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3E"/>
    <w:rsid w:val="00002B3E"/>
    <w:rsid w:val="00033EE1"/>
    <w:rsid w:val="00042B72"/>
    <w:rsid w:val="000558BD"/>
    <w:rsid w:val="00085B76"/>
    <w:rsid w:val="000B57E7"/>
    <w:rsid w:val="000B6373"/>
    <w:rsid w:val="000E4E5B"/>
    <w:rsid w:val="000F09DF"/>
    <w:rsid w:val="000F61B2"/>
    <w:rsid w:val="001075E9"/>
    <w:rsid w:val="0013630B"/>
    <w:rsid w:val="0014152F"/>
    <w:rsid w:val="00144DB5"/>
    <w:rsid w:val="00180183"/>
    <w:rsid w:val="0018024D"/>
    <w:rsid w:val="0018649F"/>
    <w:rsid w:val="00196389"/>
    <w:rsid w:val="001B3EF6"/>
    <w:rsid w:val="001C7A89"/>
    <w:rsid w:val="001D6754"/>
    <w:rsid w:val="002005CB"/>
    <w:rsid w:val="002523DC"/>
    <w:rsid w:val="00255343"/>
    <w:rsid w:val="0027151D"/>
    <w:rsid w:val="002A2EFC"/>
    <w:rsid w:val="002A37D4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17EE7"/>
    <w:rsid w:val="00322004"/>
    <w:rsid w:val="003402C2"/>
    <w:rsid w:val="00353660"/>
    <w:rsid w:val="0035487B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50A2"/>
    <w:rsid w:val="008016F2"/>
    <w:rsid w:val="00806737"/>
    <w:rsid w:val="00825F8D"/>
    <w:rsid w:val="00834B71"/>
    <w:rsid w:val="0086445C"/>
    <w:rsid w:val="008852B9"/>
    <w:rsid w:val="00894693"/>
    <w:rsid w:val="008A08D7"/>
    <w:rsid w:val="008A37C8"/>
    <w:rsid w:val="008B19E4"/>
    <w:rsid w:val="008B6909"/>
    <w:rsid w:val="008D53B6"/>
    <w:rsid w:val="008F7609"/>
    <w:rsid w:val="00906890"/>
    <w:rsid w:val="00911BE4"/>
    <w:rsid w:val="00951972"/>
    <w:rsid w:val="009608F3"/>
    <w:rsid w:val="00967689"/>
    <w:rsid w:val="009A24AC"/>
    <w:rsid w:val="009C59D7"/>
    <w:rsid w:val="009C6FE6"/>
    <w:rsid w:val="009D7E7D"/>
    <w:rsid w:val="00A060F0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35745"/>
    <w:rsid w:val="00D5253A"/>
    <w:rsid w:val="00D873A8"/>
    <w:rsid w:val="00D90028"/>
    <w:rsid w:val="00D90138"/>
    <w:rsid w:val="00D9145B"/>
    <w:rsid w:val="00D91990"/>
    <w:rsid w:val="00DB3071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1BF6"/>
    <w:rsid w:val="00EF3220"/>
    <w:rsid w:val="00F2523A"/>
    <w:rsid w:val="00F43903"/>
    <w:rsid w:val="00F94155"/>
    <w:rsid w:val="00F9783F"/>
    <w:rsid w:val="00FA1D7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9731407-FF19-47A0-84EC-55232D24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8B19E4"/>
    <w:rPr>
      <w:lang w:val="ru-RU" w:eastAsia="en-US"/>
    </w:rPr>
  </w:style>
  <w:style w:type="character" w:customStyle="1" w:styleId="HChGChar">
    <w:name w:val="_ H _Ch_G Char"/>
    <w:link w:val="HChG"/>
    <w:rsid w:val="008B19E4"/>
    <w:rPr>
      <w:b/>
      <w:sz w:val="28"/>
      <w:lang w:val="ru-RU" w:eastAsia="ru-RU"/>
    </w:rPr>
  </w:style>
  <w:style w:type="paragraph" w:customStyle="1" w:styleId="para">
    <w:name w:val="para"/>
    <w:basedOn w:val="a"/>
    <w:link w:val="paraChar"/>
    <w:qFormat/>
    <w:rsid w:val="008B19E4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8B19E4"/>
    <w:rPr>
      <w:snapToGrid w:val="0"/>
      <w:lang w:val="fr-FR" w:eastAsia="en-US"/>
    </w:rPr>
  </w:style>
  <w:style w:type="paragraph" w:customStyle="1" w:styleId="SingleTxtGR">
    <w:name w:val="_ Single Txt_GR"/>
    <w:basedOn w:val="a"/>
    <w:link w:val="SingleTxtGR0"/>
    <w:qFormat/>
    <w:rsid w:val="008B19E4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Bullet1GR">
    <w:name w:val="_Bullet 1_GR"/>
    <w:basedOn w:val="a"/>
    <w:qFormat/>
    <w:rsid w:val="008B19E4"/>
    <w:pPr>
      <w:tabs>
        <w:tab w:val="num" w:pos="1701"/>
      </w:tabs>
      <w:spacing w:after="120"/>
      <w:ind w:left="1701" w:right="1134" w:hanging="170"/>
      <w:jc w:val="both"/>
    </w:pPr>
    <w:rPr>
      <w:rFonts w:eastAsia="Times New Roman" w:cs="Times New Roman"/>
      <w:szCs w:val="20"/>
      <w:lang w:eastAsia="ru-RU"/>
    </w:rPr>
  </w:style>
  <w:style w:type="character" w:customStyle="1" w:styleId="SingleTxtGR0">
    <w:name w:val="_ Single Txt_GR Знак"/>
    <w:link w:val="SingleTxtGR"/>
    <w:locked/>
    <w:rsid w:val="008B19E4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820</Words>
  <Characters>5298</Characters>
  <Application>Microsoft Office Word</Application>
  <DocSecurity>0</DocSecurity>
  <Lines>274</Lines>
  <Paragraphs>184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ECE/TRANS/WP.29/GRSP/2019/23</vt:lpstr>
      <vt:lpstr>A/</vt:lpstr>
      <vt:lpstr>A/</vt:lpstr>
    </vt:vector>
  </TitlesOfParts>
  <Company>DCM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ECE/TRANS/WP.29/GRSP/2019/23</dc:title>
  <dc:subject/>
  <dc:creator>Tatiana SHARKINA</dc:creator>
  <cp:keywords/>
  <cp:lastModifiedBy>Tatiana Sharkina</cp:lastModifiedBy>
  <cp:revision>4</cp:revision>
  <cp:lastPrinted>2019-09-30T08:19:00Z</cp:lastPrinted>
  <dcterms:created xsi:type="dcterms:W3CDTF">2019-09-30T08:19:00Z</dcterms:created>
  <dcterms:modified xsi:type="dcterms:W3CDTF">2019-09-30T08:21:00Z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