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A5A53" w:rsidTr="00B20551">
        <w:trPr>
          <w:cantSplit/>
          <w:trHeight w:hRule="exact" w:val="851"/>
        </w:trPr>
        <w:tc>
          <w:tcPr>
            <w:tcW w:w="1276" w:type="dxa"/>
            <w:tcBorders>
              <w:bottom w:val="single" w:sz="4" w:space="0" w:color="auto"/>
            </w:tcBorders>
            <w:vAlign w:val="bottom"/>
          </w:tcPr>
          <w:p w:rsidR="009E6CB7" w:rsidRPr="00BA5A53" w:rsidRDefault="009E6CB7" w:rsidP="00B20551">
            <w:pPr>
              <w:spacing w:after="80"/>
            </w:pPr>
          </w:p>
        </w:tc>
        <w:tc>
          <w:tcPr>
            <w:tcW w:w="2268" w:type="dxa"/>
            <w:tcBorders>
              <w:bottom w:val="single" w:sz="4" w:space="0" w:color="auto"/>
            </w:tcBorders>
            <w:vAlign w:val="bottom"/>
          </w:tcPr>
          <w:p w:rsidR="009E6CB7" w:rsidRPr="00BA5A53" w:rsidRDefault="009E6CB7" w:rsidP="00B20551">
            <w:pPr>
              <w:spacing w:after="80" w:line="300" w:lineRule="exact"/>
              <w:rPr>
                <w:b/>
                <w:sz w:val="24"/>
                <w:szCs w:val="24"/>
              </w:rPr>
            </w:pPr>
            <w:r w:rsidRPr="00BA5A53">
              <w:rPr>
                <w:sz w:val="28"/>
                <w:szCs w:val="28"/>
              </w:rPr>
              <w:t>United Nations</w:t>
            </w:r>
          </w:p>
        </w:tc>
        <w:tc>
          <w:tcPr>
            <w:tcW w:w="6095" w:type="dxa"/>
            <w:gridSpan w:val="2"/>
            <w:tcBorders>
              <w:bottom w:val="single" w:sz="4" w:space="0" w:color="auto"/>
            </w:tcBorders>
            <w:vAlign w:val="bottom"/>
          </w:tcPr>
          <w:p w:rsidR="009E6CB7" w:rsidRPr="00BA5A53" w:rsidRDefault="0044397D" w:rsidP="0044397D">
            <w:pPr>
              <w:jc w:val="right"/>
            </w:pPr>
            <w:r w:rsidRPr="00BA5A53">
              <w:rPr>
                <w:sz w:val="40"/>
              </w:rPr>
              <w:t>ECE</w:t>
            </w:r>
            <w:r w:rsidRPr="00BA5A53">
              <w:t>/TRANS/WP.29/GRSP/2019/</w:t>
            </w:r>
            <w:r w:rsidR="0033625B" w:rsidRPr="00BA5A53">
              <w:t>2</w:t>
            </w:r>
            <w:r w:rsidR="00E2571B" w:rsidRPr="00BA5A53">
              <w:t>9</w:t>
            </w:r>
          </w:p>
        </w:tc>
      </w:tr>
      <w:tr w:rsidR="009E6CB7" w:rsidRPr="00BA5A53" w:rsidTr="00B20551">
        <w:trPr>
          <w:cantSplit/>
          <w:trHeight w:hRule="exact" w:val="2835"/>
        </w:trPr>
        <w:tc>
          <w:tcPr>
            <w:tcW w:w="1276" w:type="dxa"/>
            <w:tcBorders>
              <w:top w:val="single" w:sz="4" w:space="0" w:color="auto"/>
              <w:bottom w:val="single" w:sz="12" w:space="0" w:color="auto"/>
            </w:tcBorders>
          </w:tcPr>
          <w:p w:rsidR="009E6CB7" w:rsidRPr="00BA5A53" w:rsidRDefault="00686A48" w:rsidP="00B20551">
            <w:pPr>
              <w:spacing w:before="120"/>
            </w:pPr>
            <w:r w:rsidRPr="00C671A6">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A5A53" w:rsidRDefault="009E6CB7" w:rsidP="00B20551">
            <w:pPr>
              <w:spacing w:before="120" w:line="420" w:lineRule="exact"/>
              <w:rPr>
                <w:sz w:val="40"/>
                <w:szCs w:val="40"/>
              </w:rPr>
            </w:pPr>
            <w:r w:rsidRPr="00BA5A53">
              <w:rPr>
                <w:b/>
                <w:sz w:val="40"/>
                <w:szCs w:val="40"/>
              </w:rPr>
              <w:t>Economic and Social Council</w:t>
            </w:r>
          </w:p>
        </w:tc>
        <w:tc>
          <w:tcPr>
            <w:tcW w:w="2835" w:type="dxa"/>
            <w:tcBorders>
              <w:top w:val="single" w:sz="4" w:space="0" w:color="auto"/>
              <w:bottom w:val="single" w:sz="12" w:space="0" w:color="auto"/>
            </w:tcBorders>
          </w:tcPr>
          <w:p w:rsidR="009E6CB7" w:rsidRPr="00BA5A53" w:rsidRDefault="0044397D" w:rsidP="0044397D">
            <w:pPr>
              <w:spacing w:before="240" w:line="240" w:lineRule="exact"/>
            </w:pPr>
            <w:r w:rsidRPr="00BA5A53">
              <w:t>Distr.: General</w:t>
            </w:r>
          </w:p>
          <w:p w:rsidR="0044397D" w:rsidRPr="00BA5A53" w:rsidRDefault="00793457" w:rsidP="0044397D">
            <w:pPr>
              <w:spacing w:line="240" w:lineRule="exact"/>
            </w:pPr>
            <w:r>
              <w:t>26</w:t>
            </w:r>
            <w:r w:rsidR="0044397D" w:rsidRPr="00BA5A53">
              <w:t xml:space="preserve"> September 2019</w:t>
            </w:r>
          </w:p>
          <w:p w:rsidR="0044397D" w:rsidRPr="00BA5A53" w:rsidRDefault="0044397D" w:rsidP="0044397D">
            <w:pPr>
              <w:spacing w:line="240" w:lineRule="exact"/>
            </w:pPr>
          </w:p>
          <w:p w:rsidR="0044397D" w:rsidRPr="00BA5A53" w:rsidRDefault="0044397D" w:rsidP="0044397D">
            <w:pPr>
              <w:spacing w:line="240" w:lineRule="exact"/>
            </w:pPr>
            <w:r w:rsidRPr="00BA5A53">
              <w:t>Original: English</w:t>
            </w:r>
          </w:p>
        </w:tc>
      </w:tr>
    </w:tbl>
    <w:p w:rsidR="0044397D" w:rsidRPr="00BA5A53" w:rsidRDefault="0044397D" w:rsidP="0044397D">
      <w:pPr>
        <w:spacing w:before="120"/>
        <w:rPr>
          <w:b/>
          <w:sz w:val="28"/>
          <w:szCs w:val="28"/>
        </w:rPr>
      </w:pPr>
      <w:r w:rsidRPr="00BA5A53">
        <w:rPr>
          <w:b/>
          <w:sz w:val="28"/>
          <w:szCs w:val="28"/>
        </w:rPr>
        <w:t>Economic Commission for Europe</w:t>
      </w:r>
    </w:p>
    <w:p w:rsidR="0044397D" w:rsidRPr="00BA5A53" w:rsidRDefault="0044397D" w:rsidP="0044397D">
      <w:pPr>
        <w:spacing w:before="120"/>
        <w:rPr>
          <w:sz w:val="28"/>
          <w:szCs w:val="28"/>
        </w:rPr>
      </w:pPr>
      <w:r w:rsidRPr="00BA5A53">
        <w:rPr>
          <w:sz w:val="28"/>
          <w:szCs w:val="28"/>
        </w:rPr>
        <w:t>Inland Transport Committee</w:t>
      </w:r>
    </w:p>
    <w:p w:rsidR="0044397D" w:rsidRPr="00BA5A53" w:rsidRDefault="0044397D" w:rsidP="0044397D">
      <w:pPr>
        <w:spacing w:before="120"/>
        <w:rPr>
          <w:b/>
          <w:sz w:val="24"/>
          <w:szCs w:val="24"/>
        </w:rPr>
      </w:pPr>
      <w:r w:rsidRPr="00BA5A53">
        <w:rPr>
          <w:b/>
          <w:sz w:val="24"/>
          <w:szCs w:val="24"/>
        </w:rPr>
        <w:t>World Forum for Harmonization of Vehicle Regulations</w:t>
      </w:r>
    </w:p>
    <w:p w:rsidR="0044397D" w:rsidRPr="00BA5A53" w:rsidRDefault="0044397D" w:rsidP="0044397D">
      <w:pPr>
        <w:spacing w:before="120"/>
        <w:rPr>
          <w:b/>
        </w:rPr>
      </w:pPr>
      <w:r w:rsidRPr="00BA5A53">
        <w:rPr>
          <w:b/>
        </w:rPr>
        <w:t>Working Party on Passive Safety</w:t>
      </w:r>
    </w:p>
    <w:p w:rsidR="0044397D" w:rsidRPr="00BA5A53" w:rsidRDefault="0044397D" w:rsidP="0044397D">
      <w:pPr>
        <w:spacing w:before="120"/>
        <w:rPr>
          <w:b/>
        </w:rPr>
      </w:pPr>
      <w:r w:rsidRPr="00BA5A53">
        <w:rPr>
          <w:b/>
        </w:rPr>
        <w:t>Sixty-sixth session</w:t>
      </w:r>
    </w:p>
    <w:p w:rsidR="0044397D" w:rsidRPr="00BA5A53" w:rsidRDefault="0044397D" w:rsidP="0044397D">
      <w:r w:rsidRPr="00BA5A53">
        <w:t>Geneva, 10</w:t>
      </w:r>
      <w:r w:rsidR="00793457">
        <w:t>-</w:t>
      </w:r>
      <w:r w:rsidRPr="00BA5A53">
        <w:t>13 December 2019</w:t>
      </w:r>
    </w:p>
    <w:p w:rsidR="0044397D" w:rsidRPr="00BA5A53" w:rsidRDefault="0044397D" w:rsidP="0044397D">
      <w:r w:rsidRPr="00BA5A53">
        <w:t xml:space="preserve">Item </w:t>
      </w:r>
      <w:r w:rsidR="00123DDF" w:rsidRPr="00BA5A53">
        <w:t>1</w:t>
      </w:r>
      <w:r w:rsidR="00E2571B" w:rsidRPr="00BA5A53">
        <w:t>5</w:t>
      </w:r>
      <w:r w:rsidRPr="00BA5A53">
        <w:t xml:space="preserve"> of the provisional agenda</w:t>
      </w:r>
    </w:p>
    <w:p w:rsidR="0044397D" w:rsidRPr="00BA5A53" w:rsidRDefault="0044397D" w:rsidP="0044397D">
      <w:r w:rsidRPr="00BA5A53">
        <w:rPr>
          <w:b/>
        </w:rPr>
        <w:t xml:space="preserve">UN Regulation No. </w:t>
      </w:r>
      <w:r w:rsidR="00E2571B" w:rsidRPr="00BA5A53">
        <w:rPr>
          <w:b/>
        </w:rPr>
        <w:t>94</w:t>
      </w:r>
      <w:r w:rsidRPr="00BA5A53">
        <w:rPr>
          <w:b/>
        </w:rPr>
        <w:t xml:space="preserve"> (</w:t>
      </w:r>
      <w:r w:rsidR="00E2571B" w:rsidRPr="00BA5A53">
        <w:rPr>
          <w:b/>
        </w:rPr>
        <w:t>Frontal collision</w:t>
      </w:r>
      <w:r w:rsidRPr="00BA5A53">
        <w:rPr>
          <w:b/>
        </w:rPr>
        <w:t>)</w:t>
      </w:r>
    </w:p>
    <w:p w:rsidR="0044397D" w:rsidRPr="00BA5A53" w:rsidRDefault="0044397D" w:rsidP="004744BA">
      <w:pPr>
        <w:keepNext/>
        <w:keepLines/>
        <w:tabs>
          <w:tab w:val="right" w:pos="851"/>
        </w:tabs>
        <w:spacing w:before="360" w:after="240" w:line="300" w:lineRule="exact"/>
        <w:ind w:left="1134" w:right="1134" w:hanging="1134"/>
        <w:rPr>
          <w:rFonts w:eastAsia="MS Mincho"/>
          <w:b/>
          <w:bCs/>
          <w:sz w:val="28"/>
        </w:rPr>
      </w:pPr>
      <w:r w:rsidRPr="00BA5A53">
        <w:rPr>
          <w:rFonts w:eastAsia="MS Mincho"/>
          <w:b/>
          <w:bCs/>
          <w:sz w:val="28"/>
        </w:rPr>
        <w:tab/>
      </w:r>
      <w:r w:rsidRPr="00BA5A53">
        <w:rPr>
          <w:rFonts w:eastAsia="MS Mincho"/>
          <w:b/>
          <w:bCs/>
          <w:sz w:val="28"/>
        </w:rPr>
        <w:tab/>
      </w:r>
      <w:r w:rsidRPr="00C671A6">
        <w:rPr>
          <w:rFonts w:eastAsia="MS Mincho"/>
          <w:b/>
          <w:bCs/>
          <w:sz w:val="28"/>
        </w:rPr>
        <w:t xml:space="preserve">Proposal for Supplement </w:t>
      </w:r>
      <w:r w:rsidR="00E2571B" w:rsidRPr="00C671A6">
        <w:rPr>
          <w:rFonts w:eastAsia="MS Mincho"/>
          <w:b/>
          <w:bCs/>
          <w:sz w:val="28"/>
        </w:rPr>
        <w:t>2</w:t>
      </w:r>
      <w:r w:rsidRPr="00C671A6">
        <w:rPr>
          <w:rFonts w:eastAsia="MS Mincho"/>
          <w:b/>
          <w:bCs/>
          <w:sz w:val="28"/>
        </w:rPr>
        <w:t xml:space="preserve"> to </w:t>
      </w:r>
      <w:r w:rsidR="0033625B" w:rsidRPr="00C671A6">
        <w:rPr>
          <w:rFonts w:eastAsia="MS Mincho"/>
          <w:b/>
          <w:bCs/>
          <w:sz w:val="28"/>
        </w:rPr>
        <w:t>the 0</w:t>
      </w:r>
      <w:r w:rsidR="00E2571B" w:rsidRPr="00C671A6">
        <w:rPr>
          <w:rFonts w:eastAsia="MS Mincho"/>
          <w:b/>
          <w:bCs/>
          <w:sz w:val="28"/>
        </w:rPr>
        <w:t>3</w:t>
      </w:r>
      <w:r w:rsidR="0033625B" w:rsidRPr="00C671A6">
        <w:rPr>
          <w:rFonts w:eastAsia="MS Mincho"/>
          <w:b/>
          <w:bCs/>
          <w:sz w:val="28"/>
        </w:rPr>
        <w:t xml:space="preserve"> series of amendments to </w:t>
      </w:r>
      <w:r w:rsidRPr="00BA5A53">
        <w:rPr>
          <w:rFonts w:eastAsia="MS Mincho"/>
          <w:b/>
          <w:bCs/>
          <w:sz w:val="28"/>
        </w:rPr>
        <w:t>UN Regulation No. </w:t>
      </w:r>
      <w:r w:rsidR="00E2571B" w:rsidRPr="00BA5A53">
        <w:rPr>
          <w:rFonts w:eastAsia="MS Mincho"/>
          <w:b/>
          <w:bCs/>
          <w:sz w:val="28"/>
        </w:rPr>
        <w:t>94</w:t>
      </w:r>
      <w:r w:rsidRPr="00BA5A53">
        <w:rPr>
          <w:rFonts w:eastAsia="MS Mincho"/>
          <w:b/>
          <w:bCs/>
          <w:sz w:val="28"/>
        </w:rPr>
        <w:t xml:space="preserve"> </w:t>
      </w:r>
      <w:r w:rsidRPr="00BA5A53">
        <w:rPr>
          <w:rFonts w:eastAsia="MS Mincho"/>
          <w:b/>
          <w:sz w:val="28"/>
        </w:rPr>
        <w:t>(</w:t>
      </w:r>
      <w:r w:rsidR="00E2571B" w:rsidRPr="00BA5A53">
        <w:rPr>
          <w:rFonts w:eastAsia="MS Mincho"/>
          <w:b/>
          <w:sz w:val="28"/>
        </w:rPr>
        <w:t>Frontal collision</w:t>
      </w:r>
      <w:r w:rsidRPr="00BA5A53">
        <w:rPr>
          <w:rFonts w:eastAsia="MS Mincho"/>
          <w:b/>
          <w:sz w:val="28"/>
        </w:rPr>
        <w:t>)</w:t>
      </w:r>
    </w:p>
    <w:p w:rsidR="00117530" w:rsidRPr="00BA5A53" w:rsidRDefault="0044397D" w:rsidP="00117530">
      <w:pPr>
        <w:pStyle w:val="H1G"/>
      </w:pPr>
      <w:r w:rsidRPr="00BA5A53">
        <w:rPr>
          <w:rFonts w:eastAsia="MS Mincho"/>
        </w:rPr>
        <w:tab/>
      </w:r>
      <w:r w:rsidRPr="00BA5A53">
        <w:rPr>
          <w:rFonts w:eastAsia="MS Mincho"/>
        </w:rPr>
        <w:tab/>
      </w:r>
      <w:r w:rsidR="00117530" w:rsidRPr="00BA5A53">
        <w:t>Submitted by the expert from the European Commission</w:t>
      </w:r>
      <w:r w:rsidR="00117530" w:rsidRPr="00C671A6">
        <w:t xml:space="preserve"> </w:t>
      </w:r>
      <w:r w:rsidR="00117530" w:rsidRPr="00BA5A53">
        <w:rPr>
          <w:spacing w:val="-4"/>
        </w:rPr>
        <w:t>on behalf of the drafting task force</w:t>
      </w:r>
      <w:r w:rsidR="00117530" w:rsidRPr="00C671A6">
        <w:rPr>
          <w:rStyle w:val="FootnoteReference"/>
          <w:b w:val="0"/>
          <w:sz w:val="20"/>
        </w:rPr>
        <w:t xml:space="preserve"> </w:t>
      </w:r>
      <w:r w:rsidR="00117530" w:rsidRPr="00C671A6">
        <w:rPr>
          <w:rStyle w:val="FootnoteReference"/>
          <w:b w:val="0"/>
          <w:sz w:val="20"/>
        </w:rPr>
        <w:footnoteReference w:customMarkFollows="1" w:id="2"/>
        <w:t>*</w:t>
      </w:r>
    </w:p>
    <w:p w:rsidR="004744BA" w:rsidRPr="00BA5A53" w:rsidRDefault="00117530" w:rsidP="004055C8">
      <w:pPr>
        <w:keepNext/>
        <w:keepLines/>
        <w:tabs>
          <w:tab w:val="right" w:pos="851"/>
        </w:tabs>
        <w:spacing w:before="360" w:after="240" w:line="270" w:lineRule="exact"/>
        <w:ind w:left="1134" w:right="1134" w:hanging="1134"/>
        <w:jc w:val="both"/>
        <w:rPr>
          <w:rFonts w:eastAsia="MS Mincho"/>
          <w:b/>
          <w:sz w:val="24"/>
        </w:rPr>
      </w:pPr>
      <w:r w:rsidRPr="00BA5A53">
        <w:rPr>
          <w:spacing w:val="3"/>
        </w:rPr>
        <w:tab/>
      </w:r>
      <w:r w:rsidRPr="00BA5A53">
        <w:rPr>
          <w:spacing w:val="3"/>
        </w:rPr>
        <w:tab/>
      </w:r>
      <w:bookmarkStart w:id="0" w:name="_GoBack"/>
      <w:bookmarkEnd w:id="0"/>
      <w:r w:rsidRPr="00BA5A53">
        <w:rPr>
          <w:spacing w:val="3"/>
        </w:rPr>
        <w:tab/>
        <w:t>T</w:t>
      </w:r>
      <w:r w:rsidRPr="00BA5A53">
        <w:rPr>
          <w:spacing w:val="1"/>
        </w:rPr>
        <w:t>he text reproduced below was prepared by the experts</w:t>
      </w:r>
      <w:r w:rsidRPr="00BA5A53">
        <w:rPr>
          <w:spacing w:val="-4"/>
        </w:rPr>
        <w:t xml:space="preserve"> of the drafting task force</w:t>
      </w:r>
      <w:r w:rsidRPr="00BA5A53">
        <w:rPr>
          <w:spacing w:val="1"/>
        </w:rPr>
        <w:t xml:space="preserve"> to align UN Regulations to the provisions of the revised General Safety Regulation of the European Union </w:t>
      </w:r>
      <w:r w:rsidR="00EE5EC4" w:rsidRPr="00BA5A53">
        <w:rPr>
          <w:szCs w:val="23"/>
        </w:rPr>
        <w:t xml:space="preserve">to expand the scope of the </w:t>
      </w:r>
      <w:r w:rsidR="00435913" w:rsidRPr="00BA5A53">
        <w:rPr>
          <w:szCs w:val="23"/>
        </w:rPr>
        <w:t xml:space="preserve">UN </w:t>
      </w:r>
      <w:r w:rsidR="00EE5EC4" w:rsidRPr="00BA5A53">
        <w:rPr>
          <w:szCs w:val="23"/>
        </w:rPr>
        <w:t>Regulation and to make minor adaptations and clarifications to the existing requirements.</w:t>
      </w:r>
      <w:r w:rsidR="00EE5EC4" w:rsidRPr="00BA5A53">
        <w:t xml:space="preserve"> </w:t>
      </w:r>
      <w:r w:rsidRPr="00BA5A53">
        <w:t xml:space="preserve">It is based on GRSP-65-14 distributed during the sixty-fifth session of the Working Party on Passive Safety (GRSP). </w:t>
      </w:r>
      <w:r w:rsidR="00EE5EC4" w:rsidRPr="00BA5A53">
        <w:rPr>
          <w:szCs w:val="23"/>
        </w:rPr>
        <w:t>The modifications to the current text of the UN Regulations are marked in bold for new or strikethrough for deleted characters</w:t>
      </w:r>
      <w:r w:rsidR="00B401CB" w:rsidRPr="00C671A6">
        <w:t>.</w:t>
      </w:r>
    </w:p>
    <w:p w:rsidR="0044397D" w:rsidRPr="00BA5A53" w:rsidRDefault="0044397D" w:rsidP="0044397D">
      <w:pPr>
        <w:ind w:left="1134" w:right="1134" w:hanging="1134"/>
        <w:jc w:val="both"/>
        <w:rPr>
          <w:rFonts w:eastAsia="MS Mincho"/>
        </w:rPr>
      </w:pPr>
    </w:p>
    <w:p w:rsidR="0044397D" w:rsidRPr="00BA5A53" w:rsidRDefault="0044397D" w:rsidP="0044397D">
      <w:pPr>
        <w:ind w:left="1134" w:right="1134" w:hanging="1134"/>
        <w:jc w:val="both"/>
        <w:rPr>
          <w:sz w:val="24"/>
          <w:szCs w:val="24"/>
        </w:rPr>
      </w:pPr>
      <w:r w:rsidRPr="00BA5A53">
        <w:br w:type="page"/>
      </w:r>
      <w:bookmarkStart w:id="1" w:name="_Hlk520287618"/>
    </w:p>
    <w:bookmarkEnd w:id="1"/>
    <w:p w:rsidR="0044397D" w:rsidRPr="00BA5A53" w:rsidRDefault="0044397D" w:rsidP="0044397D">
      <w:pPr>
        <w:pStyle w:val="HChG"/>
      </w:pPr>
      <w:r w:rsidRPr="00BA5A53">
        <w:lastRenderedPageBreak/>
        <w:tab/>
        <w:t>I.</w:t>
      </w:r>
      <w:r w:rsidRPr="00BA5A53">
        <w:tab/>
        <w:t>Proposal</w:t>
      </w:r>
    </w:p>
    <w:p w:rsidR="00117530" w:rsidRPr="00BA5A53" w:rsidRDefault="00117530" w:rsidP="00117530">
      <w:pPr>
        <w:keepNext/>
        <w:keepLines/>
        <w:tabs>
          <w:tab w:val="right" w:pos="851"/>
        </w:tabs>
        <w:suppressAutoHyphens w:val="0"/>
        <w:spacing w:before="360" w:after="240" w:line="300" w:lineRule="exact"/>
        <w:ind w:left="1140" w:right="1134"/>
      </w:pPr>
      <w:r w:rsidRPr="00BA5A53">
        <w:rPr>
          <w:i/>
          <w:iCs/>
        </w:rPr>
        <w:t>Paragraph 1</w:t>
      </w:r>
      <w:r w:rsidRPr="00BA5A53">
        <w:t>, amend to read:</w:t>
      </w:r>
    </w:p>
    <w:p w:rsidR="00117530" w:rsidRPr="00BA5A53" w:rsidRDefault="00117530" w:rsidP="00117530">
      <w:pPr>
        <w:keepNext/>
        <w:keepLines/>
        <w:tabs>
          <w:tab w:val="right" w:pos="851"/>
        </w:tabs>
        <w:suppressAutoHyphens w:val="0"/>
        <w:spacing w:before="360" w:after="240" w:line="300" w:lineRule="exact"/>
        <w:ind w:left="1140" w:right="1134"/>
        <w:rPr>
          <w:b/>
          <w:sz w:val="28"/>
        </w:rPr>
      </w:pPr>
      <w:r w:rsidRPr="00BA5A53">
        <w:t>"</w:t>
      </w:r>
      <w:r w:rsidRPr="00BA5A53">
        <w:rPr>
          <w:b/>
          <w:sz w:val="28"/>
        </w:rPr>
        <w:t>1.</w:t>
      </w:r>
      <w:r w:rsidRPr="00BA5A53">
        <w:rPr>
          <w:b/>
          <w:sz w:val="28"/>
        </w:rPr>
        <w:tab/>
      </w:r>
      <w:bookmarkStart w:id="2" w:name="_Toc355617304"/>
      <w:r w:rsidRPr="00BA5A53">
        <w:rPr>
          <w:b/>
          <w:sz w:val="28"/>
        </w:rPr>
        <w:tab/>
      </w:r>
      <w:bookmarkEnd w:id="2"/>
      <w:r w:rsidRPr="00BA5A53">
        <w:rPr>
          <w:b/>
          <w:sz w:val="28"/>
        </w:rPr>
        <w:t>Scope</w:t>
      </w:r>
    </w:p>
    <w:p w:rsidR="00117530" w:rsidRPr="00BA5A53" w:rsidRDefault="00117530" w:rsidP="00117530">
      <w:pPr>
        <w:widowControl w:val="0"/>
        <w:tabs>
          <w:tab w:val="left" w:pos="2268"/>
        </w:tabs>
        <w:suppressAutoHyphens w:val="0"/>
        <w:spacing w:after="120"/>
        <w:ind w:left="2268" w:right="1134" w:hanging="1134"/>
        <w:jc w:val="both"/>
      </w:pPr>
      <w:r w:rsidRPr="00BA5A53">
        <w:tab/>
        <w:t>This Regulation applies to vehicles of category M</w:t>
      </w:r>
      <w:r w:rsidRPr="00BA5A53">
        <w:rPr>
          <w:vertAlign w:val="subscript"/>
        </w:rPr>
        <w:t>1</w:t>
      </w:r>
      <w:r w:rsidR="001B343F" w:rsidRPr="00BA5A53">
        <w:rPr>
          <w:rStyle w:val="FootnoteReference"/>
          <w:rFonts w:asciiTheme="majorBidi" w:hAnsiTheme="majorBidi" w:cstheme="majorBidi"/>
          <w:bCs/>
        </w:rPr>
        <w:footnoteReference w:id="3"/>
      </w:r>
      <w:r w:rsidR="001B343F" w:rsidRPr="00BA5A53">
        <w:rPr>
          <w:vertAlign w:val="subscript"/>
        </w:rPr>
        <w:t xml:space="preserve"> </w:t>
      </w:r>
      <w:r w:rsidRPr="00BA5A53">
        <w:t xml:space="preserve">of a total permissible mass not exceeding </w:t>
      </w:r>
      <w:r w:rsidRPr="00BA5A53">
        <w:rPr>
          <w:strike/>
        </w:rPr>
        <w:t>2.5 tonnes</w:t>
      </w:r>
      <w:r w:rsidRPr="00BA5A53">
        <w:t xml:space="preserve"> </w:t>
      </w:r>
      <w:r w:rsidR="006F527B" w:rsidRPr="00BA5A53">
        <w:rPr>
          <w:b/>
        </w:rPr>
        <w:t>3</w:t>
      </w:r>
      <w:r w:rsidR="006F527B">
        <w:rPr>
          <w:b/>
        </w:rPr>
        <w:t>,</w:t>
      </w:r>
      <w:r w:rsidRPr="00BA5A53">
        <w:rPr>
          <w:b/>
        </w:rPr>
        <w:t>500 kg and to vehicles of category N</w:t>
      </w:r>
      <w:r w:rsidRPr="00BA5A53">
        <w:rPr>
          <w:b/>
          <w:vertAlign w:val="subscript"/>
        </w:rPr>
        <w:t>1</w:t>
      </w:r>
      <w:r w:rsidRPr="00BA5A53">
        <w:rPr>
          <w:b/>
        </w:rPr>
        <w:t xml:space="preserve"> of a total permissible mass not exceeding </w:t>
      </w:r>
      <w:r w:rsidR="006F527B" w:rsidRPr="00BA5A53">
        <w:rPr>
          <w:b/>
        </w:rPr>
        <w:t>2</w:t>
      </w:r>
      <w:r w:rsidR="006F527B">
        <w:rPr>
          <w:b/>
        </w:rPr>
        <w:t>,</w:t>
      </w:r>
      <w:r w:rsidRPr="00BA5A53">
        <w:rPr>
          <w:b/>
        </w:rPr>
        <w:t>500 kg</w:t>
      </w:r>
      <w:r w:rsidRPr="00BA5A53">
        <w:t>; other vehicles may be approved at the request of the manufacturer."</w:t>
      </w:r>
    </w:p>
    <w:p w:rsidR="00117530" w:rsidRPr="00BA5A53" w:rsidRDefault="00117530" w:rsidP="00117530">
      <w:pPr>
        <w:widowControl w:val="0"/>
        <w:tabs>
          <w:tab w:val="left" w:pos="2268"/>
        </w:tabs>
        <w:suppressAutoHyphens w:val="0"/>
        <w:spacing w:after="120"/>
        <w:ind w:left="2268" w:right="1134" w:hanging="1134"/>
        <w:jc w:val="both"/>
        <w:rPr>
          <w:i/>
        </w:rPr>
      </w:pPr>
      <w:r w:rsidRPr="00BA5A53">
        <w:rPr>
          <w:i/>
        </w:rPr>
        <w:t>Insert new paragraphs 2.3</w:t>
      </w:r>
      <w:r w:rsidR="001B343F" w:rsidRPr="00BA5A53">
        <w:rPr>
          <w:i/>
        </w:rPr>
        <w:t>6</w:t>
      </w:r>
      <w:r w:rsidR="00793457">
        <w:rPr>
          <w:i/>
        </w:rPr>
        <w:t>.</w:t>
      </w:r>
      <w:r w:rsidRPr="00BA5A53">
        <w:rPr>
          <w:i/>
        </w:rPr>
        <w:t xml:space="preserve"> and 2.3</w:t>
      </w:r>
      <w:r w:rsidR="001B343F" w:rsidRPr="00BA5A53">
        <w:rPr>
          <w:i/>
        </w:rPr>
        <w:t>7</w:t>
      </w:r>
      <w:r w:rsidRPr="00BA5A53">
        <w:rPr>
          <w:i/>
        </w:rPr>
        <w:t>.</w:t>
      </w:r>
      <w:r w:rsidRPr="00BA5A53">
        <w:t>, to read:</w:t>
      </w:r>
    </w:p>
    <w:p w:rsidR="00117530" w:rsidRPr="00BA5A53" w:rsidRDefault="00117530" w:rsidP="00117530">
      <w:pPr>
        <w:widowControl w:val="0"/>
        <w:tabs>
          <w:tab w:val="left" w:pos="2268"/>
        </w:tabs>
        <w:suppressAutoHyphens w:val="0"/>
        <w:spacing w:after="120"/>
        <w:ind w:left="2268" w:right="1134" w:hanging="1134"/>
        <w:jc w:val="both"/>
        <w:rPr>
          <w:rFonts w:cs="Courier New"/>
          <w:szCs w:val="18"/>
        </w:rPr>
      </w:pPr>
      <w:r w:rsidRPr="00BA5A53">
        <w:t>"</w:t>
      </w:r>
      <w:r w:rsidRPr="00BA5A53">
        <w:rPr>
          <w:b/>
        </w:rPr>
        <w:t>2.3</w:t>
      </w:r>
      <w:r w:rsidR="001B343F" w:rsidRPr="00BA5A53">
        <w:rPr>
          <w:b/>
        </w:rPr>
        <w:t>6</w:t>
      </w:r>
      <w:r w:rsidR="00793457">
        <w:rPr>
          <w:b/>
        </w:rPr>
        <w:t>.</w:t>
      </w:r>
      <w:r w:rsidRPr="00BA5A53">
        <w:rPr>
          <w:b/>
        </w:rPr>
        <w:tab/>
      </w:r>
      <w:r w:rsidRPr="00BA5A53">
        <w:rPr>
          <w:rFonts w:cs="Courier New"/>
          <w:b/>
          <w:szCs w:val="18"/>
        </w:rPr>
        <w:t>"</w:t>
      </w:r>
      <w:r w:rsidRPr="00BA5A53">
        <w:rPr>
          <w:rFonts w:cs="Courier New"/>
          <w:b/>
          <w:i/>
          <w:iCs/>
          <w:szCs w:val="18"/>
        </w:rPr>
        <w:t>Displacement system</w:t>
      </w:r>
      <w:r w:rsidRPr="00BA5A53">
        <w:rPr>
          <w:rFonts w:cs="Courier New"/>
          <w:b/>
          <w:szCs w:val="18"/>
        </w:rPr>
        <w:t>" means a device by which the seat or one of its parts can be displaced and/or rotated, without a fixed intermediate position, to permit easy access of occupants to and from the space behind the seat concerned.</w:t>
      </w:r>
    </w:p>
    <w:p w:rsidR="00117530" w:rsidRPr="00BA5A53" w:rsidRDefault="00117530" w:rsidP="001B343F">
      <w:pPr>
        <w:widowControl w:val="0"/>
        <w:tabs>
          <w:tab w:val="left" w:pos="2268"/>
        </w:tabs>
        <w:suppressAutoHyphens w:val="0"/>
        <w:spacing w:after="120"/>
        <w:ind w:left="2268" w:right="1134" w:hanging="1134"/>
        <w:jc w:val="both"/>
      </w:pPr>
      <w:r w:rsidRPr="00BA5A53">
        <w:rPr>
          <w:b/>
        </w:rPr>
        <w:t>2.3</w:t>
      </w:r>
      <w:r w:rsidR="001B343F" w:rsidRPr="00BA5A53">
        <w:rPr>
          <w:b/>
        </w:rPr>
        <w:t>7</w:t>
      </w:r>
      <w:r w:rsidR="00793457">
        <w:rPr>
          <w:b/>
        </w:rPr>
        <w:t>.</w:t>
      </w:r>
      <w:r w:rsidRPr="00BA5A53">
        <w:rPr>
          <w:b/>
        </w:rPr>
        <w:tab/>
      </w:r>
      <w:r w:rsidRPr="00BA5A53">
        <w:rPr>
          <w:rFonts w:cs="Courier New"/>
          <w:b/>
          <w:szCs w:val="18"/>
        </w:rPr>
        <w:t>"</w:t>
      </w:r>
      <w:r w:rsidRPr="00BA5A53">
        <w:rPr>
          <w:b/>
          <w:i/>
          <w:iCs/>
        </w:rPr>
        <w:t>Ladder frame</w:t>
      </w:r>
      <w:r w:rsidRPr="00BA5A53">
        <w:rPr>
          <w:rFonts w:cs="Courier New"/>
          <w:b/>
          <w:szCs w:val="18"/>
        </w:rPr>
        <w:t>"</w:t>
      </w:r>
      <w:r w:rsidRPr="00BA5A53">
        <w:rPr>
          <w:b/>
        </w:rPr>
        <w:t xml:space="preserve"> means a chassis composed of two longitudinal rails transversally connected by crossbeams and where the cabin, made of panels, is connected to such rails.</w:t>
      </w:r>
      <w:r w:rsidRPr="00BA5A53">
        <w:t>"</w:t>
      </w:r>
    </w:p>
    <w:p w:rsidR="00117530" w:rsidRPr="00BA5A53" w:rsidRDefault="00117530" w:rsidP="00117530">
      <w:pPr>
        <w:pStyle w:val="SingleTxtG"/>
      </w:pPr>
      <w:r w:rsidRPr="00BA5A53">
        <w:rPr>
          <w:i/>
        </w:rPr>
        <w:t>Paragraph 5.2.5.1.</w:t>
      </w:r>
      <w:r w:rsidRPr="00BA5A53">
        <w:t>, amend to read:</w:t>
      </w:r>
    </w:p>
    <w:p w:rsidR="00117530" w:rsidRPr="00BA5A53" w:rsidRDefault="00117530" w:rsidP="00117530">
      <w:pPr>
        <w:tabs>
          <w:tab w:val="left" w:pos="2552"/>
        </w:tabs>
        <w:spacing w:after="120"/>
        <w:ind w:left="2268" w:right="1134" w:hanging="1134"/>
        <w:jc w:val="both"/>
        <w:rPr>
          <w:b/>
        </w:rPr>
      </w:pPr>
      <w:r w:rsidRPr="00BA5A53">
        <w:t xml:space="preserve">"5.2.5.1. </w:t>
      </w:r>
      <w:r w:rsidRPr="00BA5A53">
        <w:tab/>
        <w:t xml:space="preserve">To open at least one door </w:t>
      </w:r>
      <w:r w:rsidRPr="00BA5A53">
        <w:rPr>
          <w:strike/>
        </w:rPr>
        <w:t>if there is one,</w:t>
      </w:r>
      <w:r w:rsidRPr="00BA5A53">
        <w:t xml:space="preserve"> per row of seats</w:t>
      </w:r>
      <w:r w:rsidRPr="00BA5A53">
        <w:rPr>
          <w:b/>
        </w:rPr>
        <w:t>.</w:t>
      </w:r>
      <w:r w:rsidRPr="00BA5A53">
        <w:t xml:space="preserve"> </w:t>
      </w:r>
      <w:r w:rsidRPr="00BA5A53">
        <w:rPr>
          <w:strike/>
        </w:rPr>
        <w:t>and</w:t>
      </w:r>
      <w:r w:rsidRPr="00BA5A53">
        <w:t xml:space="preserve"> </w:t>
      </w:r>
      <w:proofErr w:type="spellStart"/>
      <w:r w:rsidRPr="00BA5A53">
        <w:rPr>
          <w:b/>
        </w:rPr>
        <w:t>W</w:t>
      </w:r>
      <w:r w:rsidRPr="00BA5A53">
        <w:rPr>
          <w:strike/>
        </w:rPr>
        <w:t>w</w:t>
      </w:r>
      <w:r w:rsidRPr="00BA5A53">
        <w:t>here</w:t>
      </w:r>
      <w:proofErr w:type="spellEnd"/>
      <w:r w:rsidRPr="00BA5A53">
        <w:t xml:space="preserve"> there is no such door, </w:t>
      </w:r>
      <w:r w:rsidRPr="00BA5A53">
        <w:rPr>
          <w:strike/>
        </w:rPr>
        <w:t xml:space="preserve">to move the seats or tilt their backrests as necessary </w:t>
      </w:r>
      <w:r w:rsidRPr="00BA5A53">
        <w:rPr>
          <w:b/>
        </w:rPr>
        <w:t xml:space="preserve">it shall be possible </w:t>
      </w:r>
      <w:r w:rsidRPr="00BA5A53">
        <w:t>to allow the evacuation of all the occupants</w:t>
      </w:r>
      <w:r w:rsidRPr="00BA5A53">
        <w:rPr>
          <w:b/>
        </w:rPr>
        <w:t xml:space="preserve"> by activating the displacement system of seats, if necessary.</w:t>
      </w:r>
      <w:r w:rsidRPr="00BA5A53">
        <w:t xml:space="preserve"> </w:t>
      </w:r>
      <w:r w:rsidRPr="00BA5A53">
        <w:rPr>
          <w:strike/>
        </w:rPr>
        <w:t xml:space="preserve">This is however, only applicable to vehicles having a roof of rigid construction </w:t>
      </w:r>
      <w:r w:rsidRPr="00BA5A53">
        <w:rPr>
          <w:b/>
        </w:rPr>
        <w:t>This is not applicable to convertibles where the top can be easily opened to allow the evacuation of the occupants</w:t>
      </w:r>
      <w:r w:rsidR="006F527B">
        <w:rPr>
          <w:b/>
        </w:rPr>
        <w:t>.</w:t>
      </w:r>
    </w:p>
    <w:p w:rsidR="00117530" w:rsidRPr="00BA5A53" w:rsidRDefault="00117530" w:rsidP="001B343F">
      <w:pPr>
        <w:spacing w:after="120" w:line="240" w:lineRule="auto"/>
        <w:ind w:left="2268" w:right="1134" w:hanging="1134"/>
        <w:jc w:val="both"/>
        <w:outlineLvl w:val="1"/>
        <w:rPr>
          <w:b/>
        </w:rPr>
      </w:pPr>
      <w:r w:rsidRPr="00BA5A53">
        <w:rPr>
          <w:b/>
        </w:rPr>
        <w:tab/>
        <w:t xml:space="preserve">This shall be assessed for all configurations or worst-case configuration </w:t>
      </w:r>
      <w:r w:rsidR="006F527B">
        <w:rPr>
          <w:b/>
        </w:rPr>
        <w:t xml:space="preserve">for the </w:t>
      </w:r>
      <w:r w:rsidRPr="00BA5A53">
        <w:rPr>
          <w:b/>
        </w:rPr>
        <w:t>number of doors on each side of the vehicle and for both left-hand drive and right-hand drive vehicles, when applicable.</w:t>
      </w:r>
      <w:r w:rsidRPr="00BA5A53">
        <w:t>"</w:t>
      </w:r>
    </w:p>
    <w:p w:rsidR="00117530" w:rsidRPr="00BA5A53" w:rsidRDefault="001B343F" w:rsidP="00117530">
      <w:pPr>
        <w:widowControl w:val="0"/>
        <w:tabs>
          <w:tab w:val="left" w:pos="2268"/>
        </w:tabs>
        <w:suppressAutoHyphens w:val="0"/>
        <w:spacing w:after="120"/>
        <w:ind w:left="2268" w:right="1134" w:hanging="1134"/>
        <w:jc w:val="both"/>
        <w:rPr>
          <w:i/>
        </w:rPr>
      </w:pPr>
      <w:r w:rsidRPr="00BA5A53">
        <w:rPr>
          <w:i/>
        </w:rPr>
        <w:t>Insert</w:t>
      </w:r>
      <w:r w:rsidR="00117530" w:rsidRPr="00BA5A53">
        <w:rPr>
          <w:i/>
        </w:rPr>
        <w:t xml:space="preserve"> new paragraphs 5.3</w:t>
      </w:r>
      <w:r w:rsidRPr="00BA5A53">
        <w:rPr>
          <w:i/>
        </w:rPr>
        <w:t>. to</w:t>
      </w:r>
      <w:r w:rsidR="00117530" w:rsidRPr="00BA5A53">
        <w:rPr>
          <w:i/>
        </w:rPr>
        <w:t xml:space="preserve"> 5.3.2.</w:t>
      </w:r>
      <w:r w:rsidR="00117530" w:rsidRPr="00BA5A53">
        <w:t xml:space="preserve">, to read: </w:t>
      </w:r>
    </w:p>
    <w:p w:rsidR="00117530" w:rsidRPr="00BA5A53" w:rsidRDefault="00117530" w:rsidP="001B343F">
      <w:pPr>
        <w:spacing w:after="120" w:line="240" w:lineRule="auto"/>
        <w:ind w:left="2268" w:right="1134" w:hanging="1134"/>
        <w:jc w:val="both"/>
        <w:outlineLvl w:val="1"/>
        <w:rPr>
          <w:b/>
        </w:rPr>
      </w:pPr>
      <w:r w:rsidRPr="00BA5A53">
        <w:t>"</w:t>
      </w:r>
      <w:r w:rsidRPr="00BA5A53">
        <w:rPr>
          <w:b/>
        </w:rPr>
        <w:t>5.3.</w:t>
      </w:r>
      <w:r w:rsidRPr="00BA5A53">
        <w:rPr>
          <w:b/>
        </w:rPr>
        <w:tab/>
        <w:t>Specific provisions</w:t>
      </w:r>
    </w:p>
    <w:p w:rsidR="00117530" w:rsidRPr="00C671A6" w:rsidRDefault="00117530" w:rsidP="001B343F">
      <w:pPr>
        <w:pStyle w:val="Default"/>
        <w:spacing w:after="120"/>
        <w:ind w:left="2262" w:right="1134" w:hanging="1128"/>
        <w:jc w:val="both"/>
        <w:rPr>
          <w:b/>
          <w:color w:val="auto"/>
          <w:sz w:val="20"/>
          <w:szCs w:val="20"/>
          <w:lang w:val="en-GB"/>
        </w:rPr>
      </w:pPr>
      <w:r w:rsidRPr="00C671A6">
        <w:rPr>
          <w:b/>
          <w:color w:val="auto"/>
          <w:sz w:val="20"/>
          <w:szCs w:val="20"/>
          <w:lang w:val="en-GB"/>
        </w:rPr>
        <w:t xml:space="preserve">5.3.1. </w:t>
      </w:r>
      <w:r w:rsidRPr="00C671A6">
        <w:rPr>
          <w:b/>
          <w:color w:val="auto"/>
          <w:sz w:val="20"/>
          <w:szCs w:val="20"/>
          <w:lang w:val="en-GB"/>
        </w:rPr>
        <w:tab/>
        <w:t>Vehicles of category M</w:t>
      </w:r>
      <w:r w:rsidRPr="00C671A6">
        <w:rPr>
          <w:b/>
          <w:color w:val="auto"/>
          <w:sz w:val="20"/>
          <w:szCs w:val="20"/>
          <w:vertAlign w:val="subscript"/>
          <w:lang w:val="en-GB"/>
        </w:rPr>
        <w:t>1</w:t>
      </w:r>
      <w:r w:rsidRPr="00C671A6">
        <w:rPr>
          <w:b/>
          <w:color w:val="auto"/>
          <w:sz w:val="20"/>
          <w:szCs w:val="20"/>
          <w:lang w:val="en-GB"/>
        </w:rPr>
        <w:t xml:space="preserve"> of a total permissible mass exceeding </w:t>
      </w:r>
      <w:r w:rsidR="006F527B" w:rsidRPr="00C671A6">
        <w:rPr>
          <w:b/>
          <w:color w:val="auto"/>
          <w:sz w:val="20"/>
          <w:szCs w:val="20"/>
          <w:lang w:val="en-GB"/>
        </w:rPr>
        <w:t>2</w:t>
      </w:r>
      <w:r w:rsidR="006F527B">
        <w:rPr>
          <w:b/>
          <w:color w:val="auto"/>
          <w:sz w:val="20"/>
          <w:szCs w:val="20"/>
          <w:lang w:val="en-GB"/>
        </w:rPr>
        <w:t>,</w:t>
      </w:r>
      <w:r w:rsidRPr="00C671A6">
        <w:rPr>
          <w:b/>
          <w:color w:val="auto"/>
          <w:sz w:val="20"/>
          <w:szCs w:val="20"/>
          <w:lang w:val="en-GB"/>
        </w:rPr>
        <w:t>500 kg that are based on vehicle types of category N</w:t>
      </w:r>
      <w:r w:rsidRPr="00C671A6">
        <w:rPr>
          <w:b/>
          <w:color w:val="auto"/>
          <w:sz w:val="20"/>
          <w:szCs w:val="20"/>
          <w:vertAlign w:val="subscript"/>
          <w:lang w:val="en-GB"/>
        </w:rPr>
        <w:t>1</w:t>
      </w:r>
      <w:r w:rsidRPr="00C671A6">
        <w:rPr>
          <w:b/>
          <w:color w:val="auto"/>
          <w:sz w:val="20"/>
          <w:szCs w:val="20"/>
          <w:lang w:val="en-GB"/>
        </w:rPr>
        <w:t xml:space="preserve"> </w:t>
      </w:r>
      <w:r w:rsidRPr="00BA5A53">
        <w:rPr>
          <w:b/>
          <w:color w:val="auto"/>
          <w:sz w:val="20"/>
          <w:szCs w:val="20"/>
          <w:lang w:val="en-GB"/>
        </w:rPr>
        <w:t xml:space="preserve">of a total permissible mass exceeding </w:t>
      </w:r>
      <w:r w:rsidR="006F527B" w:rsidRPr="00BA5A53">
        <w:rPr>
          <w:b/>
          <w:color w:val="auto"/>
          <w:sz w:val="20"/>
          <w:szCs w:val="20"/>
          <w:lang w:val="en-GB"/>
        </w:rPr>
        <w:t>2</w:t>
      </w:r>
      <w:r w:rsidR="006F527B">
        <w:rPr>
          <w:b/>
          <w:color w:val="auto"/>
          <w:sz w:val="20"/>
          <w:szCs w:val="20"/>
          <w:lang w:val="en-GB"/>
        </w:rPr>
        <w:t>,</w:t>
      </w:r>
      <w:r w:rsidRPr="00BA5A53">
        <w:rPr>
          <w:b/>
          <w:color w:val="auto"/>
          <w:sz w:val="20"/>
          <w:szCs w:val="20"/>
          <w:lang w:val="en-GB"/>
        </w:rPr>
        <w:t xml:space="preserve">500 kg </w:t>
      </w:r>
      <w:r w:rsidRPr="00C671A6">
        <w:rPr>
          <w:b/>
          <w:color w:val="auto"/>
          <w:sz w:val="20"/>
          <w:szCs w:val="20"/>
          <w:lang w:val="en-GB"/>
        </w:rPr>
        <w:t xml:space="preserve">are deemed to meet the requirements of paragraph 5 where the requirements of Regulation </w:t>
      </w:r>
      <w:r w:rsidR="001B343F" w:rsidRPr="00C671A6">
        <w:rPr>
          <w:b/>
          <w:color w:val="auto"/>
          <w:sz w:val="20"/>
          <w:szCs w:val="20"/>
          <w:lang w:val="en-GB"/>
        </w:rPr>
        <w:t xml:space="preserve">No. </w:t>
      </w:r>
      <w:r w:rsidRPr="00C671A6">
        <w:rPr>
          <w:b/>
          <w:color w:val="auto"/>
          <w:sz w:val="20"/>
          <w:szCs w:val="20"/>
          <w:lang w:val="en-GB"/>
        </w:rPr>
        <w:t>137 are fully complied with and at least one of the following conditions is met:</w:t>
      </w:r>
    </w:p>
    <w:p w:rsidR="00117530" w:rsidRPr="00C671A6" w:rsidRDefault="001B343F" w:rsidP="001B343F">
      <w:pPr>
        <w:pStyle w:val="Default"/>
        <w:spacing w:after="120"/>
        <w:ind w:left="2835" w:right="1134" w:hanging="578"/>
        <w:jc w:val="both"/>
        <w:rPr>
          <w:b/>
          <w:color w:val="auto"/>
          <w:sz w:val="20"/>
          <w:szCs w:val="20"/>
          <w:lang w:val="en-GB"/>
        </w:rPr>
      </w:pPr>
      <w:r w:rsidRPr="00C671A6">
        <w:rPr>
          <w:b/>
          <w:color w:val="auto"/>
          <w:sz w:val="20"/>
          <w:szCs w:val="20"/>
          <w:lang w:val="en-GB"/>
        </w:rPr>
        <w:t>(a)</w:t>
      </w:r>
      <w:r w:rsidRPr="00C671A6">
        <w:rPr>
          <w:b/>
          <w:color w:val="auto"/>
          <w:sz w:val="20"/>
          <w:szCs w:val="20"/>
          <w:lang w:val="en-GB"/>
        </w:rPr>
        <w:tab/>
      </w:r>
      <w:r w:rsidR="00117530" w:rsidRPr="00C671A6">
        <w:rPr>
          <w:b/>
          <w:color w:val="auto"/>
          <w:sz w:val="20"/>
          <w:szCs w:val="20"/>
          <w:lang w:val="en-GB"/>
        </w:rPr>
        <w:t>the acute angle alpha (α), measured between a horizontal plane passing through the centre of the front axle and an angular transverse plane passing through the centre of the front axle and the R-point of the driver's seat (see figure 4 below), is more than 22</w:t>
      </w:r>
      <w:r w:rsidR="006F527B">
        <w:rPr>
          <w:b/>
          <w:color w:val="auto"/>
          <w:sz w:val="20"/>
          <w:szCs w:val="20"/>
          <w:lang w:val="en-GB"/>
        </w:rPr>
        <w:t>°</w:t>
      </w:r>
      <w:r w:rsidR="00117530" w:rsidRPr="00C671A6">
        <w:rPr>
          <w:b/>
          <w:color w:val="auto"/>
          <w:sz w:val="20"/>
          <w:szCs w:val="20"/>
          <w:lang w:val="en-GB"/>
        </w:rPr>
        <w:t xml:space="preserve">; </w:t>
      </w:r>
    </w:p>
    <w:p w:rsidR="00117530" w:rsidRPr="00C671A6" w:rsidRDefault="001B343F" w:rsidP="001B343F">
      <w:pPr>
        <w:pStyle w:val="Default"/>
        <w:spacing w:after="120"/>
        <w:ind w:left="2835" w:right="1134" w:hanging="567"/>
        <w:jc w:val="both"/>
        <w:rPr>
          <w:b/>
          <w:color w:val="auto"/>
          <w:sz w:val="20"/>
          <w:szCs w:val="20"/>
          <w:lang w:val="en-GB"/>
        </w:rPr>
      </w:pPr>
      <w:r w:rsidRPr="00C671A6">
        <w:rPr>
          <w:b/>
          <w:color w:val="auto"/>
          <w:sz w:val="20"/>
          <w:szCs w:val="20"/>
          <w:lang w:val="en-GB"/>
        </w:rPr>
        <w:t>(b)</w:t>
      </w:r>
      <w:r w:rsidRPr="00C671A6">
        <w:rPr>
          <w:b/>
          <w:color w:val="auto"/>
          <w:sz w:val="20"/>
          <w:szCs w:val="20"/>
          <w:lang w:val="en-GB"/>
        </w:rPr>
        <w:tab/>
      </w:r>
      <w:r w:rsidR="00117530" w:rsidRPr="00C671A6">
        <w:rPr>
          <w:b/>
          <w:color w:val="auto"/>
          <w:sz w:val="20"/>
          <w:szCs w:val="20"/>
          <w:lang w:val="en-GB"/>
        </w:rPr>
        <w:t>or the ratio between the distance from the driver's R-point to the centre of the rear axle (L101-L114) and the centre of the front axle and the driver's R-point (L114) is more than 1.30</w:t>
      </w:r>
      <w:r w:rsidR="00117530" w:rsidRPr="00C671A6">
        <w:rPr>
          <w:b/>
          <w:color w:val="auto"/>
          <w:sz w:val="20"/>
          <w:szCs w:val="20"/>
          <w:vertAlign w:val="superscript"/>
          <w:lang w:val="en-GB"/>
        </w:rPr>
        <w:t>1</w:t>
      </w:r>
      <w:r w:rsidR="00117530" w:rsidRPr="00C671A6">
        <w:rPr>
          <w:b/>
          <w:color w:val="auto"/>
          <w:sz w:val="20"/>
          <w:szCs w:val="20"/>
          <w:lang w:val="en-GB"/>
        </w:rPr>
        <w:t xml:space="preserve"> (see figure 4 below).</w:t>
      </w:r>
    </w:p>
    <w:p w:rsidR="00117530" w:rsidRPr="00BA5A53" w:rsidRDefault="00117530" w:rsidP="001B343F">
      <w:pPr>
        <w:spacing w:after="120" w:line="240" w:lineRule="auto"/>
        <w:ind w:left="2268" w:right="1134" w:hanging="3"/>
        <w:jc w:val="both"/>
        <w:outlineLvl w:val="1"/>
        <w:rPr>
          <w:b/>
        </w:rPr>
      </w:pPr>
      <w:r w:rsidRPr="00BA5A53">
        <w:rPr>
          <w:b/>
        </w:rPr>
        <w:lastRenderedPageBreak/>
        <w:t>This shall be verified by the Technical Service and subject to the decision of the Type Approval Authority, as well as stated under point 8.2. on the approval communication of Annex 1.</w:t>
      </w:r>
    </w:p>
    <w:p w:rsidR="00117530" w:rsidRPr="00C671A6" w:rsidRDefault="00117530" w:rsidP="00D728BD">
      <w:pPr>
        <w:pStyle w:val="Default"/>
        <w:spacing w:after="120"/>
        <w:ind w:left="2262" w:right="1134" w:hanging="1128"/>
        <w:jc w:val="both"/>
        <w:rPr>
          <w:b/>
          <w:color w:val="auto"/>
          <w:sz w:val="20"/>
          <w:szCs w:val="20"/>
          <w:lang w:val="en-GB"/>
        </w:rPr>
      </w:pPr>
      <w:r w:rsidRPr="00C671A6">
        <w:rPr>
          <w:b/>
          <w:color w:val="auto"/>
          <w:sz w:val="20"/>
          <w:szCs w:val="20"/>
          <w:lang w:val="en-GB"/>
        </w:rPr>
        <w:t>5.3.2.</w:t>
      </w:r>
      <w:r w:rsidRPr="00C671A6">
        <w:rPr>
          <w:b/>
          <w:color w:val="auto"/>
          <w:sz w:val="20"/>
          <w:szCs w:val="20"/>
          <w:lang w:val="en-GB"/>
        </w:rPr>
        <w:tab/>
        <w:t xml:space="preserve">Vehicles of category N1 of a total permissible mass exceeding </w:t>
      </w:r>
      <w:r w:rsidR="006F527B" w:rsidRPr="00C671A6">
        <w:rPr>
          <w:b/>
          <w:color w:val="auto"/>
          <w:sz w:val="20"/>
          <w:szCs w:val="20"/>
          <w:lang w:val="en-GB"/>
        </w:rPr>
        <w:t>2</w:t>
      </w:r>
      <w:r w:rsidR="006F527B">
        <w:rPr>
          <w:b/>
          <w:color w:val="auto"/>
          <w:sz w:val="20"/>
          <w:szCs w:val="20"/>
          <w:lang w:val="en-GB"/>
        </w:rPr>
        <w:t>,</w:t>
      </w:r>
      <w:r w:rsidRPr="00C671A6">
        <w:rPr>
          <w:b/>
          <w:color w:val="auto"/>
          <w:sz w:val="20"/>
          <w:szCs w:val="20"/>
          <w:lang w:val="en-GB"/>
        </w:rPr>
        <w:t xml:space="preserve">250 kg but not exceeding </w:t>
      </w:r>
      <w:r w:rsidR="006F527B" w:rsidRPr="00C671A6">
        <w:rPr>
          <w:b/>
          <w:color w:val="auto"/>
          <w:sz w:val="20"/>
          <w:szCs w:val="20"/>
          <w:lang w:val="en-GB"/>
        </w:rPr>
        <w:t>2</w:t>
      </w:r>
      <w:r w:rsidR="006F527B">
        <w:rPr>
          <w:b/>
          <w:color w:val="auto"/>
          <w:sz w:val="20"/>
          <w:szCs w:val="20"/>
          <w:lang w:val="en-GB"/>
        </w:rPr>
        <w:t>,</w:t>
      </w:r>
      <w:r w:rsidRPr="00C671A6">
        <w:rPr>
          <w:b/>
          <w:color w:val="auto"/>
          <w:sz w:val="20"/>
          <w:szCs w:val="20"/>
          <w:lang w:val="en-GB"/>
        </w:rPr>
        <w:t xml:space="preserve">500 kg are deemed to meet the requirements of paragraph 5, where their structural basis is a ladder frame and the requirements of Regulation </w:t>
      </w:r>
      <w:r w:rsidR="006F527B">
        <w:rPr>
          <w:b/>
          <w:color w:val="auto"/>
          <w:sz w:val="20"/>
          <w:szCs w:val="20"/>
          <w:lang w:val="en-GB"/>
        </w:rPr>
        <w:t xml:space="preserve">No. </w:t>
      </w:r>
      <w:r w:rsidRPr="00C671A6">
        <w:rPr>
          <w:b/>
          <w:color w:val="auto"/>
          <w:sz w:val="20"/>
          <w:szCs w:val="20"/>
          <w:lang w:val="en-GB"/>
        </w:rPr>
        <w:t>137 are fully complied with and at least one of the following conditions is met:</w:t>
      </w:r>
    </w:p>
    <w:p w:rsidR="00117530" w:rsidRPr="00C671A6" w:rsidRDefault="00D728BD" w:rsidP="00D728BD">
      <w:pPr>
        <w:pStyle w:val="Default"/>
        <w:spacing w:after="120"/>
        <w:ind w:left="2835" w:right="1134" w:hanging="573"/>
        <w:jc w:val="both"/>
        <w:rPr>
          <w:b/>
          <w:color w:val="auto"/>
          <w:sz w:val="20"/>
          <w:szCs w:val="20"/>
          <w:lang w:val="en-GB"/>
        </w:rPr>
      </w:pPr>
      <w:r w:rsidRPr="00C671A6">
        <w:rPr>
          <w:b/>
          <w:color w:val="auto"/>
          <w:sz w:val="20"/>
          <w:szCs w:val="20"/>
          <w:lang w:val="en-GB"/>
        </w:rPr>
        <w:t>(a)</w:t>
      </w:r>
      <w:r w:rsidRPr="00C671A6">
        <w:rPr>
          <w:b/>
          <w:color w:val="auto"/>
          <w:sz w:val="20"/>
          <w:szCs w:val="20"/>
          <w:lang w:val="en-GB"/>
        </w:rPr>
        <w:tab/>
      </w:r>
      <w:r w:rsidR="00117530" w:rsidRPr="00C671A6">
        <w:rPr>
          <w:b/>
          <w:color w:val="auto"/>
          <w:sz w:val="20"/>
          <w:szCs w:val="20"/>
          <w:lang w:val="en-GB"/>
        </w:rPr>
        <w:t>the acute angle alpha (α), measured between a horizontal plane passing through the centre of the front axle and an angular transverse plane passing through the centre of the front axle and the R-point of the driver's seat (see figure 4 below), is more than 22</w:t>
      </w:r>
      <w:r w:rsidR="006F527B">
        <w:rPr>
          <w:b/>
          <w:color w:val="auto"/>
          <w:sz w:val="20"/>
          <w:szCs w:val="20"/>
          <w:lang w:val="en-GB"/>
        </w:rPr>
        <w:t>°</w:t>
      </w:r>
      <w:r w:rsidR="00117530" w:rsidRPr="00C671A6">
        <w:rPr>
          <w:b/>
          <w:color w:val="auto"/>
          <w:sz w:val="20"/>
          <w:szCs w:val="20"/>
          <w:lang w:val="en-GB"/>
        </w:rPr>
        <w:t xml:space="preserve">; </w:t>
      </w:r>
    </w:p>
    <w:p w:rsidR="00117530" w:rsidRPr="00C671A6" w:rsidRDefault="00D728BD" w:rsidP="00D728BD">
      <w:pPr>
        <w:pStyle w:val="Default"/>
        <w:spacing w:after="120"/>
        <w:ind w:left="2835" w:right="1134" w:hanging="573"/>
        <w:jc w:val="both"/>
        <w:rPr>
          <w:b/>
          <w:color w:val="auto"/>
          <w:sz w:val="20"/>
          <w:szCs w:val="20"/>
          <w:lang w:val="en-GB"/>
        </w:rPr>
      </w:pPr>
      <w:r w:rsidRPr="00C671A6">
        <w:rPr>
          <w:b/>
          <w:color w:val="auto"/>
          <w:sz w:val="20"/>
          <w:szCs w:val="20"/>
          <w:lang w:val="en-GB"/>
        </w:rPr>
        <w:t>(b)</w:t>
      </w:r>
      <w:r w:rsidRPr="00C671A6">
        <w:rPr>
          <w:b/>
          <w:color w:val="auto"/>
          <w:sz w:val="20"/>
          <w:szCs w:val="20"/>
          <w:lang w:val="en-GB"/>
        </w:rPr>
        <w:tab/>
      </w:r>
      <w:r w:rsidR="00117530" w:rsidRPr="00C671A6">
        <w:rPr>
          <w:b/>
          <w:color w:val="auto"/>
          <w:sz w:val="20"/>
          <w:szCs w:val="20"/>
          <w:lang w:val="en-GB"/>
        </w:rPr>
        <w:t>or the ratio between the distance from the driver's R-point to the centre of the rear axle (L101-L114) and the centre of the front axle and the driver's R-point (L114) is more than 1.301 (see figure 4 below).</w:t>
      </w:r>
    </w:p>
    <w:p w:rsidR="00117530" w:rsidRPr="00C671A6" w:rsidRDefault="00117530" w:rsidP="00D728BD">
      <w:pPr>
        <w:pStyle w:val="Default"/>
        <w:spacing w:after="120"/>
        <w:ind w:left="2262" w:right="1134"/>
        <w:jc w:val="both"/>
        <w:rPr>
          <w:b/>
          <w:color w:val="auto"/>
          <w:sz w:val="20"/>
          <w:szCs w:val="20"/>
          <w:lang w:val="en-GB"/>
        </w:rPr>
      </w:pPr>
      <w:r w:rsidRPr="00C671A6">
        <w:rPr>
          <w:b/>
          <w:color w:val="auto"/>
          <w:sz w:val="20"/>
          <w:szCs w:val="20"/>
          <w:lang w:val="en-GB"/>
        </w:rPr>
        <w:t>This shall be verified by the Technical Service and subject to the decision of the Type Approval Authority, as well as stated under point 8.2. on the approval communication of Annex 1.</w:t>
      </w:r>
    </w:p>
    <w:p w:rsidR="00D728BD" w:rsidRPr="00C671A6" w:rsidRDefault="00D728BD" w:rsidP="00D728BD">
      <w:pPr>
        <w:spacing w:after="120" w:line="240" w:lineRule="auto"/>
        <w:ind w:left="2268" w:right="1134"/>
        <w:outlineLvl w:val="1"/>
        <w:rPr>
          <w:b/>
          <w:lang w:eastAsia="ar-SA"/>
        </w:rPr>
      </w:pPr>
      <w:r w:rsidRPr="00C671A6">
        <w:rPr>
          <w:b/>
          <w:lang w:eastAsia="ar-SA"/>
        </w:rPr>
        <w:t>Figure 4</w:t>
      </w:r>
    </w:p>
    <w:p w:rsidR="00117530" w:rsidRPr="00BA5A53" w:rsidRDefault="00117530" w:rsidP="00117530">
      <w:pPr>
        <w:spacing w:after="120" w:line="240" w:lineRule="auto"/>
        <w:ind w:left="2268" w:right="1134"/>
        <w:jc w:val="both"/>
        <w:outlineLvl w:val="1"/>
        <w:rPr>
          <w:b/>
        </w:rPr>
      </w:pPr>
    </w:p>
    <w:p w:rsidR="00117530" w:rsidRPr="00C671A6" w:rsidRDefault="00117530" w:rsidP="00D728BD">
      <w:pPr>
        <w:spacing w:after="120" w:line="240" w:lineRule="auto"/>
        <w:ind w:left="2268" w:right="1134" w:firstLine="567"/>
        <w:jc w:val="both"/>
        <w:outlineLvl w:val="1"/>
        <w:rPr>
          <w:b/>
          <w:lang w:eastAsia="ar-SA"/>
        </w:rPr>
      </w:pPr>
      <w:r w:rsidRPr="00C671A6">
        <w:rPr>
          <w:b/>
          <w:noProof/>
          <w:lang w:eastAsia="zh-CN"/>
        </w:rPr>
        <w:drawing>
          <wp:inline distT="0" distB="0" distL="0" distR="0" wp14:anchorId="50075E7E" wp14:editId="45C0D70C">
            <wp:extent cx="3357136" cy="1655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329" cy="1663006"/>
                    </a:xfrm>
                    <a:prstGeom prst="rect">
                      <a:avLst/>
                    </a:prstGeom>
                    <a:noFill/>
                    <a:ln>
                      <a:noFill/>
                    </a:ln>
                  </pic:spPr>
                </pic:pic>
              </a:graphicData>
            </a:graphic>
          </wp:inline>
        </w:drawing>
      </w:r>
    </w:p>
    <w:p w:rsidR="00117530" w:rsidRPr="00C671A6" w:rsidRDefault="00D728BD" w:rsidP="00117530">
      <w:pPr>
        <w:spacing w:after="120" w:line="240" w:lineRule="auto"/>
        <w:ind w:left="2268" w:right="1134" w:hanging="1134"/>
        <w:jc w:val="both"/>
        <w:outlineLvl w:val="1"/>
        <w:rPr>
          <w:iCs/>
          <w:lang w:eastAsia="ar-SA"/>
        </w:rPr>
      </w:pPr>
      <w:r w:rsidRPr="00C671A6">
        <w:rPr>
          <w:iCs/>
          <w:lang w:eastAsia="ar-SA"/>
        </w:rPr>
        <w:t>"</w:t>
      </w:r>
    </w:p>
    <w:p w:rsidR="00117530" w:rsidRPr="00BA5A53" w:rsidRDefault="00117530" w:rsidP="00117530">
      <w:pPr>
        <w:pStyle w:val="SingleTxtG"/>
      </w:pPr>
      <w:r w:rsidRPr="00BA5A53">
        <w:rPr>
          <w:i/>
        </w:rPr>
        <w:t>Annex 1, item 8</w:t>
      </w:r>
      <w:r w:rsidRPr="00BA5A53">
        <w:t>,</w:t>
      </w:r>
      <w:r w:rsidRPr="00BA5A53">
        <w:rPr>
          <w:i/>
        </w:rPr>
        <w:t xml:space="preserve"> </w:t>
      </w:r>
      <w:r w:rsidRPr="00BA5A53">
        <w:t>amend to read:</w:t>
      </w:r>
    </w:p>
    <w:p w:rsidR="00117530" w:rsidRPr="00BA5A53" w:rsidRDefault="00117530" w:rsidP="00117530">
      <w:pPr>
        <w:widowControl w:val="0"/>
        <w:tabs>
          <w:tab w:val="left" w:pos="1701"/>
          <w:tab w:val="right" w:leader="dot" w:pos="8505"/>
          <w:tab w:val="right" w:leader="dot" w:pos="9356"/>
        </w:tabs>
        <w:suppressAutoHyphens w:val="0"/>
        <w:spacing w:after="120"/>
        <w:ind w:left="1701" w:hanging="567"/>
      </w:pPr>
      <w:r w:rsidRPr="00BA5A53">
        <w:t xml:space="preserve">"8. </w:t>
      </w:r>
      <w:r w:rsidRPr="00BA5A53">
        <w:tab/>
        <w:t>Mass of the Vehicle</w:t>
      </w:r>
    </w:p>
    <w:p w:rsidR="00117530" w:rsidRPr="00BA5A53" w:rsidRDefault="00117530" w:rsidP="00117530">
      <w:pPr>
        <w:widowControl w:val="0"/>
        <w:tabs>
          <w:tab w:val="left" w:pos="1701"/>
          <w:tab w:val="right" w:leader="dot" w:pos="8505"/>
          <w:tab w:val="right" w:leader="dot" w:pos="9356"/>
        </w:tabs>
        <w:suppressAutoHyphens w:val="0"/>
        <w:spacing w:after="120"/>
        <w:ind w:left="1701" w:hanging="567"/>
      </w:pPr>
      <w:r w:rsidRPr="00BA5A53">
        <w:rPr>
          <w:b/>
        </w:rPr>
        <w:t>8.1.</w:t>
      </w:r>
      <w:r w:rsidRPr="00BA5A53">
        <w:tab/>
        <w:t>Mass of vehicle submitted for testing:</w:t>
      </w:r>
    </w:p>
    <w:p w:rsidR="00117530" w:rsidRPr="00BA5A53" w:rsidRDefault="00117530" w:rsidP="00117530">
      <w:pPr>
        <w:widowControl w:val="0"/>
        <w:tabs>
          <w:tab w:val="left" w:pos="1588"/>
          <w:tab w:val="left" w:pos="1701"/>
          <w:tab w:val="right" w:leader="dot" w:pos="8505"/>
          <w:tab w:val="right" w:leader="dot" w:pos="9356"/>
        </w:tabs>
        <w:suppressAutoHyphens w:val="0"/>
        <w:spacing w:after="120"/>
        <w:ind w:left="1701"/>
      </w:pPr>
      <w:r w:rsidRPr="00BA5A53">
        <w:t xml:space="preserve">Front axle: </w:t>
      </w:r>
      <w:r w:rsidRPr="00BA5A53">
        <w:tab/>
      </w:r>
    </w:p>
    <w:p w:rsidR="00117530" w:rsidRPr="00BA5A53" w:rsidRDefault="00117530" w:rsidP="00117530">
      <w:pPr>
        <w:widowControl w:val="0"/>
        <w:tabs>
          <w:tab w:val="left" w:pos="1588"/>
          <w:tab w:val="left" w:pos="1701"/>
          <w:tab w:val="right" w:leader="dot" w:pos="8505"/>
          <w:tab w:val="right" w:leader="dot" w:pos="9356"/>
        </w:tabs>
        <w:suppressAutoHyphens w:val="0"/>
        <w:spacing w:after="120"/>
        <w:ind w:left="1701"/>
      </w:pPr>
      <w:r w:rsidRPr="00BA5A53">
        <w:t xml:space="preserve">Rear axle: </w:t>
      </w:r>
      <w:r w:rsidRPr="00BA5A53">
        <w:tab/>
      </w:r>
    </w:p>
    <w:p w:rsidR="00117530" w:rsidRPr="00BA5A53" w:rsidRDefault="00117530" w:rsidP="00117530">
      <w:pPr>
        <w:widowControl w:val="0"/>
        <w:tabs>
          <w:tab w:val="left" w:pos="1588"/>
          <w:tab w:val="left" w:pos="1701"/>
          <w:tab w:val="right" w:leader="dot" w:pos="8505"/>
          <w:tab w:val="right" w:leader="dot" w:pos="9356"/>
        </w:tabs>
        <w:suppressAutoHyphens w:val="0"/>
        <w:spacing w:after="120"/>
        <w:ind w:left="1701"/>
      </w:pPr>
      <w:r w:rsidRPr="00BA5A53">
        <w:t>Total:</w:t>
      </w:r>
      <w:r w:rsidRPr="00BA5A53">
        <w:tab/>
      </w:r>
    </w:p>
    <w:p w:rsidR="00117530" w:rsidRPr="00BA5A53" w:rsidRDefault="00117530" w:rsidP="00117530">
      <w:pPr>
        <w:widowControl w:val="0"/>
        <w:tabs>
          <w:tab w:val="left" w:pos="1701"/>
          <w:tab w:val="right" w:leader="dot" w:pos="8505"/>
          <w:tab w:val="right" w:leader="dot" w:pos="9356"/>
        </w:tabs>
        <w:suppressAutoHyphens w:val="0"/>
        <w:spacing w:after="120"/>
        <w:ind w:left="1701" w:hanging="567"/>
        <w:rPr>
          <w:b/>
        </w:rPr>
      </w:pPr>
      <w:r w:rsidRPr="00BA5A53">
        <w:rPr>
          <w:b/>
        </w:rPr>
        <w:t xml:space="preserve">8.2. </w:t>
      </w:r>
      <w:r w:rsidRPr="00BA5A53">
        <w:rPr>
          <w:b/>
        </w:rPr>
        <w:tab/>
        <w:t>Where paragraph 5.3.1</w:t>
      </w:r>
      <w:r w:rsidR="00793457">
        <w:rPr>
          <w:b/>
        </w:rPr>
        <w:t>.</w:t>
      </w:r>
      <w:r w:rsidRPr="00BA5A53">
        <w:rPr>
          <w:b/>
        </w:rPr>
        <w:t xml:space="preserve"> or 5.3.2</w:t>
      </w:r>
      <w:r w:rsidR="00793457">
        <w:rPr>
          <w:b/>
        </w:rPr>
        <w:t>.</w:t>
      </w:r>
      <w:r w:rsidRPr="00BA5A53">
        <w:rPr>
          <w:b/>
        </w:rPr>
        <w:t xml:space="preserve"> applies:</w:t>
      </w:r>
    </w:p>
    <w:p w:rsidR="00117530" w:rsidRPr="00BA5A53" w:rsidRDefault="00117530" w:rsidP="00117530">
      <w:pPr>
        <w:widowControl w:val="0"/>
        <w:tabs>
          <w:tab w:val="left" w:pos="1588"/>
          <w:tab w:val="left" w:pos="1701"/>
          <w:tab w:val="right" w:leader="dot" w:pos="8505"/>
          <w:tab w:val="right" w:leader="dot" w:pos="9356"/>
        </w:tabs>
        <w:suppressAutoHyphens w:val="0"/>
        <w:spacing w:after="120"/>
        <w:ind w:left="1701"/>
        <w:rPr>
          <w:b/>
        </w:rPr>
      </w:pPr>
      <w:r w:rsidRPr="00BA5A53">
        <w:rPr>
          <w:b/>
        </w:rPr>
        <w:t>Total permissible mass……………………………………………………………….</w:t>
      </w:r>
    </w:p>
    <w:p w:rsidR="00117530" w:rsidRPr="00BA5A53" w:rsidRDefault="00117530" w:rsidP="00D728BD">
      <w:pPr>
        <w:widowControl w:val="0"/>
        <w:tabs>
          <w:tab w:val="left" w:pos="1588"/>
          <w:tab w:val="left" w:pos="1701"/>
          <w:tab w:val="right" w:leader="dot" w:pos="8505"/>
          <w:tab w:val="right" w:leader="dot" w:pos="9356"/>
        </w:tabs>
        <w:suppressAutoHyphens w:val="0"/>
        <w:spacing w:after="120"/>
        <w:ind w:left="1701" w:right="1134"/>
        <w:jc w:val="both"/>
      </w:pPr>
      <w:r w:rsidRPr="00BA5A53">
        <w:rPr>
          <w:b/>
        </w:rPr>
        <w:t xml:space="preserve">Proof of compliance with UN Regulation 137 (i.e. type approval number or test report): </w:t>
      </w:r>
      <w:r w:rsidRPr="00BA5A53">
        <w:t>"</w:t>
      </w:r>
    </w:p>
    <w:p w:rsidR="00117530" w:rsidRPr="00BA5A53" w:rsidRDefault="00117530" w:rsidP="00117530">
      <w:pPr>
        <w:pStyle w:val="HChG"/>
      </w:pPr>
      <w:r w:rsidRPr="00BA5A53">
        <w:tab/>
        <w:t>II.</w:t>
      </w:r>
      <w:r w:rsidRPr="00BA5A53">
        <w:tab/>
        <w:t>Justification</w:t>
      </w:r>
    </w:p>
    <w:p w:rsidR="00117530" w:rsidRPr="00BA5A53" w:rsidRDefault="00117530" w:rsidP="00117530">
      <w:pPr>
        <w:pStyle w:val="SingleTxtG"/>
        <w:ind w:hanging="426"/>
        <w:rPr>
          <w:b/>
          <w:color w:val="FF0000"/>
        </w:rPr>
      </w:pPr>
      <w:r w:rsidRPr="00BA5A53">
        <w:tab/>
        <w:t>1.</w:t>
      </w:r>
      <w:r w:rsidRPr="00BA5A53">
        <w:tab/>
        <w:t xml:space="preserve">The European Union is in the process of adopting the revised General Safety Regulation that introduces a range of new safety features. It however also addresses a number of exemptions </w:t>
      </w:r>
      <w:r w:rsidR="006F527B">
        <w:t xml:space="preserve">in </w:t>
      </w:r>
      <w:r w:rsidRPr="00BA5A53">
        <w:t>essential vehicle safety requirements</w:t>
      </w:r>
      <w:r w:rsidR="006F527B">
        <w:t>,</w:t>
      </w:r>
      <w:r w:rsidRPr="00BA5A53">
        <w:t xml:space="preserve"> e.g. heavy </w:t>
      </w:r>
      <w:r w:rsidR="006F527B" w:rsidRPr="00BA5A53">
        <w:t xml:space="preserve">sport utility vehicles </w:t>
      </w:r>
      <w:r w:rsidRPr="00BA5A53">
        <w:t>and vans.</w:t>
      </w:r>
    </w:p>
    <w:p w:rsidR="00117530" w:rsidRPr="00BA5A53" w:rsidRDefault="00117530" w:rsidP="00117530">
      <w:pPr>
        <w:pStyle w:val="SingleTxtG"/>
      </w:pPr>
      <w:r w:rsidRPr="00BA5A53">
        <w:lastRenderedPageBreak/>
        <w:t>2.</w:t>
      </w:r>
      <w:r w:rsidRPr="00BA5A53">
        <w:tab/>
        <w:t>These broad exemptions can no longer be justified in the light of increasing vehicle mass due to</w:t>
      </w:r>
      <w:r w:rsidR="006F527B">
        <w:t>,</w:t>
      </w:r>
      <w:r w:rsidRPr="00BA5A53">
        <w:t xml:space="preserve"> e.g. electrification of the vehicle fleet as well as protection of workers that use light commercial vehicles.</w:t>
      </w:r>
    </w:p>
    <w:p w:rsidR="00117530" w:rsidRPr="00BA5A53" w:rsidRDefault="00117530" w:rsidP="00117530">
      <w:pPr>
        <w:pStyle w:val="SingleTxtG"/>
      </w:pPr>
      <w:r w:rsidRPr="00BA5A53">
        <w:t>3.</w:t>
      </w:r>
      <w:r w:rsidRPr="00BA5A53">
        <w:tab/>
        <w:t>Several clarifications have been included in line with common practise in terms of worst-case selection of vehicles.</w:t>
      </w:r>
    </w:p>
    <w:p w:rsidR="00117530" w:rsidRPr="00BA5A53" w:rsidRDefault="00117530" w:rsidP="00117530">
      <w:pPr>
        <w:pStyle w:val="SingleTxtG"/>
      </w:pPr>
      <w:r w:rsidRPr="00BA5A53">
        <w:t>4.</w:t>
      </w:r>
      <w:r w:rsidRPr="00BA5A53">
        <w:tab/>
        <w:t>N</w:t>
      </w:r>
      <w:r w:rsidRPr="00BA5A53">
        <w:rPr>
          <w:vertAlign w:val="subscript"/>
        </w:rPr>
        <w:t>1</w:t>
      </w:r>
      <w:r w:rsidRPr="00BA5A53">
        <w:t xml:space="preserve"> category vehicles with a relatively high maximum permissible mass could have specific commercial vehicle architecture based on N</w:t>
      </w:r>
      <w:r w:rsidRPr="00BA5A53">
        <w:rPr>
          <w:vertAlign w:val="subscript"/>
        </w:rPr>
        <w:t>2</w:t>
      </w:r>
      <w:r w:rsidRPr="00BA5A53">
        <w:t xml:space="preserve"> category vehicles. This could in turn lead to a disproportionally high crash test severity. For this reason</w:t>
      </w:r>
      <w:r w:rsidR="006F527B">
        <w:t>,</w:t>
      </w:r>
      <w:r w:rsidRPr="00BA5A53">
        <w:t xml:space="preserve"> it is proposed not to include these vehicles in the scope with a view to test them according to Regulation </w:t>
      </w:r>
      <w:r w:rsidR="00D728BD" w:rsidRPr="00BA5A53">
        <w:t xml:space="preserve">No. </w:t>
      </w:r>
      <w:r w:rsidRPr="00BA5A53">
        <w:t>137 instead. M</w:t>
      </w:r>
      <w:r w:rsidRPr="00BA5A53">
        <w:rPr>
          <w:vertAlign w:val="subscript"/>
        </w:rPr>
        <w:t>1</w:t>
      </w:r>
      <w:r w:rsidRPr="00BA5A53">
        <w:t xml:space="preserve"> category vehicles based on such N</w:t>
      </w:r>
      <w:r w:rsidRPr="00BA5A53">
        <w:rPr>
          <w:vertAlign w:val="subscript"/>
        </w:rPr>
        <w:t>1</w:t>
      </w:r>
      <w:r w:rsidRPr="00BA5A53">
        <w:t xml:space="preserve"> vans are proposed to be given the same treatment.</w:t>
      </w:r>
    </w:p>
    <w:p w:rsidR="00117530" w:rsidRPr="00BA5A53" w:rsidRDefault="00117530" w:rsidP="00117530">
      <w:pPr>
        <w:pStyle w:val="SingleTxtG"/>
      </w:pPr>
      <w:r w:rsidRPr="00BA5A53">
        <w:t>5.</w:t>
      </w:r>
      <w:r w:rsidRPr="00BA5A53">
        <w:tab/>
        <w:t>A few of these same N</w:t>
      </w:r>
      <w:r w:rsidRPr="00BA5A53">
        <w:rPr>
          <w:vertAlign w:val="subscript"/>
        </w:rPr>
        <w:t>1</w:t>
      </w:r>
      <w:r w:rsidRPr="00BA5A53">
        <w:t xml:space="preserve"> vehicles with a </w:t>
      </w:r>
      <w:r w:rsidRPr="00BA5A53">
        <w:rPr>
          <w:spacing w:val="1"/>
        </w:rPr>
        <w:t>total permissible mass</w:t>
      </w:r>
      <w:r w:rsidRPr="00BA5A53">
        <w:t xml:space="preserve"> between </w:t>
      </w:r>
      <w:r w:rsidR="006F527B" w:rsidRPr="00BA5A53">
        <w:t>2</w:t>
      </w:r>
      <w:r w:rsidR="006F527B">
        <w:t>,</w:t>
      </w:r>
      <w:r w:rsidRPr="00BA5A53">
        <w:t xml:space="preserve">500 kg and </w:t>
      </w:r>
      <w:r w:rsidR="006F527B" w:rsidRPr="00BA5A53">
        <w:t>3</w:t>
      </w:r>
      <w:r w:rsidR="006F527B">
        <w:t>,</w:t>
      </w:r>
      <w:r w:rsidRPr="00BA5A53">
        <w:t>500 kg are classified as M</w:t>
      </w:r>
      <w:r w:rsidRPr="00BA5A53">
        <w:rPr>
          <w:vertAlign w:val="subscript"/>
        </w:rPr>
        <w:t>1</w:t>
      </w:r>
      <w:r w:rsidRPr="00BA5A53">
        <w:t xml:space="preserve"> vehicles (camper vans</w:t>
      </w:r>
      <w:r w:rsidR="00381E60">
        <w:t>,</w:t>
      </w:r>
      <w:r w:rsidRPr="00BA5A53">
        <w:t xml:space="preserve"> etc</w:t>
      </w:r>
      <w:r w:rsidR="00381E60">
        <w:t>.</w:t>
      </w:r>
      <w:r w:rsidR="00381E60" w:rsidRPr="00BA5A53">
        <w:t xml:space="preserve">) </w:t>
      </w:r>
      <w:r w:rsidRPr="00BA5A53">
        <w:t>although these are structurally identical to their N</w:t>
      </w:r>
      <w:r w:rsidRPr="00BA5A53">
        <w:rPr>
          <w:vertAlign w:val="subscript"/>
        </w:rPr>
        <w:t>1</w:t>
      </w:r>
      <w:r w:rsidRPr="00BA5A53">
        <w:t xml:space="preserve"> base vehicle.  It is recognised that these heavy M</w:t>
      </w:r>
      <w:r w:rsidRPr="00BA5A53">
        <w:rPr>
          <w:vertAlign w:val="subscript"/>
        </w:rPr>
        <w:t>1</w:t>
      </w:r>
      <w:r w:rsidRPr="00BA5A53">
        <w:t xml:space="preserve"> should also be excluded from the extension of scope, for this reason the same criteria is incorporated from UN Regulation </w:t>
      </w:r>
      <w:r w:rsidR="00381E60">
        <w:t xml:space="preserve">No. </w:t>
      </w:r>
      <w:r w:rsidRPr="00BA5A53">
        <w:t>135.  This was originally incorporated in the Pole Side Impact regulation to differentiate between these large N</w:t>
      </w:r>
      <w:r w:rsidRPr="00BA5A53">
        <w:rPr>
          <w:vertAlign w:val="subscript"/>
        </w:rPr>
        <w:t>1</w:t>
      </w:r>
      <w:r w:rsidRPr="00BA5A53">
        <w:t xml:space="preserve"> vehicles and more common pick-up vehicles.  It is more logical to align </w:t>
      </w:r>
      <w:r w:rsidR="00381E60" w:rsidRPr="00F027E3">
        <w:t xml:space="preserve">Regulation </w:t>
      </w:r>
      <w:r w:rsidR="00381E60">
        <w:t xml:space="preserve">No. </w:t>
      </w:r>
      <w:r w:rsidRPr="00BA5A53">
        <w:t xml:space="preserve">94 with </w:t>
      </w:r>
      <w:r w:rsidR="00381E60" w:rsidRPr="00F027E3">
        <w:t xml:space="preserve">Regulation </w:t>
      </w:r>
      <w:r w:rsidR="00381E60">
        <w:t xml:space="preserve">No. </w:t>
      </w:r>
      <w:r w:rsidRPr="00BA5A53">
        <w:t xml:space="preserve">135 crash regulation exemptions rather than using e.g. the </w:t>
      </w:r>
      <w:r w:rsidR="00381E60" w:rsidRPr="00F027E3">
        <w:t xml:space="preserve">Regulation </w:t>
      </w:r>
      <w:r w:rsidR="00381E60">
        <w:t xml:space="preserve">No. </w:t>
      </w:r>
      <w:r w:rsidRPr="00BA5A53">
        <w:t>127 pedestrian protection exemption.</w:t>
      </w:r>
    </w:p>
    <w:p w:rsidR="00117530" w:rsidRPr="00BA5A53" w:rsidRDefault="00117530" w:rsidP="00117530">
      <w:pPr>
        <w:pStyle w:val="SingleTxtG"/>
        <w:rPr>
          <w:spacing w:val="1"/>
        </w:rPr>
      </w:pPr>
      <w:r w:rsidRPr="00BA5A53">
        <w:t xml:space="preserve">6. </w:t>
      </w:r>
      <w:r w:rsidRPr="00BA5A53">
        <w:tab/>
        <w:t>N</w:t>
      </w:r>
      <w:r w:rsidRPr="00BA5A53">
        <w:rPr>
          <w:vertAlign w:val="subscript"/>
        </w:rPr>
        <w:t>1</w:t>
      </w:r>
      <w:r w:rsidRPr="00BA5A53">
        <w:t xml:space="preserve"> category vehicles </w:t>
      </w:r>
      <w:r w:rsidRPr="00BA5A53">
        <w:rPr>
          <w:spacing w:val="1"/>
        </w:rPr>
        <w:t xml:space="preserve">of a total permissible mass exceeding </w:t>
      </w:r>
      <w:r w:rsidR="00381E60" w:rsidRPr="00BA5A53">
        <w:rPr>
          <w:spacing w:val="1"/>
        </w:rPr>
        <w:t>2</w:t>
      </w:r>
      <w:r w:rsidR="00381E60">
        <w:rPr>
          <w:spacing w:val="1"/>
        </w:rPr>
        <w:t>,</w:t>
      </w:r>
      <w:r w:rsidRPr="00BA5A53">
        <w:rPr>
          <w:spacing w:val="1"/>
        </w:rPr>
        <w:t xml:space="preserve">250 kg but not exceeding </w:t>
      </w:r>
      <w:r w:rsidR="00381E60" w:rsidRPr="00BA5A53">
        <w:rPr>
          <w:spacing w:val="1"/>
        </w:rPr>
        <w:t>2</w:t>
      </w:r>
      <w:r w:rsidR="00381E60">
        <w:rPr>
          <w:spacing w:val="1"/>
        </w:rPr>
        <w:t>,</w:t>
      </w:r>
      <w:r w:rsidRPr="00BA5A53">
        <w:rPr>
          <w:spacing w:val="1"/>
        </w:rPr>
        <w:t>500 kg may also</w:t>
      </w:r>
      <w:r w:rsidRPr="00BA5A53">
        <w:rPr>
          <w:b/>
          <w:spacing w:val="1"/>
        </w:rPr>
        <w:t xml:space="preserve"> </w:t>
      </w:r>
      <w:r w:rsidRPr="00BA5A53">
        <w:t xml:space="preserve">have very specific commercial vehicle architecture based on other excluded vehicles with a higher maximum permissible mass. This could in turn lead to a disproportionally high crash test severity. For this reason, it is proposed not to include these vehicles in the scope with a view to test them according to UN Regulation </w:t>
      </w:r>
      <w:r w:rsidR="00D728BD" w:rsidRPr="00BA5A53">
        <w:t xml:space="preserve">No. </w:t>
      </w:r>
      <w:r w:rsidRPr="00BA5A53">
        <w:t>137 instead.</w:t>
      </w:r>
    </w:p>
    <w:p w:rsidR="00117530" w:rsidRPr="00BA5A53" w:rsidRDefault="00117530" w:rsidP="00117530">
      <w:pPr>
        <w:pStyle w:val="SingleTxtG"/>
      </w:pPr>
      <w:r w:rsidRPr="00BA5A53">
        <w:t xml:space="preserve">7. </w:t>
      </w:r>
      <w:r w:rsidRPr="00BA5A53">
        <w:tab/>
        <w:t>In wide vehicles</w:t>
      </w:r>
      <w:r w:rsidR="00381E60">
        <w:t>,</w:t>
      </w:r>
      <w:r w:rsidRPr="00BA5A53">
        <w:t xml:space="preserve"> it may not </w:t>
      </w:r>
      <w:r w:rsidR="00381E60" w:rsidRPr="00F027E3">
        <w:t xml:space="preserve">be </w:t>
      </w:r>
      <w:r w:rsidRPr="00BA5A53">
        <w:t xml:space="preserve">necessary for the front seats to have a displacement system (in accordance with UN Regulation </w:t>
      </w:r>
      <w:r w:rsidR="00D728BD" w:rsidRPr="00BA5A53">
        <w:t xml:space="preserve">No. </w:t>
      </w:r>
      <w:r w:rsidRPr="00BA5A53">
        <w:t xml:space="preserve">17), as occupants can move forward between the seats. It is proposed to allow this also in this Regulation to allow for the evacuation of rear-seated occupants through a front door in case of a crash. The amended text </w:t>
      </w:r>
      <w:r w:rsidR="00381E60">
        <w:t>“</w:t>
      </w:r>
      <w:r w:rsidRPr="00BA5A53">
        <w:t xml:space="preserve">by activating the displacement system of seats, if </w:t>
      </w:r>
      <w:r w:rsidR="00381E60" w:rsidRPr="00BA5A53">
        <w:t>necessary</w:t>
      </w:r>
      <w:r w:rsidR="00381E60">
        <w:t>”</w:t>
      </w:r>
      <w:r w:rsidR="00381E60" w:rsidRPr="00BA5A53">
        <w:t xml:space="preserve"> </w:t>
      </w:r>
      <w:r w:rsidRPr="00BA5A53">
        <w:t>reflects this option.</w:t>
      </w:r>
    </w:p>
    <w:p w:rsidR="00117530" w:rsidRPr="00BA5A53" w:rsidRDefault="00117530" w:rsidP="00117530">
      <w:pPr>
        <w:pStyle w:val="SingleTxtG"/>
      </w:pPr>
      <w:r w:rsidRPr="00BA5A53">
        <w:t>8.</w:t>
      </w:r>
      <w:r w:rsidRPr="00BA5A53">
        <w:tab/>
        <w:t>To avoid diverging interpretations by Technical Services and Type-Approval Authorities</w:t>
      </w:r>
      <w:r w:rsidR="00381E60">
        <w:t>,</w:t>
      </w:r>
      <w:r w:rsidRPr="00BA5A53">
        <w:t xml:space="preserve"> it is clarified that at least a worst-case configuration </w:t>
      </w:r>
      <w:r w:rsidR="00381E60">
        <w:t xml:space="preserve">for </w:t>
      </w:r>
      <w:r w:rsidRPr="00BA5A53">
        <w:t>side doors must be assessed to prevent that certain configurations would somehow not be checked.</w:t>
      </w:r>
    </w:p>
    <w:p w:rsidR="0044397D" w:rsidRPr="00BA5A53" w:rsidRDefault="00680940" w:rsidP="00286EBA">
      <w:pPr>
        <w:spacing w:before="240"/>
        <w:jc w:val="center"/>
        <w:rPr>
          <w:w w:val="105"/>
          <w:u w:val="single"/>
        </w:rPr>
      </w:pPr>
      <w:r w:rsidRPr="00BA5A53">
        <w:rPr>
          <w:w w:val="105"/>
          <w:u w:val="single"/>
        </w:rPr>
        <w:tab/>
      </w:r>
      <w:r w:rsidRPr="00BA5A53">
        <w:rPr>
          <w:w w:val="105"/>
          <w:u w:val="single"/>
        </w:rPr>
        <w:tab/>
      </w:r>
      <w:r w:rsidRPr="00BA5A53">
        <w:rPr>
          <w:w w:val="105"/>
          <w:u w:val="single"/>
        </w:rPr>
        <w:tab/>
      </w:r>
    </w:p>
    <w:p w:rsidR="001C6663" w:rsidRPr="00BA5A53" w:rsidRDefault="001C6663" w:rsidP="00595520"/>
    <w:sectPr w:rsidR="001C6663" w:rsidRPr="00BA5A53" w:rsidSect="00B401C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E5" w:rsidRDefault="00AC00E5"/>
  </w:endnote>
  <w:endnote w:type="continuationSeparator" w:id="0">
    <w:p w:rsidR="00AC00E5" w:rsidRDefault="00AC00E5"/>
  </w:endnote>
  <w:endnote w:type="continuationNotice" w:id="1">
    <w:p w:rsidR="00AC00E5" w:rsidRDefault="00AC0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4055C8">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4055C8">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8" w:rsidRDefault="004055C8" w:rsidP="004055C8">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055C8" w:rsidRDefault="004055C8" w:rsidP="004055C8">
    <w:pPr>
      <w:pStyle w:val="Footer"/>
      <w:ind w:right="1134"/>
      <w:rPr>
        <w:sz w:val="20"/>
      </w:rPr>
    </w:pPr>
    <w:r>
      <w:rPr>
        <w:sz w:val="20"/>
      </w:rPr>
      <w:t>GE.19-16592(E)</w:t>
    </w:r>
  </w:p>
  <w:p w:rsidR="004055C8" w:rsidRPr="004055C8" w:rsidRDefault="004055C8" w:rsidP="004055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E5" w:rsidRPr="000B175B" w:rsidRDefault="00AC00E5" w:rsidP="000B175B">
      <w:pPr>
        <w:tabs>
          <w:tab w:val="right" w:pos="2155"/>
        </w:tabs>
        <w:spacing w:after="80"/>
        <w:ind w:left="680"/>
        <w:rPr>
          <w:u w:val="single"/>
        </w:rPr>
      </w:pPr>
      <w:r>
        <w:rPr>
          <w:u w:val="single"/>
        </w:rPr>
        <w:tab/>
      </w:r>
    </w:p>
  </w:footnote>
  <w:footnote w:type="continuationSeparator" w:id="0">
    <w:p w:rsidR="00AC00E5" w:rsidRPr="00FC68B7" w:rsidRDefault="00AC00E5" w:rsidP="00FC68B7">
      <w:pPr>
        <w:tabs>
          <w:tab w:val="left" w:pos="2155"/>
        </w:tabs>
        <w:spacing w:after="80"/>
        <w:ind w:left="680"/>
        <w:rPr>
          <w:u w:val="single"/>
        </w:rPr>
      </w:pPr>
      <w:r>
        <w:rPr>
          <w:u w:val="single"/>
        </w:rPr>
        <w:tab/>
      </w:r>
    </w:p>
  </w:footnote>
  <w:footnote w:type="continuationNotice" w:id="1">
    <w:p w:rsidR="00AC00E5" w:rsidRDefault="00AC00E5"/>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1B343F" w:rsidRPr="001B343F" w:rsidRDefault="001B343F" w:rsidP="001B343F">
      <w:pPr>
        <w:pStyle w:val="FootnoteText"/>
        <w:rPr>
          <w:b/>
          <w:bCs/>
        </w:rPr>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w:t>
      </w:r>
      <w:r w:rsidRPr="001B343F">
        <w:rPr>
          <w:b/>
          <w:bCs/>
        </w:rPr>
        <w:t>6, para. 2. –</w:t>
      </w:r>
    </w:p>
    <w:p w:rsidR="001B343F" w:rsidRPr="00DA7313" w:rsidRDefault="001B343F" w:rsidP="001B343F">
      <w:pPr>
        <w:pStyle w:val="FootnoteText"/>
        <w:ind w:firstLine="0"/>
        <w:rPr>
          <w:lang w:eastAsia="ja-JP"/>
        </w:rPr>
      </w:pPr>
      <w:r w:rsidRPr="001B343F">
        <w:rPr>
          <w:b/>
          <w:bCs/>
        </w:rPr>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FD2A01">
      <w:rPr>
        <w:lang w:val="fr-CH"/>
      </w:rPr>
      <w:t>2</w:t>
    </w:r>
    <w:r w:rsidR="00E2571B">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ECE/TRANS/WP.29/GRSP/2019/2</w:t>
    </w:r>
    <w:r w:rsidR="00AD6091">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1E60"/>
    <w:rsid w:val="00387BE7"/>
    <w:rsid w:val="003A46BB"/>
    <w:rsid w:val="003A4EC7"/>
    <w:rsid w:val="003A7295"/>
    <w:rsid w:val="003B1F60"/>
    <w:rsid w:val="003C2CC4"/>
    <w:rsid w:val="003D4B23"/>
    <w:rsid w:val="003E278A"/>
    <w:rsid w:val="004055C8"/>
    <w:rsid w:val="00413520"/>
    <w:rsid w:val="004325CB"/>
    <w:rsid w:val="00435913"/>
    <w:rsid w:val="00440A07"/>
    <w:rsid w:val="0044397D"/>
    <w:rsid w:val="00462880"/>
    <w:rsid w:val="004744BA"/>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527B"/>
    <w:rsid w:val="007003CD"/>
    <w:rsid w:val="0070701E"/>
    <w:rsid w:val="0072632A"/>
    <w:rsid w:val="007358E8"/>
    <w:rsid w:val="00736ECE"/>
    <w:rsid w:val="0074533B"/>
    <w:rsid w:val="007572EC"/>
    <w:rsid w:val="007643BC"/>
    <w:rsid w:val="00780C68"/>
    <w:rsid w:val="00793457"/>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0E5"/>
    <w:rsid w:val="00AC0F2C"/>
    <w:rsid w:val="00AC502A"/>
    <w:rsid w:val="00AD6091"/>
    <w:rsid w:val="00AE1E26"/>
    <w:rsid w:val="00AE5A2B"/>
    <w:rsid w:val="00AF58C1"/>
    <w:rsid w:val="00B04A3F"/>
    <w:rsid w:val="00B06643"/>
    <w:rsid w:val="00B15055"/>
    <w:rsid w:val="00B20551"/>
    <w:rsid w:val="00B30179"/>
    <w:rsid w:val="00B31E0B"/>
    <w:rsid w:val="00B33FC7"/>
    <w:rsid w:val="00B37B15"/>
    <w:rsid w:val="00B401CB"/>
    <w:rsid w:val="00B4162A"/>
    <w:rsid w:val="00B45C02"/>
    <w:rsid w:val="00B70B63"/>
    <w:rsid w:val="00B72A1E"/>
    <w:rsid w:val="00B76FAA"/>
    <w:rsid w:val="00B81E12"/>
    <w:rsid w:val="00BA339B"/>
    <w:rsid w:val="00BA5A53"/>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71A6"/>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08C3-DDA5-47B1-889D-DA1C82FA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6636</Characters>
  <Application>Microsoft Office Word</Application>
  <DocSecurity>0</DocSecurity>
  <Lines>146</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ECE/TRANS/WP.29/GRSP/2019/29</dc:title>
  <dc:subject>1916592</dc:subject>
  <dc:creator>Edoardo Gianotti</dc:creator>
  <cp:keywords/>
  <dc:description/>
  <cp:lastModifiedBy>Generic Desk Anglais</cp:lastModifiedBy>
  <cp:revision>2</cp:revision>
  <cp:lastPrinted>2009-02-18T09:36:00Z</cp:lastPrinted>
  <dcterms:created xsi:type="dcterms:W3CDTF">2019-09-26T10:19:00Z</dcterms:created>
  <dcterms:modified xsi:type="dcterms:W3CDTF">2019-09-26T10:19:00Z</dcterms:modified>
</cp:coreProperties>
</file>