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38E404" w14:textId="77777777" w:rsidTr="00C97039">
        <w:trPr>
          <w:trHeight w:hRule="exact" w:val="851"/>
        </w:trPr>
        <w:tc>
          <w:tcPr>
            <w:tcW w:w="1276" w:type="dxa"/>
            <w:tcBorders>
              <w:bottom w:val="single" w:sz="4" w:space="0" w:color="auto"/>
            </w:tcBorders>
          </w:tcPr>
          <w:p w14:paraId="76CD932C" w14:textId="77777777" w:rsidR="00F35BAF" w:rsidRPr="00DB58B5" w:rsidRDefault="00F35BAF" w:rsidP="00504208"/>
        </w:tc>
        <w:tc>
          <w:tcPr>
            <w:tcW w:w="2268" w:type="dxa"/>
            <w:tcBorders>
              <w:bottom w:val="single" w:sz="4" w:space="0" w:color="auto"/>
            </w:tcBorders>
            <w:vAlign w:val="bottom"/>
          </w:tcPr>
          <w:p w14:paraId="4794045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77FD30" w14:textId="77777777" w:rsidR="00F35BAF" w:rsidRPr="00DB58B5" w:rsidRDefault="00504208" w:rsidP="00504208">
            <w:pPr>
              <w:jc w:val="right"/>
            </w:pPr>
            <w:r w:rsidRPr="00504208">
              <w:rPr>
                <w:sz w:val="40"/>
              </w:rPr>
              <w:t>ECE</w:t>
            </w:r>
            <w:r>
              <w:t>/TRANS/WP.29/GRSP/2019/31</w:t>
            </w:r>
          </w:p>
        </w:tc>
      </w:tr>
      <w:tr w:rsidR="00F35BAF" w:rsidRPr="00DB58B5" w14:paraId="12C15FB3" w14:textId="77777777" w:rsidTr="00C97039">
        <w:trPr>
          <w:trHeight w:hRule="exact" w:val="2835"/>
        </w:trPr>
        <w:tc>
          <w:tcPr>
            <w:tcW w:w="1276" w:type="dxa"/>
            <w:tcBorders>
              <w:top w:val="single" w:sz="4" w:space="0" w:color="auto"/>
              <w:bottom w:val="single" w:sz="12" w:space="0" w:color="auto"/>
            </w:tcBorders>
          </w:tcPr>
          <w:p w14:paraId="53905587" w14:textId="77777777" w:rsidR="00F35BAF" w:rsidRPr="00DB58B5" w:rsidRDefault="00F35BAF" w:rsidP="00C97039">
            <w:pPr>
              <w:spacing w:before="120"/>
              <w:jc w:val="center"/>
            </w:pPr>
            <w:r>
              <w:rPr>
                <w:noProof/>
                <w:lang w:eastAsia="fr-CH"/>
              </w:rPr>
              <w:drawing>
                <wp:inline distT="0" distB="0" distL="0" distR="0" wp14:anchorId="4BA3F028" wp14:editId="6B4117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2E015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6F67CFC" w14:textId="77777777" w:rsidR="00F35BAF" w:rsidRDefault="00504208" w:rsidP="00C97039">
            <w:pPr>
              <w:spacing w:before="240"/>
            </w:pPr>
            <w:r>
              <w:t>Distr. générale</w:t>
            </w:r>
          </w:p>
          <w:p w14:paraId="6925BE97" w14:textId="77777777" w:rsidR="00504208" w:rsidRDefault="00504208" w:rsidP="00504208">
            <w:pPr>
              <w:spacing w:line="240" w:lineRule="exact"/>
            </w:pPr>
            <w:r>
              <w:t>26 septembre 2019</w:t>
            </w:r>
          </w:p>
          <w:p w14:paraId="680D882F" w14:textId="77777777" w:rsidR="00504208" w:rsidRDefault="00504208" w:rsidP="00504208">
            <w:pPr>
              <w:spacing w:line="240" w:lineRule="exact"/>
            </w:pPr>
            <w:r>
              <w:t>Français</w:t>
            </w:r>
          </w:p>
          <w:p w14:paraId="6A2E7167" w14:textId="77777777" w:rsidR="00504208" w:rsidRPr="00DB58B5" w:rsidRDefault="00504208" w:rsidP="00504208">
            <w:pPr>
              <w:spacing w:line="240" w:lineRule="exact"/>
            </w:pPr>
            <w:r>
              <w:t>Original : anglais</w:t>
            </w:r>
          </w:p>
        </w:tc>
      </w:tr>
    </w:tbl>
    <w:p w14:paraId="1F81235B" w14:textId="77777777" w:rsidR="007F20FA" w:rsidRPr="000312C0" w:rsidRDefault="007F20FA" w:rsidP="007F20FA">
      <w:pPr>
        <w:spacing w:before="120"/>
        <w:rPr>
          <w:b/>
          <w:sz w:val="28"/>
          <w:szCs w:val="28"/>
        </w:rPr>
      </w:pPr>
      <w:r w:rsidRPr="000312C0">
        <w:rPr>
          <w:b/>
          <w:sz w:val="28"/>
          <w:szCs w:val="28"/>
        </w:rPr>
        <w:t>Commission économique pour l’Europe</w:t>
      </w:r>
    </w:p>
    <w:p w14:paraId="38361EEB" w14:textId="77777777" w:rsidR="007F20FA" w:rsidRDefault="007F20FA" w:rsidP="007F20FA">
      <w:pPr>
        <w:spacing w:before="120"/>
        <w:rPr>
          <w:sz w:val="28"/>
          <w:szCs w:val="28"/>
        </w:rPr>
      </w:pPr>
      <w:r w:rsidRPr="00685843">
        <w:rPr>
          <w:sz w:val="28"/>
          <w:szCs w:val="28"/>
        </w:rPr>
        <w:t>Comité des transports intérieurs</w:t>
      </w:r>
    </w:p>
    <w:p w14:paraId="0F4CF471" w14:textId="77777777" w:rsidR="002004D2" w:rsidRPr="002004D2" w:rsidRDefault="002004D2" w:rsidP="002004D2">
      <w:pPr>
        <w:kinsoku/>
        <w:overflowPunct/>
        <w:autoSpaceDE/>
        <w:autoSpaceDN/>
        <w:adjustRightInd/>
        <w:snapToGrid/>
        <w:spacing w:before="120"/>
        <w:rPr>
          <w:rFonts w:eastAsia="Times New Roman"/>
          <w:b/>
          <w:sz w:val="24"/>
          <w:szCs w:val="24"/>
          <w:lang w:val="fr-FR" w:eastAsia="fr-FR"/>
        </w:rPr>
      </w:pPr>
      <w:r w:rsidRPr="002004D2">
        <w:rPr>
          <w:rFonts w:eastAsia="Times New Roman"/>
          <w:b/>
          <w:bCs/>
          <w:sz w:val="24"/>
          <w:szCs w:val="24"/>
          <w:lang w:val="fr-FR" w:eastAsia="fr-FR"/>
        </w:rPr>
        <w:t xml:space="preserve">Forum mondial de l’harmonisation </w:t>
      </w:r>
      <w:r>
        <w:rPr>
          <w:rFonts w:eastAsia="Times New Roman"/>
          <w:b/>
          <w:bCs/>
          <w:sz w:val="24"/>
          <w:szCs w:val="24"/>
          <w:lang w:val="fr-FR" w:eastAsia="fr-FR"/>
        </w:rPr>
        <w:br/>
      </w:r>
      <w:r w:rsidRPr="002004D2">
        <w:rPr>
          <w:rFonts w:eastAsia="Times New Roman"/>
          <w:b/>
          <w:bCs/>
          <w:sz w:val="24"/>
          <w:szCs w:val="24"/>
          <w:lang w:val="fr-FR" w:eastAsia="fr-FR"/>
        </w:rPr>
        <w:t>des Règlements concernant les véhicules</w:t>
      </w:r>
    </w:p>
    <w:p w14:paraId="164A4914" w14:textId="77777777" w:rsidR="002004D2" w:rsidRPr="00FC78FA" w:rsidRDefault="002004D2" w:rsidP="002004D2">
      <w:pPr>
        <w:kinsoku/>
        <w:overflowPunct/>
        <w:autoSpaceDE/>
        <w:autoSpaceDN/>
        <w:adjustRightInd/>
        <w:snapToGrid/>
        <w:spacing w:before="120"/>
        <w:rPr>
          <w:rFonts w:eastAsia="Times New Roman"/>
          <w:b/>
          <w:lang w:val="fr-FR" w:eastAsia="fr-FR"/>
        </w:rPr>
      </w:pPr>
      <w:r w:rsidRPr="00F004AF">
        <w:rPr>
          <w:rFonts w:eastAsia="Times New Roman"/>
          <w:b/>
          <w:bCs/>
          <w:lang w:val="fr-FR" w:eastAsia="fr-FR"/>
        </w:rPr>
        <w:t>Groupe de travail de la sécurité passive</w:t>
      </w:r>
    </w:p>
    <w:p w14:paraId="3AE23652" w14:textId="77777777" w:rsidR="002004D2" w:rsidRPr="00FC78FA" w:rsidRDefault="002004D2" w:rsidP="002004D2">
      <w:pPr>
        <w:kinsoku/>
        <w:overflowPunct/>
        <w:autoSpaceDE/>
        <w:autoSpaceDN/>
        <w:adjustRightInd/>
        <w:snapToGrid/>
        <w:spacing w:before="120"/>
        <w:rPr>
          <w:rFonts w:eastAsia="Times New Roman"/>
          <w:b/>
          <w:lang w:val="fr-FR" w:eastAsia="fr-FR"/>
        </w:rPr>
      </w:pPr>
      <w:r w:rsidRPr="00F004AF">
        <w:rPr>
          <w:rFonts w:eastAsia="Times New Roman"/>
          <w:b/>
          <w:bCs/>
          <w:lang w:val="fr-FR" w:eastAsia="fr-FR"/>
        </w:rPr>
        <w:t>Soixante-sixième session</w:t>
      </w:r>
    </w:p>
    <w:p w14:paraId="134AA828" w14:textId="77777777" w:rsidR="002004D2" w:rsidRPr="00FC78FA" w:rsidRDefault="002004D2" w:rsidP="002004D2">
      <w:pPr>
        <w:kinsoku/>
        <w:overflowPunct/>
        <w:autoSpaceDE/>
        <w:autoSpaceDN/>
        <w:adjustRightInd/>
        <w:snapToGrid/>
        <w:rPr>
          <w:rFonts w:eastAsia="Times New Roman"/>
          <w:lang w:val="fr-FR" w:eastAsia="fr-FR"/>
        </w:rPr>
      </w:pPr>
      <w:r w:rsidRPr="00F004AF">
        <w:rPr>
          <w:rFonts w:eastAsia="Times New Roman"/>
          <w:lang w:val="fr-FR" w:eastAsia="fr-FR"/>
        </w:rPr>
        <w:t>Genève, 10-13 décembre 2019</w:t>
      </w:r>
    </w:p>
    <w:p w14:paraId="3221BB22" w14:textId="77777777" w:rsidR="002004D2" w:rsidRPr="00FC78FA" w:rsidRDefault="002004D2" w:rsidP="002004D2">
      <w:pPr>
        <w:kinsoku/>
        <w:overflowPunct/>
        <w:autoSpaceDE/>
        <w:autoSpaceDN/>
        <w:adjustRightInd/>
        <w:snapToGrid/>
        <w:rPr>
          <w:rFonts w:eastAsia="Times New Roman"/>
          <w:lang w:val="fr-FR" w:eastAsia="fr-FR"/>
        </w:rPr>
      </w:pPr>
      <w:r w:rsidRPr="00F004AF">
        <w:rPr>
          <w:rFonts w:eastAsia="Times New Roman"/>
          <w:lang w:val="fr-FR" w:eastAsia="fr-FR"/>
        </w:rPr>
        <w:t>Point 12 de l</w:t>
      </w:r>
      <w:r>
        <w:rPr>
          <w:rFonts w:eastAsia="Times New Roman"/>
          <w:lang w:val="fr-FR" w:eastAsia="fr-FR"/>
        </w:rPr>
        <w:t>’</w:t>
      </w:r>
      <w:r w:rsidRPr="00F004AF">
        <w:rPr>
          <w:rFonts w:eastAsia="Times New Roman"/>
          <w:lang w:val="fr-FR" w:eastAsia="fr-FR"/>
        </w:rPr>
        <w:t>ordre du jour provisoire</w:t>
      </w:r>
    </w:p>
    <w:p w14:paraId="5314CE75" w14:textId="77777777" w:rsidR="002004D2" w:rsidRPr="00FC78FA" w:rsidRDefault="002004D2" w:rsidP="002004D2">
      <w:pPr>
        <w:kinsoku/>
        <w:overflowPunct/>
        <w:autoSpaceDE/>
        <w:autoSpaceDN/>
        <w:adjustRightInd/>
        <w:snapToGrid/>
        <w:rPr>
          <w:rFonts w:eastAsia="Times New Roman"/>
          <w:lang w:val="fr-FR" w:eastAsia="fr-FR"/>
        </w:rPr>
      </w:pPr>
      <w:r w:rsidRPr="00F004AF">
        <w:rPr>
          <w:rFonts w:eastAsia="Times New Roman"/>
          <w:b/>
          <w:bCs/>
          <w:lang w:val="fr-FR" w:eastAsia="fr-FR"/>
        </w:rPr>
        <w:t xml:space="preserve">Règlement </w:t>
      </w:r>
      <w:r w:rsidR="00115F10">
        <w:rPr>
          <w:rFonts w:eastAsia="Times New Roman"/>
          <w:b/>
          <w:bCs/>
          <w:lang w:val="fr-FR" w:eastAsia="fr-FR"/>
        </w:rPr>
        <w:t xml:space="preserve">ONU </w:t>
      </w:r>
      <w:r w:rsidRPr="002004D2">
        <w:rPr>
          <w:rFonts w:eastAsia="MS Mincho"/>
          <w:b/>
          <w:bCs/>
          <w:lang w:val="fr-FR" w:eastAsia="fr-FR"/>
        </w:rPr>
        <w:t>n</w:t>
      </w:r>
      <w:r w:rsidRPr="002004D2">
        <w:rPr>
          <w:rFonts w:eastAsia="MS Mincho"/>
          <w:b/>
          <w:bCs/>
          <w:vertAlign w:val="superscript"/>
          <w:lang w:val="fr-FR" w:eastAsia="fr-FR"/>
        </w:rPr>
        <w:t>o</w:t>
      </w:r>
      <w:r>
        <w:rPr>
          <w:rFonts w:eastAsia="Times New Roman"/>
          <w:b/>
          <w:bCs/>
          <w:lang w:val="fr-FR" w:eastAsia="fr-FR"/>
        </w:rPr>
        <w:t> </w:t>
      </w:r>
      <w:r w:rsidRPr="00F004AF">
        <w:rPr>
          <w:rFonts w:eastAsia="Times New Roman"/>
          <w:b/>
          <w:bCs/>
          <w:lang w:val="fr-FR" w:eastAsia="fr-FR"/>
        </w:rPr>
        <w:t>42 (Dispositifs de protection à l</w:t>
      </w:r>
      <w:r>
        <w:rPr>
          <w:rFonts w:eastAsia="Times New Roman"/>
          <w:b/>
          <w:bCs/>
          <w:lang w:val="fr-FR" w:eastAsia="fr-FR"/>
        </w:rPr>
        <w:t>’</w:t>
      </w:r>
      <w:r w:rsidRPr="00F004AF">
        <w:rPr>
          <w:rFonts w:eastAsia="Times New Roman"/>
          <w:b/>
          <w:bCs/>
          <w:lang w:val="fr-FR" w:eastAsia="fr-FR"/>
        </w:rPr>
        <w:t>avant et à l</w:t>
      </w:r>
      <w:r>
        <w:rPr>
          <w:rFonts w:eastAsia="Times New Roman"/>
          <w:b/>
          <w:bCs/>
          <w:lang w:val="fr-FR" w:eastAsia="fr-FR"/>
        </w:rPr>
        <w:t>’</w:t>
      </w:r>
      <w:r w:rsidRPr="00F004AF">
        <w:rPr>
          <w:rFonts w:eastAsia="Times New Roman"/>
          <w:b/>
          <w:bCs/>
          <w:lang w:val="fr-FR" w:eastAsia="fr-FR"/>
        </w:rPr>
        <w:t>arrière)</w:t>
      </w:r>
    </w:p>
    <w:p w14:paraId="604146CD" w14:textId="77777777" w:rsidR="002004D2" w:rsidRPr="00FC78FA" w:rsidRDefault="002004D2" w:rsidP="002004D2">
      <w:pPr>
        <w:pStyle w:val="HChG"/>
        <w:rPr>
          <w:rFonts w:eastAsia="MS Mincho"/>
          <w:lang w:val="fr-FR" w:eastAsia="fr-FR"/>
        </w:rPr>
      </w:pPr>
      <w:r w:rsidRPr="00F004AF">
        <w:rPr>
          <w:lang w:val="fr-FR" w:eastAsia="fr-FR"/>
        </w:rPr>
        <w:tab/>
      </w:r>
      <w:r w:rsidRPr="00F004AF">
        <w:rPr>
          <w:lang w:val="fr-FR" w:eastAsia="fr-FR"/>
        </w:rPr>
        <w:tab/>
        <w:t xml:space="preserve">Proposition de complément 2 à la version initiale </w:t>
      </w:r>
      <w:r>
        <w:rPr>
          <w:lang w:val="fr-FR" w:eastAsia="fr-FR"/>
        </w:rPr>
        <w:br/>
      </w:r>
      <w:r w:rsidRPr="00F004AF">
        <w:rPr>
          <w:lang w:val="fr-FR" w:eastAsia="fr-FR"/>
        </w:rPr>
        <w:t>du</w:t>
      </w:r>
      <w:r>
        <w:rPr>
          <w:lang w:val="fr-FR" w:eastAsia="fr-FR"/>
        </w:rPr>
        <w:t xml:space="preserve"> </w:t>
      </w:r>
      <w:r w:rsidRPr="00F004AF">
        <w:rPr>
          <w:lang w:val="fr-FR" w:eastAsia="fr-FR"/>
        </w:rPr>
        <w:t xml:space="preserve">Règlement ONU </w:t>
      </w:r>
      <w:r w:rsidRPr="002004D2">
        <w:rPr>
          <w:rFonts w:eastAsia="MS Mincho"/>
          <w:lang w:val="fr-FR" w:eastAsia="fr-FR"/>
        </w:rPr>
        <w:t>n</w:t>
      </w:r>
      <w:r w:rsidRPr="002004D2">
        <w:rPr>
          <w:rFonts w:eastAsia="MS Mincho"/>
          <w:vertAlign w:val="superscript"/>
          <w:lang w:val="fr-FR" w:eastAsia="fr-FR"/>
        </w:rPr>
        <w:t>o</w:t>
      </w:r>
      <w:r>
        <w:rPr>
          <w:lang w:val="fr-FR" w:eastAsia="fr-FR"/>
        </w:rPr>
        <w:t> </w:t>
      </w:r>
      <w:r w:rsidRPr="00F004AF">
        <w:rPr>
          <w:lang w:val="fr-FR" w:eastAsia="fr-FR"/>
        </w:rPr>
        <w:t xml:space="preserve">42 (Dispositifs de protection </w:t>
      </w:r>
      <w:r>
        <w:rPr>
          <w:lang w:val="fr-FR" w:eastAsia="fr-FR"/>
        </w:rPr>
        <w:br/>
      </w:r>
      <w:r w:rsidRPr="002004D2">
        <w:rPr>
          <w:lang w:val="fr-FR" w:eastAsia="fr-FR"/>
        </w:rPr>
        <w:t>à l’avant et à l’arrière</w:t>
      </w:r>
      <w:r w:rsidRPr="00F004AF">
        <w:rPr>
          <w:lang w:val="fr-FR" w:eastAsia="fr-FR"/>
        </w:rPr>
        <w:t>)</w:t>
      </w:r>
    </w:p>
    <w:p w14:paraId="434620AE" w14:textId="77777777" w:rsidR="002004D2" w:rsidRPr="00FC78FA" w:rsidRDefault="002004D2" w:rsidP="002004D2">
      <w:pPr>
        <w:pStyle w:val="H1G"/>
        <w:rPr>
          <w:rFonts w:eastAsia="MS Mincho"/>
          <w:lang w:val="fr-FR" w:eastAsia="fr-FR"/>
        </w:rPr>
      </w:pPr>
      <w:r w:rsidRPr="00F004AF">
        <w:rPr>
          <w:lang w:val="fr-FR" w:eastAsia="fr-FR"/>
        </w:rPr>
        <w:tab/>
      </w:r>
      <w:r w:rsidRPr="00F004AF">
        <w:rPr>
          <w:lang w:val="fr-FR" w:eastAsia="fr-FR"/>
        </w:rPr>
        <w:tab/>
        <w:t>Communication de l</w:t>
      </w:r>
      <w:r>
        <w:rPr>
          <w:lang w:val="fr-FR" w:eastAsia="fr-FR"/>
        </w:rPr>
        <w:t>’</w:t>
      </w:r>
      <w:r w:rsidRPr="00F004AF">
        <w:rPr>
          <w:lang w:val="fr-FR" w:eastAsia="fr-FR"/>
        </w:rPr>
        <w:t>expert des Pays-Bas</w:t>
      </w:r>
      <w:r w:rsidRPr="002004D2">
        <w:rPr>
          <w:rStyle w:val="Appelnotedebasdep"/>
          <w:b w:val="0"/>
          <w:sz w:val="20"/>
          <w:vertAlign w:val="baseline"/>
          <w:lang w:eastAsia="fr-FR"/>
        </w:rPr>
        <w:footnoteReference w:customMarkFollows="1" w:id="2"/>
        <w:t>*</w:t>
      </w:r>
    </w:p>
    <w:p w14:paraId="746096DD" w14:textId="77777777" w:rsidR="002004D2" w:rsidRDefault="002004D2" w:rsidP="002004D2">
      <w:pPr>
        <w:pStyle w:val="SingleTxtG"/>
        <w:rPr>
          <w:lang w:val="fr-FR" w:eastAsia="fr-FR"/>
        </w:rPr>
      </w:pPr>
      <w:r w:rsidRPr="00F004AF">
        <w:rPr>
          <w:lang w:val="fr-FR" w:eastAsia="fr-FR"/>
        </w:rPr>
        <w:tab/>
        <w:t>Le texte ci-après a été établi par l</w:t>
      </w:r>
      <w:r>
        <w:rPr>
          <w:lang w:val="fr-FR" w:eastAsia="fr-FR"/>
        </w:rPr>
        <w:t>’</w:t>
      </w:r>
      <w:r w:rsidRPr="00F004AF">
        <w:rPr>
          <w:lang w:val="fr-FR" w:eastAsia="fr-FR"/>
        </w:rPr>
        <w:t>expert des Pays-Bas pour préciser les modalités de prise en charge des systèmes actifs d</w:t>
      </w:r>
      <w:r>
        <w:rPr>
          <w:lang w:val="fr-FR" w:eastAsia="fr-FR"/>
        </w:rPr>
        <w:t>’</w:t>
      </w:r>
      <w:r w:rsidRPr="00F004AF">
        <w:rPr>
          <w:lang w:val="fr-FR" w:eastAsia="fr-FR"/>
        </w:rPr>
        <w:t>aide à la conduite qui ont une incidence sur les systèmes de freinage et de direction. Les modifications qu</w:t>
      </w:r>
      <w:r>
        <w:rPr>
          <w:lang w:val="fr-FR" w:eastAsia="fr-FR"/>
        </w:rPr>
        <w:t>’</w:t>
      </w:r>
      <w:r w:rsidRPr="00F004AF">
        <w:rPr>
          <w:lang w:val="fr-FR" w:eastAsia="fr-FR"/>
        </w:rPr>
        <w:t>il est proposé d</w:t>
      </w:r>
      <w:r>
        <w:rPr>
          <w:lang w:val="fr-FR" w:eastAsia="fr-FR"/>
        </w:rPr>
        <w:t>’</w:t>
      </w:r>
      <w:r w:rsidRPr="00F004AF">
        <w:rPr>
          <w:lang w:val="fr-FR" w:eastAsia="fr-FR"/>
        </w:rPr>
        <w:t>apporter au texte actuel du Règlement figurent en caractères gras pour les ajouts et biffés pour les suppressions.</w:t>
      </w:r>
    </w:p>
    <w:p w14:paraId="38888C74" w14:textId="77777777" w:rsidR="002004D2" w:rsidRPr="002004D2" w:rsidRDefault="002004D2" w:rsidP="002004D2">
      <w:pPr>
        <w:pStyle w:val="HChG"/>
        <w:rPr>
          <w:sz w:val="20"/>
          <w:szCs w:val="24"/>
          <w:lang w:val="fr-FR" w:eastAsia="fr-FR"/>
        </w:rPr>
      </w:pPr>
      <w:bookmarkStart w:id="0" w:name="_GoBack"/>
      <w:bookmarkEnd w:id="0"/>
      <w:r w:rsidRPr="00FC78FA">
        <w:rPr>
          <w:sz w:val="20"/>
          <w:lang w:val="fr-FR" w:eastAsia="fr-FR"/>
        </w:rPr>
        <w:br w:type="page"/>
      </w:r>
      <w:r>
        <w:rPr>
          <w:szCs w:val="24"/>
          <w:lang w:val="fr-FR" w:eastAsia="fr-FR"/>
        </w:rPr>
        <w:lastRenderedPageBreak/>
        <w:tab/>
      </w:r>
      <w:r w:rsidRPr="00F004AF">
        <w:rPr>
          <w:lang w:val="fr-FR" w:eastAsia="fr-FR"/>
        </w:rPr>
        <w:t>I.</w:t>
      </w:r>
      <w:r w:rsidRPr="00F004AF">
        <w:rPr>
          <w:lang w:val="fr-FR" w:eastAsia="fr-FR"/>
        </w:rPr>
        <w:tab/>
        <w:t>Proposition</w:t>
      </w:r>
    </w:p>
    <w:p w14:paraId="698114D5" w14:textId="77777777" w:rsidR="002004D2" w:rsidRPr="00FC78FA" w:rsidRDefault="002004D2" w:rsidP="002004D2">
      <w:pPr>
        <w:pStyle w:val="SingleTxtG"/>
        <w:rPr>
          <w:lang w:val="fr-FR" w:eastAsia="fr-FR"/>
        </w:rPr>
      </w:pPr>
      <w:r w:rsidRPr="002004D2">
        <w:rPr>
          <w:i/>
          <w:lang w:val="fr-FR" w:eastAsia="fr-FR"/>
        </w:rPr>
        <w:t>Paragraphe 6.1.5</w:t>
      </w:r>
      <w:r w:rsidRPr="00F004AF">
        <w:rPr>
          <w:lang w:val="fr-FR" w:eastAsia="fr-FR"/>
        </w:rPr>
        <w:t>, lire</w:t>
      </w:r>
      <w:r>
        <w:rPr>
          <w:lang w:val="fr-FR" w:eastAsia="fr-FR"/>
        </w:rPr>
        <w:t> </w:t>
      </w:r>
      <w:r w:rsidRPr="00F004AF">
        <w:rPr>
          <w:lang w:val="fr-FR" w:eastAsia="fr-FR"/>
        </w:rPr>
        <w:t>:</w:t>
      </w:r>
    </w:p>
    <w:p w14:paraId="18090F4A" w14:textId="77777777" w:rsidR="002004D2" w:rsidRPr="00FC78FA" w:rsidRDefault="002004D2" w:rsidP="002004D2">
      <w:pPr>
        <w:pStyle w:val="SingleTxtG"/>
        <w:ind w:left="2268" w:hanging="1134"/>
        <w:rPr>
          <w:sz w:val="22"/>
          <w:szCs w:val="22"/>
          <w:lang w:val="fr-FR" w:eastAsia="fr-FR"/>
        </w:rPr>
      </w:pPr>
      <w:r w:rsidRPr="00F004AF">
        <w:rPr>
          <w:lang w:val="fr-FR" w:eastAsia="fr-FR"/>
        </w:rPr>
        <w:t>«</w:t>
      </w:r>
      <w:r>
        <w:rPr>
          <w:lang w:val="fr-FR" w:eastAsia="fr-FR"/>
        </w:rPr>
        <w:t> </w:t>
      </w:r>
      <w:r w:rsidRPr="00F004AF">
        <w:rPr>
          <w:lang w:val="fr-FR" w:eastAsia="fr-FR"/>
        </w:rPr>
        <w:t>6.1.5</w:t>
      </w:r>
      <w:r w:rsidRPr="00F004AF">
        <w:rPr>
          <w:lang w:val="fr-FR" w:eastAsia="fr-FR"/>
        </w:rPr>
        <w:tab/>
        <w:t>Les systèmes de propulsion, suspension, y compris les pneumatiques, direction et freinage du véhicule doivent rester en bon état et fonctionner normalement.</w:t>
      </w:r>
    </w:p>
    <w:p w14:paraId="2E9C508B" w14:textId="77777777" w:rsidR="002004D2" w:rsidRPr="00FC78FA" w:rsidRDefault="002004D2" w:rsidP="002004D2">
      <w:pPr>
        <w:pStyle w:val="SingleTxtG"/>
        <w:ind w:left="2268"/>
        <w:rPr>
          <w:lang w:val="fr-FR" w:eastAsia="fr-FR"/>
        </w:rPr>
      </w:pPr>
      <w:r w:rsidRPr="002004D2">
        <w:rPr>
          <w:b/>
          <w:lang w:val="fr-FR" w:eastAsia="fr-FR"/>
        </w:rPr>
        <w:t>La présente prescription ne s’applique pas aux capteurs, caméras, dispositifs radar, etc., qui font partie des systèmes actifs d’aide à la conduite homologués en application des Règlements ONU n</w:t>
      </w:r>
      <w:r w:rsidRPr="002004D2">
        <w:rPr>
          <w:b/>
          <w:vertAlign w:val="superscript"/>
          <w:lang w:val="fr-FR" w:eastAsia="fr-FR"/>
        </w:rPr>
        <w:t>os</w:t>
      </w:r>
      <w:r w:rsidRPr="002004D2">
        <w:rPr>
          <w:b/>
          <w:lang w:val="fr-FR" w:eastAsia="fr-FR"/>
        </w:rPr>
        <w:t> 13-H, 13 ou</w:t>
      </w:r>
      <w:r w:rsidR="00115F10">
        <w:rPr>
          <w:b/>
          <w:lang w:val="fr-FR" w:eastAsia="fr-FR"/>
        </w:rPr>
        <w:t> </w:t>
      </w:r>
      <w:r w:rsidRPr="002004D2">
        <w:rPr>
          <w:b/>
          <w:lang w:val="fr-FR" w:eastAsia="fr-FR"/>
        </w:rPr>
        <w:t>79. Ces composants peuvent être endommagés, perdre leur orientation ou se briser à la suite d’un choc survenu conformément aux dispositions de l’annexe 3, sous réserve que les systèmes de base qui assurent le freinage et la direction du véhicule restent intacts.</w:t>
      </w:r>
      <w:r>
        <w:rPr>
          <w:lang w:val="fr-FR" w:eastAsia="fr-FR"/>
        </w:rPr>
        <w:t> </w:t>
      </w:r>
      <w:r w:rsidRPr="00F004AF">
        <w:rPr>
          <w:lang w:val="fr-FR" w:eastAsia="fr-FR"/>
        </w:rPr>
        <w:t>».</w:t>
      </w:r>
    </w:p>
    <w:p w14:paraId="3DCAA2FD" w14:textId="77777777" w:rsidR="002004D2" w:rsidRPr="00FC78FA" w:rsidRDefault="002004D2" w:rsidP="002004D2">
      <w:pPr>
        <w:pStyle w:val="HChG"/>
        <w:rPr>
          <w:lang w:val="fr-FR" w:eastAsia="fr-FR"/>
        </w:rPr>
      </w:pPr>
      <w:r>
        <w:rPr>
          <w:lang w:val="fr-FR" w:eastAsia="fr-FR"/>
        </w:rPr>
        <w:tab/>
      </w:r>
      <w:r w:rsidRPr="00F004AF">
        <w:rPr>
          <w:lang w:val="fr-FR" w:eastAsia="fr-FR"/>
        </w:rPr>
        <w:t>II.</w:t>
      </w:r>
      <w:r w:rsidRPr="00F004AF">
        <w:rPr>
          <w:lang w:val="fr-FR" w:eastAsia="fr-FR"/>
        </w:rPr>
        <w:tab/>
        <w:t>Justification</w:t>
      </w:r>
    </w:p>
    <w:p w14:paraId="21DB8A1F" w14:textId="77777777" w:rsidR="002004D2" w:rsidRPr="0006435C" w:rsidRDefault="002004D2" w:rsidP="002004D2">
      <w:pPr>
        <w:pStyle w:val="SingleTxtG"/>
        <w:rPr>
          <w:lang w:val="fr-FR" w:eastAsia="fr-FR"/>
        </w:rPr>
      </w:pPr>
      <w:r w:rsidRPr="0006435C">
        <w:rPr>
          <w:lang w:val="fr-FR" w:eastAsia="fr-FR"/>
        </w:rPr>
        <w:t>1.</w:t>
      </w:r>
      <w:r w:rsidRPr="0006435C">
        <w:rPr>
          <w:lang w:val="fr-FR" w:eastAsia="fr-FR"/>
        </w:rPr>
        <w:tab/>
        <w:t>Le Règlement ONU</w:t>
      </w:r>
      <w:r>
        <w:rPr>
          <w:lang w:val="fr-FR" w:eastAsia="fr-FR"/>
        </w:rPr>
        <w:t xml:space="preserve"> </w:t>
      </w:r>
      <w:r w:rsidRPr="002004D2">
        <w:rPr>
          <w:rFonts w:eastAsia="MS Mincho"/>
          <w:lang w:val="fr-FR" w:eastAsia="fr-FR"/>
        </w:rPr>
        <w:t>n</w:t>
      </w:r>
      <w:r w:rsidRPr="002004D2">
        <w:rPr>
          <w:rFonts w:eastAsia="MS Mincho"/>
          <w:vertAlign w:val="superscript"/>
          <w:lang w:val="fr-FR" w:eastAsia="fr-FR"/>
        </w:rPr>
        <w:t>o</w:t>
      </w:r>
      <w:r>
        <w:rPr>
          <w:lang w:val="fr-FR" w:eastAsia="fr-FR"/>
        </w:rPr>
        <w:t> </w:t>
      </w:r>
      <w:r w:rsidRPr="0006435C">
        <w:rPr>
          <w:lang w:val="fr-FR" w:eastAsia="fr-FR"/>
        </w:rPr>
        <w:t>42 a été établi bien avant la création des systèmes actifs d’aide à la conduite. Aux termes du paragraphe</w:t>
      </w:r>
      <w:r>
        <w:rPr>
          <w:lang w:val="fr-FR" w:eastAsia="fr-FR"/>
        </w:rPr>
        <w:t> </w:t>
      </w:r>
      <w:r w:rsidRPr="0006435C">
        <w:rPr>
          <w:lang w:val="fr-FR" w:eastAsia="fr-FR"/>
        </w:rPr>
        <w:t xml:space="preserve">6.1.5, les systèmes de propulsion, suspension, y compris les pneumatiques, direction et freinage du véhicule doivent rester en bon état et fonctionner normalement. Les différentes défaillances que peuvent présenter les capteurs qui font partie des systèmes actifs d’aide à la conduite sont visées par les prescriptions de l’annexe 8 du Règlement ONU </w:t>
      </w:r>
      <w:r w:rsidRPr="002004D2">
        <w:rPr>
          <w:rFonts w:eastAsia="MS Mincho"/>
          <w:lang w:val="fr-FR" w:eastAsia="fr-FR"/>
        </w:rPr>
        <w:t>n</w:t>
      </w:r>
      <w:r w:rsidRPr="002004D2">
        <w:rPr>
          <w:rFonts w:eastAsia="MS Mincho"/>
          <w:vertAlign w:val="superscript"/>
          <w:lang w:val="fr-FR" w:eastAsia="fr-FR"/>
        </w:rPr>
        <w:t>o</w:t>
      </w:r>
      <w:r>
        <w:rPr>
          <w:lang w:val="fr-FR" w:eastAsia="fr-FR"/>
        </w:rPr>
        <w:t> </w:t>
      </w:r>
      <w:r w:rsidRPr="0006435C">
        <w:rPr>
          <w:lang w:val="fr-FR" w:eastAsia="fr-FR"/>
        </w:rPr>
        <w:t xml:space="preserve">13-H, de l’annexe 18 du Règlement ONU </w:t>
      </w:r>
      <w:r w:rsidRPr="002004D2">
        <w:rPr>
          <w:rFonts w:eastAsia="MS Mincho"/>
          <w:lang w:val="fr-FR" w:eastAsia="fr-FR"/>
        </w:rPr>
        <w:t>n</w:t>
      </w:r>
      <w:r w:rsidRPr="002004D2">
        <w:rPr>
          <w:rFonts w:eastAsia="MS Mincho"/>
          <w:vertAlign w:val="superscript"/>
          <w:lang w:val="fr-FR" w:eastAsia="fr-FR"/>
        </w:rPr>
        <w:t>o</w:t>
      </w:r>
      <w:r>
        <w:rPr>
          <w:lang w:val="fr-FR" w:eastAsia="fr-FR"/>
        </w:rPr>
        <w:t> </w:t>
      </w:r>
      <w:r w:rsidRPr="0006435C">
        <w:rPr>
          <w:lang w:val="fr-FR" w:eastAsia="fr-FR"/>
        </w:rPr>
        <w:t xml:space="preserve">13 et de l’annexe 6 du Règlement ONU </w:t>
      </w:r>
      <w:r w:rsidRPr="002004D2">
        <w:rPr>
          <w:rFonts w:eastAsia="MS Mincho"/>
          <w:lang w:val="fr-FR" w:eastAsia="fr-FR"/>
        </w:rPr>
        <w:t>n</w:t>
      </w:r>
      <w:r w:rsidRPr="002004D2">
        <w:rPr>
          <w:rFonts w:eastAsia="MS Mincho"/>
          <w:vertAlign w:val="superscript"/>
          <w:lang w:val="fr-FR" w:eastAsia="fr-FR"/>
        </w:rPr>
        <w:t>o</w:t>
      </w:r>
      <w:r>
        <w:rPr>
          <w:lang w:val="fr-FR" w:eastAsia="fr-FR"/>
        </w:rPr>
        <w:t> </w:t>
      </w:r>
      <w:r w:rsidRPr="0006435C">
        <w:rPr>
          <w:lang w:val="fr-FR" w:eastAsia="fr-FR"/>
        </w:rPr>
        <w:t>79, lesquelles visent à garantir qu’une éventuelle erreur du système n’entraîne pas un comportement dangereux ou inattendu du véhicule.</w:t>
      </w:r>
    </w:p>
    <w:p w14:paraId="7E4E824D" w14:textId="77777777" w:rsidR="002004D2" w:rsidRPr="00FC78FA" w:rsidRDefault="002004D2" w:rsidP="002004D2">
      <w:pPr>
        <w:pStyle w:val="SingleTxtG"/>
        <w:rPr>
          <w:lang w:val="fr-FR" w:eastAsia="fr-FR"/>
        </w:rPr>
      </w:pPr>
      <w:r w:rsidRPr="00F004AF">
        <w:rPr>
          <w:lang w:val="fr-FR" w:eastAsia="fr-FR"/>
        </w:rPr>
        <w:t>2.</w:t>
      </w:r>
      <w:r w:rsidRPr="00F004AF">
        <w:rPr>
          <w:lang w:val="fr-FR" w:eastAsia="fr-FR"/>
        </w:rPr>
        <w:tab/>
        <w:t>Les dispositions du paragraphe 6.1.5 sont satisfaites tant que les fonctionnalités de base des systèmes de freinage et de direction, tels que les systèmes de frein antiblocage, les systèmes de contrôle électronique de la stabilité et l</w:t>
      </w:r>
      <w:r>
        <w:rPr>
          <w:lang w:val="fr-FR" w:eastAsia="fr-FR"/>
        </w:rPr>
        <w:t>’</w:t>
      </w:r>
      <w:r w:rsidRPr="00F004AF">
        <w:rPr>
          <w:lang w:val="fr-FR" w:eastAsia="fr-FR"/>
        </w:rPr>
        <w:t>alignement des roues, restent assurées.</w:t>
      </w:r>
    </w:p>
    <w:p w14:paraId="24E9C946" w14:textId="77777777" w:rsidR="002004D2" w:rsidRPr="00FC78FA" w:rsidRDefault="002004D2" w:rsidP="002004D2">
      <w:pPr>
        <w:pStyle w:val="SingleTxtG"/>
        <w:rPr>
          <w:lang w:val="fr-FR" w:eastAsia="fr-FR"/>
        </w:rPr>
      </w:pPr>
      <w:r w:rsidRPr="00F004AF">
        <w:rPr>
          <w:lang w:val="fr-FR" w:eastAsia="fr-FR"/>
        </w:rPr>
        <w:t>3.</w:t>
      </w:r>
      <w:r w:rsidRPr="00F004AF">
        <w:rPr>
          <w:lang w:val="fr-FR" w:eastAsia="fr-FR"/>
        </w:rPr>
        <w:tab/>
        <w:t>Les défaillances d</w:t>
      </w:r>
      <w:r>
        <w:rPr>
          <w:lang w:val="fr-FR" w:eastAsia="fr-FR"/>
        </w:rPr>
        <w:t>’</w:t>
      </w:r>
      <w:r w:rsidRPr="00F004AF">
        <w:rPr>
          <w:lang w:val="fr-FR" w:eastAsia="fr-FR"/>
        </w:rPr>
        <w:t>un capteur qui entraîneraient, par exemple, la neutralisation de la fonction d</w:t>
      </w:r>
      <w:r>
        <w:rPr>
          <w:lang w:val="fr-FR" w:eastAsia="fr-FR"/>
        </w:rPr>
        <w:t>’</w:t>
      </w:r>
      <w:r w:rsidRPr="00F004AF">
        <w:rPr>
          <w:lang w:val="fr-FR" w:eastAsia="fr-FR"/>
        </w:rPr>
        <w:t>aide au stationnement devraient donc être exclues du domaine d</w:t>
      </w:r>
      <w:r>
        <w:rPr>
          <w:lang w:val="fr-FR" w:eastAsia="fr-FR"/>
        </w:rPr>
        <w:t>’</w:t>
      </w:r>
      <w:r w:rsidRPr="00F004AF">
        <w:rPr>
          <w:lang w:val="fr-FR" w:eastAsia="fr-FR"/>
        </w:rPr>
        <w:t xml:space="preserve">application des prescriptions du Règlement ONU </w:t>
      </w:r>
      <w:r w:rsidRPr="002004D2">
        <w:rPr>
          <w:rFonts w:eastAsia="MS Mincho"/>
          <w:lang w:val="fr-FR" w:eastAsia="fr-FR"/>
        </w:rPr>
        <w:t>n</w:t>
      </w:r>
      <w:r w:rsidRPr="002004D2">
        <w:rPr>
          <w:rFonts w:eastAsia="MS Mincho"/>
          <w:vertAlign w:val="superscript"/>
          <w:lang w:val="fr-FR" w:eastAsia="fr-FR"/>
        </w:rPr>
        <w:t>o</w:t>
      </w:r>
      <w:r>
        <w:rPr>
          <w:lang w:val="fr-FR" w:eastAsia="fr-FR"/>
        </w:rPr>
        <w:t> </w:t>
      </w:r>
      <w:r w:rsidRPr="00F004AF">
        <w:rPr>
          <w:lang w:val="fr-FR" w:eastAsia="fr-FR"/>
        </w:rPr>
        <w:t>42.</w:t>
      </w:r>
    </w:p>
    <w:p w14:paraId="37DB3B4D" w14:textId="77777777" w:rsidR="00F9573C" w:rsidRDefault="002004D2" w:rsidP="002004D2">
      <w:pPr>
        <w:pStyle w:val="SingleTxtG"/>
        <w:rPr>
          <w:lang w:val="fr-FR" w:eastAsia="fr-FR"/>
        </w:rPr>
      </w:pPr>
      <w:r w:rsidRPr="00F004AF">
        <w:rPr>
          <w:lang w:val="fr-FR" w:eastAsia="fr-FR"/>
        </w:rPr>
        <w:t>4.</w:t>
      </w:r>
      <w:r w:rsidRPr="00F004AF">
        <w:rPr>
          <w:lang w:val="fr-FR" w:eastAsia="fr-FR"/>
        </w:rPr>
        <w:tab/>
        <w:t>Cette question a été examinée à la réunion des autorités d</w:t>
      </w:r>
      <w:r>
        <w:rPr>
          <w:lang w:val="fr-FR" w:eastAsia="fr-FR"/>
        </w:rPr>
        <w:t>’</w:t>
      </w:r>
      <w:r w:rsidRPr="00F004AF">
        <w:rPr>
          <w:lang w:val="fr-FR" w:eastAsia="fr-FR"/>
        </w:rPr>
        <w:t>homologation de type, tenue à Utrecht (Pays-Bas) en juin 2018. Les participants sont parvenus à un consensus général à l</w:t>
      </w:r>
      <w:r>
        <w:rPr>
          <w:lang w:val="fr-FR" w:eastAsia="fr-FR"/>
        </w:rPr>
        <w:t>’</w:t>
      </w:r>
      <w:r w:rsidRPr="00F004AF">
        <w:rPr>
          <w:lang w:val="fr-FR" w:eastAsia="fr-FR"/>
        </w:rPr>
        <w:t>égard de la présente justification.</w:t>
      </w:r>
    </w:p>
    <w:p w14:paraId="707ECDA4" w14:textId="77777777" w:rsidR="002004D2" w:rsidRPr="002004D2" w:rsidRDefault="002004D2" w:rsidP="002004D2">
      <w:pPr>
        <w:pStyle w:val="SingleTxtG"/>
        <w:spacing w:before="240" w:after="0"/>
        <w:jc w:val="center"/>
        <w:rPr>
          <w:u w:val="single"/>
        </w:rPr>
      </w:pPr>
      <w:r>
        <w:rPr>
          <w:u w:val="single"/>
        </w:rPr>
        <w:tab/>
      </w:r>
      <w:r>
        <w:rPr>
          <w:u w:val="single"/>
        </w:rPr>
        <w:tab/>
      </w:r>
      <w:r>
        <w:rPr>
          <w:u w:val="single"/>
        </w:rPr>
        <w:tab/>
      </w:r>
    </w:p>
    <w:sectPr w:rsidR="002004D2" w:rsidRPr="002004D2" w:rsidSect="005042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85D2" w14:textId="77777777" w:rsidR="00F30274" w:rsidRDefault="00F30274" w:rsidP="00F95C08">
      <w:pPr>
        <w:spacing w:line="240" w:lineRule="auto"/>
      </w:pPr>
    </w:p>
  </w:endnote>
  <w:endnote w:type="continuationSeparator" w:id="0">
    <w:p w14:paraId="76962742" w14:textId="77777777" w:rsidR="00F30274" w:rsidRPr="00AC3823" w:rsidRDefault="00F30274" w:rsidP="00AC3823">
      <w:pPr>
        <w:pStyle w:val="Pieddepage"/>
      </w:pPr>
    </w:p>
  </w:endnote>
  <w:endnote w:type="continuationNotice" w:id="1">
    <w:p w14:paraId="673431BC" w14:textId="77777777" w:rsidR="00F30274" w:rsidRDefault="00F302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629" w14:textId="77777777" w:rsidR="00504208" w:rsidRPr="00504208" w:rsidRDefault="00504208" w:rsidP="00504208">
    <w:pPr>
      <w:pStyle w:val="Pieddepage"/>
      <w:tabs>
        <w:tab w:val="right" w:pos="9638"/>
      </w:tabs>
    </w:pPr>
    <w:r w:rsidRPr="00504208">
      <w:rPr>
        <w:b/>
        <w:sz w:val="18"/>
      </w:rPr>
      <w:fldChar w:fldCharType="begin"/>
    </w:r>
    <w:r w:rsidRPr="00504208">
      <w:rPr>
        <w:b/>
        <w:sz w:val="18"/>
      </w:rPr>
      <w:instrText xml:space="preserve"> PAGE  \* MERGEFORMAT </w:instrText>
    </w:r>
    <w:r w:rsidRPr="00504208">
      <w:rPr>
        <w:b/>
        <w:sz w:val="18"/>
      </w:rPr>
      <w:fldChar w:fldCharType="separate"/>
    </w:r>
    <w:r w:rsidRPr="00504208">
      <w:rPr>
        <w:b/>
        <w:noProof/>
        <w:sz w:val="18"/>
      </w:rPr>
      <w:t>2</w:t>
    </w:r>
    <w:r w:rsidRPr="00504208">
      <w:rPr>
        <w:b/>
        <w:sz w:val="18"/>
      </w:rPr>
      <w:fldChar w:fldCharType="end"/>
    </w:r>
    <w:r>
      <w:rPr>
        <w:b/>
        <w:sz w:val="18"/>
      </w:rPr>
      <w:tab/>
    </w:r>
    <w:r>
      <w:t>GE.19-16623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8281" w14:textId="77777777" w:rsidR="00504208" w:rsidRPr="00504208" w:rsidRDefault="00504208" w:rsidP="00504208">
    <w:pPr>
      <w:pStyle w:val="Pieddepage"/>
      <w:tabs>
        <w:tab w:val="right" w:pos="9638"/>
      </w:tabs>
      <w:rPr>
        <w:b/>
        <w:sz w:val="18"/>
      </w:rPr>
    </w:pPr>
    <w:r>
      <w:t>GE.19-16623</w:t>
    </w:r>
    <w:r>
      <w:tab/>
    </w:r>
    <w:r w:rsidRPr="00504208">
      <w:rPr>
        <w:b/>
        <w:sz w:val="18"/>
      </w:rPr>
      <w:fldChar w:fldCharType="begin"/>
    </w:r>
    <w:r w:rsidRPr="00504208">
      <w:rPr>
        <w:b/>
        <w:sz w:val="18"/>
      </w:rPr>
      <w:instrText xml:space="preserve"> PAGE  \* MERGEFORMAT </w:instrText>
    </w:r>
    <w:r w:rsidRPr="00504208">
      <w:rPr>
        <w:b/>
        <w:sz w:val="18"/>
      </w:rPr>
      <w:fldChar w:fldCharType="separate"/>
    </w:r>
    <w:r w:rsidRPr="00504208">
      <w:rPr>
        <w:b/>
        <w:noProof/>
        <w:sz w:val="18"/>
      </w:rPr>
      <w:t>3</w:t>
    </w:r>
    <w:r w:rsidRPr="005042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CA11" w14:textId="77777777" w:rsidR="007F20FA" w:rsidRPr="00504208" w:rsidRDefault="00504208" w:rsidP="0050420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7728F22" wp14:editId="60E9E4A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19-16623  (F)    211019    231019</w:t>
    </w:r>
    <w:r>
      <w:rPr>
        <w:sz w:val="20"/>
      </w:rPr>
      <w:br/>
    </w:r>
    <w:r w:rsidRPr="00504208">
      <w:rPr>
        <w:rFonts w:ascii="C39T30Lfz" w:hAnsi="C39T30Lfz"/>
        <w:sz w:val="56"/>
      </w:rPr>
      <w:t></w:t>
    </w:r>
    <w:r w:rsidRPr="00504208">
      <w:rPr>
        <w:rFonts w:ascii="C39T30Lfz" w:hAnsi="C39T30Lfz"/>
        <w:sz w:val="56"/>
      </w:rPr>
      <w:t></w:t>
    </w:r>
    <w:r w:rsidRPr="00504208">
      <w:rPr>
        <w:rFonts w:ascii="C39T30Lfz" w:hAnsi="C39T30Lfz"/>
        <w:sz w:val="56"/>
      </w:rPr>
      <w:t></w:t>
    </w:r>
    <w:r w:rsidRPr="00504208">
      <w:rPr>
        <w:rFonts w:ascii="C39T30Lfz" w:hAnsi="C39T30Lfz"/>
        <w:sz w:val="56"/>
      </w:rPr>
      <w:t></w:t>
    </w:r>
    <w:r w:rsidRPr="00504208">
      <w:rPr>
        <w:rFonts w:ascii="C39T30Lfz" w:hAnsi="C39T30Lfz"/>
        <w:sz w:val="56"/>
      </w:rPr>
      <w:t></w:t>
    </w:r>
    <w:r w:rsidRPr="00504208">
      <w:rPr>
        <w:rFonts w:ascii="C39T30Lfz" w:hAnsi="C39T30Lfz"/>
        <w:sz w:val="56"/>
      </w:rPr>
      <w:t></w:t>
    </w:r>
    <w:r w:rsidRPr="00504208">
      <w:rPr>
        <w:rFonts w:ascii="C39T30Lfz" w:hAnsi="C39T30Lfz"/>
        <w:sz w:val="56"/>
      </w:rPr>
      <w:t></w:t>
    </w:r>
    <w:r w:rsidRPr="00504208">
      <w:rPr>
        <w:rFonts w:ascii="C39T30Lfz" w:hAnsi="C39T30Lfz"/>
        <w:sz w:val="56"/>
      </w:rPr>
      <w:t></w:t>
    </w:r>
    <w:r w:rsidRPr="00504208">
      <w:rPr>
        <w:rFonts w:ascii="C39T30Lfz" w:hAnsi="C39T30Lfz"/>
        <w:sz w:val="56"/>
      </w:rPr>
      <w:t></w:t>
    </w:r>
    <w:r>
      <w:rPr>
        <w:noProof/>
        <w:sz w:val="20"/>
      </w:rPr>
      <w:drawing>
        <wp:anchor distT="0" distB="0" distL="114300" distR="114300" simplePos="0" relativeHeight="251658240" behindDoc="0" locked="0" layoutInCell="1" allowOverlap="1" wp14:anchorId="6F4172C9" wp14:editId="3CDD70C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670B" w14:textId="77777777" w:rsidR="00F30274" w:rsidRPr="00AC3823" w:rsidRDefault="00F30274" w:rsidP="00AC3823">
      <w:pPr>
        <w:pStyle w:val="Pieddepage"/>
        <w:tabs>
          <w:tab w:val="right" w:pos="2155"/>
        </w:tabs>
        <w:spacing w:after="80" w:line="240" w:lineRule="atLeast"/>
        <w:ind w:left="680"/>
        <w:rPr>
          <w:u w:val="single"/>
        </w:rPr>
      </w:pPr>
      <w:r>
        <w:rPr>
          <w:u w:val="single"/>
        </w:rPr>
        <w:tab/>
      </w:r>
    </w:p>
  </w:footnote>
  <w:footnote w:type="continuationSeparator" w:id="0">
    <w:p w14:paraId="4554078E" w14:textId="77777777" w:rsidR="00F30274" w:rsidRPr="00AC3823" w:rsidRDefault="00F30274" w:rsidP="00AC3823">
      <w:pPr>
        <w:pStyle w:val="Pieddepage"/>
        <w:tabs>
          <w:tab w:val="right" w:pos="2155"/>
        </w:tabs>
        <w:spacing w:after="80" w:line="240" w:lineRule="atLeast"/>
        <w:ind w:left="680"/>
        <w:rPr>
          <w:u w:val="single"/>
        </w:rPr>
      </w:pPr>
      <w:r>
        <w:rPr>
          <w:u w:val="single"/>
        </w:rPr>
        <w:tab/>
      </w:r>
    </w:p>
  </w:footnote>
  <w:footnote w:type="continuationNotice" w:id="1">
    <w:p w14:paraId="3A8D4C40" w14:textId="77777777" w:rsidR="00F30274" w:rsidRPr="00AC3823" w:rsidRDefault="00F30274">
      <w:pPr>
        <w:spacing w:line="240" w:lineRule="auto"/>
        <w:rPr>
          <w:sz w:val="2"/>
          <w:szCs w:val="2"/>
        </w:rPr>
      </w:pPr>
    </w:p>
  </w:footnote>
  <w:footnote w:id="2">
    <w:p w14:paraId="163D0B9E" w14:textId="77777777" w:rsidR="002004D2" w:rsidRPr="002004D2" w:rsidRDefault="002004D2">
      <w:pPr>
        <w:pStyle w:val="Notedebasdepage"/>
      </w:pPr>
      <w:r>
        <w:rPr>
          <w:rStyle w:val="Appelnotedebasdep"/>
        </w:rPr>
        <w:tab/>
      </w:r>
      <w:r w:rsidRPr="002004D2">
        <w:rPr>
          <w:rStyle w:val="Appelnotedebasdep"/>
          <w:sz w:val="20"/>
          <w:vertAlign w:val="baseline"/>
        </w:rPr>
        <w:t>*</w:t>
      </w:r>
      <w:r>
        <w:rPr>
          <w:rStyle w:val="Appelnotedebasdep"/>
          <w:sz w:val="20"/>
          <w:vertAlign w:val="baseline"/>
        </w:rPr>
        <w:tab/>
      </w:r>
      <w:r>
        <w:rPr>
          <w:lang w:val="fr-FR"/>
        </w:rPr>
        <w:t xml:space="preserve">Conformément au programme de travail du Comité des transports intérieurs pour la période 2014-2018 (ECE/TRANS/240, par. 105, et ECE/TRANS/2014/26, activité 02.4), le Forum mondial a pour mission d’élaborer, d’harmoniser et de mettre à jour les Règlements </w:t>
      </w:r>
      <w:r w:rsidR="004771A6">
        <w:rPr>
          <w:lang w:val="fr-FR"/>
        </w:rPr>
        <w:t xml:space="preserve">ONU </w:t>
      </w:r>
      <w:r>
        <w:rPr>
          <w:lang w:val="fr-FR"/>
        </w:rPr>
        <w:t>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B449" w14:textId="1E076F81" w:rsidR="00504208" w:rsidRPr="00504208" w:rsidRDefault="00504208">
    <w:pPr>
      <w:pStyle w:val="En-tte"/>
    </w:pPr>
    <w:fldSimple w:instr=" TITLE  \* MERGEFORMAT ">
      <w:r w:rsidR="00B11F54">
        <w:t>ECE/TRANS/WP.29/GRSP/2019/31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3826" w14:textId="18E10857" w:rsidR="00504208" w:rsidRPr="00504208" w:rsidRDefault="00504208" w:rsidP="00504208">
    <w:pPr>
      <w:pStyle w:val="En-tte"/>
      <w:jc w:val="right"/>
    </w:pPr>
    <w:fldSimple w:instr=" TITLE  \* MERGEFORMAT ">
      <w:r w:rsidR="00B11F54">
        <w:t>ECE/TRANS/WP.29/GRSP/2019/31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0274"/>
    <w:rsid w:val="00017F94"/>
    <w:rsid w:val="00023842"/>
    <w:rsid w:val="000334F9"/>
    <w:rsid w:val="00045FEB"/>
    <w:rsid w:val="0007796D"/>
    <w:rsid w:val="000B7790"/>
    <w:rsid w:val="00111F2F"/>
    <w:rsid w:val="00115F10"/>
    <w:rsid w:val="0014365E"/>
    <w:rsid w:val="00143C66"/>
    <w:rsid w:val="00176178"/>
    <w:rsid w:val="001B012C"/>
    <w:rsid w:val="001F525A"/>
    <w:rsid w:val="002004D2"/>
    <w:rsid w:val="00223272"/>
    <w:rsid w:val="0024779E"/>
    <w:rsid w:val="00257168"/>
    <w:rsid w:val="002744B8"/>
    <w:rsid w:val="002832AC"/>
    <w:rsid w:val="002D7C93"/>
    <w:rsid w:val="00305801"/>
    <w:rsid w:val="003916DE"/>
    <w:rsid w:val="00421996"/>
    <w:rsid w:val="00441C3B"/>
    <w:rsid w:val="00446FE5"/>
    <w:rsid w:val="00452396"/>
    <w:rsid w:val="004771A6"/>
    <w:rsid w:val="004837D8"/>
    <w:rsid w:val="004E2EED"/>
    <w:rsid w:val="004E468C"/>
    <w:rsid w:val="00504208"/>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11F54"/>
    <w:rsid w:val="00B45F2E"/>
    <w:rsid w:val="00B765F7"/>
    <w:rsid w:val="00BA0CA9"/>
    <w:rsid w:val="00C02897"/>
    <w:rsid w:val="00C97039"/>
    <w:rsid w:val="00D3439C"/>
    <w:rsid w:val="00DB1831"/>
    <w:rsid w:val="00DD3BFD"/>
    <w:rsid w:val="00DF6678"/>
    <w:rsid w:val="00E0299A"/>
    <w:rsid w:val="00E85C74"/>
    <w:rsid w:val="00EA6547"/>
    <w:rsid w:val="00EF2E22"/>
    <w:rsid w:val="00F3027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766FF4"/>
  <w15:docId w15:val="{AB5B98C8-2A65-43A1-8AC6-3F469331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Pages>
  <Words>393</Words>
  <Characters>2754</Characters>
  <Application>Microsoft Office Word</Application>
  <DocSecurity>0</DocSecurity>
  <Lines>229</Lines>
  <Paragraphs>125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ECE/TRANS/WP.29/GRSP/2019/31</dc:title>
  <dc:subject/>
  <dc:creator>Maud DARICHE</dc:creator>
  <cp:keywords/>
  <cp:lastModifiedBy>Maud Dariche</cp:lastModifiedBy>
  <cp:revision>3</cp:revision>
  <cp:lastPrinted>2019-10-23T12:01:00Z</cp:lastPrinted>
  <dcterms:created xsi:type="dcterms:W3CDTF">2019-10-23T12:01:00Z</dcterms:created>
  <dcterms:modified xsi:type="dcterms:W3CDTF">2019-10-23T12:03:00Z</dcterms:modified>
</cp:coreProperties>
</file>