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14607" w:rsidRPr="004C4906" w:rsidTr="006755B8">
        <w:trPr>
          <w:cantSplit/>
          <w:trHeight w:hRule="exact" w:val="851"/>
        </w:trPr>
        <w:tc>
          <w:tcPr>
            <w:tcW w:w="1276" w:type="dxa"/>
            <w:tcBorders>
              <w:bottom w:val="single" w:sz="4" w:space="0" w:color="auto"/>
            </w:tcBorders>
            <w:shd w:val="clear" w:color="auto" w:fill="auto"/>
            <w:vAlign w:val="bottom"/>
          </w:tcPr>
          <w:p w:rsidR="00D14607" w:rsidRPr="001B61B6" w:rsidRDefault="00D14607" w:rsidP="006755B8">
            <w:pPr>
              <w:spacing w:line="20" w:lineRule="exact"/>
              <w:rPr>
                <w:sz w:val="2"/>
              </w:rPr>
            </w:pPr>
            <w:bookmarkStart w:id="0" w:name="_GoBack"/>
            <w:bookmarkEnd w:id="0"/>
          </w:p>
          <w:p w:rsidR="00D14607" w:rsidRDefault="00D14607" w:rsidP="006755B8">
            <w:pPr>
              <w:spacing w:after="80"/>
            </w:pPr>
          </w:p>
        </w:tc>
        <w:tc>
          <w:tcPr>
            <w:tcW w:w="2268" w:type="dxa"/>
            <w:tcBorders>
              <w:bottom w:val="single" w:sz="4" w:space="0" w:color="auto"/>
            </w:tcBorders>
            <w:shd w:val="clear" w:color="auto" w:fill="auto"/>
            <w:vAlign w:val="bottom"/>
          </w:tcPr>
          <w:p w:rsidR="00D14607" w:rsidRPr="004C4906" w:rsidRDefault="00D14607" w:rsidP="006755B8">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D14607" w:rsidRPr="004C4906" w:rsidRDefault="00D14607" w:rsidP="006755B8">
            <w:pPr>
              <w:jc w:val="right"/>
            </w:pPr>
            <w:r w:rsidRPr="004C4906">
              <w:rPr>
                <w:sz w:val="40"/>
              </w:rPr>
              <w:t>ECE</w:t>
            </w:r>
            <w:r w:rsidRPr="004C4906">
              <w:t>/TRANS/WP.29/GR</w:t>
            </w:r>
            <w:r>
              <w:t>VA</w:t>
            </w:r>
            <w:r w:rsidRPr="004C4906">
              <w:t>/201</w:t>
            </w:r>
            <w:r>
              <w:t>9</w:t>
            </w:r>
            <w:r w:rsidRPr="004C4906">
              <w:t>/</w:t>
            </w:r>
            <w:r>
              <w:t>10</w:t>
            </w:r>
          </w:p>
        </w:tc>
      </w:tr>
      <w:tr w:rsidR="00D14607" w:rsidRPr="004C4906" w:rsidTr="006755B8">
        <w:trPr>
          <w:cantSplit/>
          <w:trHeight w:hRule="exact" w:val="2694"/>
        </w:trPr>
        <w:tc>
          <w:tcPr>
            <w:tcW w:w="1276" w:type="dxa"/>
            <w:tcBorders>
              <w:top w:val="single" w:sz="4" w:space="0" w:color="auto"/>
              <w:bottom w:val="single" w:sz="12" w:space="0" w:color="auto"/>
            </w:tcBorders>
            <w:shd w:val="clear" w:color="auto" w:fill="auto"/>
          </w:tcPr>
          <w:p w:rsidR="00D14607" w:rsidRPr="004C4906" w:rsidRDefault="00D14607" w:rsidP="006755B8">
            <w:pPr>
              <w:spacing w:before="120"/>
            </w:pPr>
            <w:r w:rsidRPr="004C4906">
              <w:rPr>
                <w:noProof/>
                <w:lang w:eastAsia="zh-CN"/>
              </w:rPr>
              <w:drawing>
                <wp:inline distT="0" distB="0" distL="0" distR="0" wp14:anchorId="5FA3EF46" wp14:editId="2F1F31FD">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D14607" w:rsidRPr="004C4906" w:rsidRDefault="00D14607" w:rsidP="006755B8">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D14607" w:rsidRPr="004C4906" w:rsidRDefault="00D14607" w:rsidP="006755B8">
            <w:pPr>
              <w:spacing w:before="240" w:line="240" w:lineRule="exact"/>
            </w:pPr>
            <w:r w:rsidRPr="004C4906">
              <w:t>Distr.: General</w:t>
            </w:r>
          </w:p>
          <w:p w:rsidR="00D14607" w:rsidRPr="004C4906" w:rsidRDefault="00D14607" w:rsidP="006755B8">
            <w:pPr>
              <w:spacing w:line="240" w:lineRule="exact"/>
            </w:pPr>
            <w:r>
              <w:t>1</w:t>
            </w:r>
            <w:r w:rsidR="000244E1">
              <w:t>9</w:t>
            </w:r>
            <w:r>
              <w:t xml:space="preserve"> November 2018</w:t>
            </w:r>
          </w:p>
          <w:p w:rsidR="00D14607" w:rsidRPr="004C4906" w:rsidRDefault="00D14607" w:rsidP="006755B8">
            <w:pPr>
              <w:spacing w:line="240" w:lineRule="exact"/>
            </w:pPr>
          </w:p>
          <w:p w:rsidR="00D14607" w:rsidRPr="004C4906" w:rsidRDefault="00D14607" w:rsidP="006755B8">
            <w:pPr>
              <w:spacing w:line="240" w:lineRule="exact"/>
            </w:pPr>
            <w:r w:rsidRPr="004C4906">
              <w:t>Original: English</w:t>
            </w:r>
          </w:p>
        </w:tc>
      </w:tr>
    </w:tbl>
    <w:p w:rsidR="00D14607" w:rsidRPr="00D14607" w:rsidRDefault="00D14607" w:rsidP="00D14607">
      <w:pPr>
        <w:spacing w:before="120"/>
        <w:rPr>
          <w:b/>
          <w:sz w:val="28"/>
          <w:szCs w:val="28"/>
        </w:rPr>
      </w:pPr>
      <w:r w:rsidRPr="00D14607">
        <w:rPr>
          <w:b/>
          <w:sz w:val="28"/>
          <w:szCs w:val="28"/>
        </w:rPr>
        <w:t>Economic Commission for Europe</w:t>
      </w:r>
    </w:p>
    <w:p w:rsidR="00D14607" w:rsidRPr="00D14607" w:rsidRDefault="00D14607" w:rsidP="00D14607">
      <w:pPr>
        <w:spacing w:before="120"/>
        <w:rPr>
          <w:sz w:val="28"/>
          <w:szCs w:val="28"/>
        </w:rPr>
      </w:pPr>
      <w:r w:rsidRPr="00D14607">
        <w:rPr>
          <w:sz w:val="28"/>
          <w:szCs w:val="28"/>
        </w:rPr>
        <w:t>Inland Transport Committee</w:t>
      </w:r>
    </w:p>
    <w:p w:rsidR="00D14607" w:rsidRPr="00D14607" w:rsidRDefault="00D14607" w:rsidP="00D14607">
      <w:pPr>
        <w:spacing w:before="120"/>
        <w:rPr>
          <w:b/>
          <w:sz w:val="24"/>
          <w:szCs w:val="24"/>
        </w:rPr>
      </w:pPr>
      <w:r w:rsidRPr="00D14607">
        <w:rPr>
          <w:b/>
          <w:sz w:val="24"/>
          <w:szCs w:val="24"/>
        </w:rPr>
        <w:t>World Forum for Harmonization of Vehicle Regulations</w:t>
      </w:r>
    </w:p>
    <w:p w:rsidR="00D14607" w:rsidRPr="00D14607" w:rsidRDefault="00D14607" w:rsidP="00D14607">
      <w:pPr>
        <w:spacing w:before="120"/>
        <w:rPr>
          <w:b/>
        </w:rPr>
      </w:pPr>
      <w:bookmarkStart w:id="1" w:name="_Hlk518466992"/>
      <w:r w:rsidRPr="00D14607">
        <w:rPr>
          <w:b/>
          <w:bCs/>
        </w:rPr>
        <w:t>Working Party on Automated/Autonomous and Connected Vehicl</w:t>
      </w:r>
      <w:bookmarkEnd w:id="1"/>
      <w:r w:rsidRPr="00D14607">
        <w:rPr>
          <w:b/>
          <w:bCs/>
        </w:rPr>
        <w:t>es</w:t>
      </w:r>
      <w:r w:rsidRPr="00D14607">
        <w:rPr>
          <w:vertAlign w:val="superscript"/>
        </w:rPr>
        <w:footnoteReference w:customMarkFollows="1" w:id="1"/>
        <w:t>*</w:t>
      </w:r>
    </w:p>
    <w:p w:rsidR="00D14607" w:rsidRPr="00D14607" w:rsidRDefault="00D14607" w:rsidP="00D14607">
      <w:pPr>
        <w:spacing w:before="120"/>
        <w:rPr>
          <w:b/>
        </w:rPr>
      </w:pPr>
      <w:r w:rsidRPr="00D14607">
        <w:rPr>
          <w:b/>
        </w:rPr>
        <w:t>Second session</w:t>
      </w:r>
    </w:p>
    <w:p w:rsidR="00D14607" w:rsidRPr="00D14607" w:rsidRDefault="00D14607" w:rsidP="00D14607">
      <w:r w:rsidRPr="00D14607">
        <w:t>Geneva, 28 January</w:t>
      </w:r>
      <w:r w:rsidR="00363BBC">
        <w:t>-</w:t>
      </w:r>
      <w:r w:rsidRPr="00D14607">
        <w:t>1 February 2019</w:t>
      </w:r>
    </w:p>
    <w:p w:rsidR="00D14607" w:rsidRPr="00D14607" w:rsidRDefault="00D14607" w:rsidP="00D14607">
      <w:r w:rsidRPr="00D14607">
        <w:t xml:space="preserve">Item </w:t>
      </w:r>
      <w:r w:rsidR="007B4312">
        <w:t>5 (d)</w:t>
      </w:r>
      <w:r w:rsidRPr="00D14607">
        <w:t xml:space="preserve"> of the provisional agenda</w:t>
      </w:r>
    </w:p>
    <w:p w:rsidR="00D14607" w:rsidRDefault="007B4312" w:rsidP="00D14607">
      <w:pPr>
        <w:rPr>
          <w:b/>
          <w:bCs/>
        </w:rPr>
      </w:pPr>
      <w:r>
        <w:rPr>
          <w:b/>
          <w:bCs/>
        </w:rPr>
        <w:t>Automated/Autonomous and Connected Vehicles:</w:t>
      </w:r>
    </w:p>
    <w:p w:rsidR="007B4312" w:rsidRPr="00D14607" w:rsidRDefault="007B4312" w:rsidP="00D14607">
      <w:pPr>
        <w:rPr>
          <w:b/>
          <w:bCs/>
        </w:rPr>
      </w:pPr>
      <w:r>
        <w:rPr>
          <w:b/>
          <w:bCs/>
        </w:rPr>
        <w:t>Automatically Commanded Steering Function</w:t>
      </w:r>
    </w:p>
    <w:p w:rsidR="00950AF8" w:rsidRDefault="00B0170E" w:rsidP="00D14607">
      <w:pPr>
        <w:pStyle w:val="HChG"/>
      </w:pPr>
      <w:r>
        <w:tab/>
      </w:r>
      <w:r>
        <w:tab/>
      </w:r>
      <w:r w:rsidRPr="00B0170E">
        <w:t xml:space="preserve">Proposal for amendments to </w:t>
      </w:r>
      <w:r w:rsidR="007B4312">
        <w:t xml:space="preserve">UN </w:t>
      </w:r>
      <w:r w:rsidRPr="00B0170E">
        <w:t>Regulat</w:t>
      </w:r>
      <w:r w:rsidR="00000684">
        <w:t>ion No. 79 (Steering equipment)</w:t>
      </w:r>
    </w:p>
    <w:p w:rsidR="00D14607" w:rsidRPr="00D14607" w:rsidRDefault="00D14607" w:rsidP="00D14607">
      <w:pPr>
        <w:pStyle w:val="H1G"/>
      </w:pPr>
      <w:r>
        <w:tab/>
      </w:r>
      <w:r>
        <w:tab/>
        <w:t>Submitted by the expert from France</w:t>
      </w:r>
      <w:r w:rsidR="00723201" w:rsidRPr="00D00DD7">
        <w:rPr>
          <w:b w:val="0"/>
          <w:bCs/>
          <w:sz w:val="20"/>
        </w:rPr>
        <w:footnoteReference w:customMarkFollows="1" w:id="2"/>
        <w:t>**</w:t>
      </w:r>
    </w:p>
    <w:p w:rsidR="00950AF8" w:rsidRPr="009C527A" w:rsidRDefault="009C527A" w:rsidP="009C527A">
      <w:pPr>
        <w:pStyle w:val="SingleTxtG"/>
      </w:pPr>
      <w:r>
        <w:tab/>
      </w:r>
      <w:r w:rsidR="00F021D3" w:rsidRPr="009C527A">
        <w:t xml:space="preserve">The text reproduced below was prepared by the expert from France </w:t>
      </w:r>
      <w:r>
        <w:t>introducing</w:t>
      </w:r>
      <w:r w:rsidR="00F021D3" w:rsidRPr="009C527A">
        <w:t xml:space="preserve"> amendment</w:t>
      </w:r>
      <w:r>
        <w:t>s</w:t>
      </w:r>
      <w:r w:rsidR="00F021D3" w:rsidRPr="009C527A">
        <w:t xml:space="preserve"> to UN Regulation No. 79</w:t>
      </w:r>
      <w:r w:rsidR="00D14607">
        <w:t>, based on informal document GRVA-01-38</w:t>
      </w:r>
      <w:r w:rsidR="00A8560E" w:rsidRPr="009C527A">
        <w:t xml:space="preserve">. </w:t>
      </w:r>
      <w:r w:rsidR="00F021D3" w:rsidRPr="009C527A">
        <w:t xml:space="preserve">It is aimed at clarifying the text of the Regulation. </w:t>
      </w:r>
      <w:bookmarkStart w:id="2" w:name="_Hlk529190157"/>
      <w:r w:rsidR="00F021D3" w:rsidRPr="009C527A">
        <w:t>The modifications to the existing text of the Regulation are marked in bold for new characters.</w:t>
      </w:r>
      <w:bookmarkEnd w:id="2"/>
    </w:p>
    <w:p w:rsidR="00303A6A" w:rsidRPr="009C527A" w:rsidRDefault="009C527A" w:rsidP="00D14607">
      <w:pPr>
        <w:pStyle w:val="HChG"/>
        <w:pageBreakBefore/>
      </w:pPr>
      <w:r>
        <w:lastRenderedPageBreak/>
        <w:tab/>
        <w:t>I.</w:t>
      </w:r>
      <w:r>
        <w:tab/>
      </w:r>
      <w:r w:rsidR="00303A6A" w:rsidRPr="009C527A">
        <w:t>Proposal</w:t>
      </w:r>
    </w:p>
    <w:p w:rsidR="003A6E21" w:rsidRDefault="003A6E21" w:rsidP="00DC0026">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5.1.6.1.1.</w:t>
      </w:r>
      <w:r w:rsidRPr="00923729">
        <w:rPr>
          <w:i/>
          <w:iCs/>
          <w:lang w:eastAsia="nl-NL"/>
        </w:rPr>
        <w:t xml:space="preserve">, </w:t>
      </w:r>
      <w:r w:rsidRPr="00923729">
        <w:rPr>
          <w:iCs/>
          <w:lang w:eastAsia="nl-NL"/>
        </w:rPr>
        <w:t>amend to read:</w:t>
      </w:r>
    </w:p>
    <w:p w:rsidR="003A6E21" w:rsidRDefault="009C527A" w:rsidP="009C527A">
      <w:pPr>
        <w:autoSpaceDE w:val="0"/>
        <w:autoSpaceDN w:val="0"/>
        <w:adjustRightInd w:val="0"/>
        <w:spacing w:after="120"/>
        <w:ind w:left="2268" w:right="1134" w:hanging="1134"/>
        <w:jc w:val="both"/>
        <w:rPr>
          <w:rFonts w:eastAsia="MS Mincho"/>
          <w:bCs/>
          <w:lang w:val="en-US"/>
        </w:rPr>
      </w:pPr>
      <w:r>
        <w:rPr>
          <w:iCs/>
          <w:lang w:eastAsia="nl-NL"/>
        </w:rPr>
        <w:t>"</w:t>
      </w:r>
      <w:r w:rsidR="003A6E21">
        <w:rPr>
          <w:iCs/>
          <w:lang w:eastAsia="nl-NL"/>
        </w:rPr>
        <w:t>5</w:t>
      </w:r>
      <w:r w:rsidR="003A6E21" w:rsidRPr="003A6E21">
        <w:rPr>
          <w:iCs/>
          <w:lang w:eastAsia="nl-NL"/>
        </w:rPr>
        <w:t>.</w:t>
      </w:r>
      <w:r>
        <w:rPr>
          <w:rFonts w:eastAsia="MS Mincho"/>
          <w:bCs/>
          <w:lang w:val="en-US"/>
        </w:rPr>
        <w:t>1.6.1.1.</w:t>
      </w:r>
      <w:r>
        <w:rPr>
          <w:rFonts w:eastAsia="MS Mincho"/>
          <w:bCs/>
          <w:lang w:val="en-US"/>
        </w:rPr>
        <w:tab/>
      </w:r>
      <w:r w:rsidR="003A6E21" w:rsidRPr="003A6E21">
        <w:rPr>
          <w:rFonts w:eastAsia="MS Mincho"/>
          <w:bCs/>
          <w:lang w:val="en-US"/>
        </w:rPr>
        <w:t>Every CSF intervention shall immediately be indica</w:t>
      </w:r>
      <w:r w:rsidR="003A6E21">
        <w:rPr>
          <w:rFonts w:eastAsia="MS Mincho"/>
          <w:bCs/>
          <w:lang w:val="en-US"/>
        </w:rPr>
        <w:t>ted to the driver by an optical</w:t>
      </w:r>
      <w:r>
        <w:rPr>
          <w:rFonts w:eastAsia="MS Mincho"/>
          <w:bCs/>
          <w:lang w:val="en-US"/>
        </w:rPr>
        <w:t xml:space="preserve"> </w:t>
      </w:r>
      <w:r w:rsidR="003A6E21" w:rsidRPr="003A6E21">
        <w:rPr>
          <w:rFonts w:eastAsia="MS Mincho"/>
          <w:bCs/>
          <w:lang w:val="en-US"/>
        </w:rPr>
        <w:t>warning signal which is displayed for at least 1s or as l</w:t>
      </w:r>
      <w:r w:rsidR="003A6E21">
        <w:rPr>
          <w:rFonts w:eastAsia="MS Mincho"/>
          <w:bCs/>
          <w:lang w:val="en-US"/>
        </w:rPr>
        <w:t>ong as the intervention exists,</w:t>
      </w:r>
      <w:r>
        <w:rPr>
          <w:rFonts w:eastAsia="MS Mincho"/>
          <w:bCs/>
          <w:lang w:val="en-US"/>
        </w:rPr>
        <w:t xml:space="preserve"> </w:t>
      </w:r>
      <w:r w:rsidR="003A6E21" w:rsidRPr="003A6E21">
        <w:rPr>
          <w:rFonts w:eastAsia="MS Mincho"/>
          <w:bCs/>
          <w:lang w:val="en-US"/>
        </w:rPr>
        <w:t>whichever is longer.</w:t>
      </w:r>
    </w:p>
    <w:p w:rsidR="00835270" w:rsidRPr="00835270" w:rsidRDefault="009C527A" w:rsidP="009C527A">
      <w:pPr>
        <w:autoSpaceDE w:val="0"/>
        <w:autoSpaceDN w:val="0"/>
        <w:adjustRightInd w:val="0"/>
        <w:spacing w:after="120"/>
        <w:ind w:left="2268" w:right="1134" w:hanging="1134"/>
        <w:jc w:val="both"/>
        <w:rPr>
          <w:rFonts w:eastAsia="MS Mincho"/>
          <w:b/>
          <w:bCs/>
          <w:lang w:val="en-US"/>
        </w:rPr>
      </w:pPr>
      <w:r>
        <w:rPr>
          <w:rFonts w:eastAsia="MS Mincho"/>
          <w:b/>
          <w:bCs/>
          <w:lang w:val="en-US"/>
        </w:rPr>
        <w:tab/>
      </w:r>
      <w:r w:rsidR="00835270" w:rsidRPr="00835270">
        <w:rPr>
          <w:rFonts w:eastAsia="MS Mincho"/>
          <w:b/>
          <w:bCs/>
          <w:lang w:val="en-US"/>
        </w:rPr>
        <w:t xml:space="preserve">When a flashing mode is used, </w:t>
      </w:r>
      <w:r w:rsidR="00835270">
        <w:rPr>
          <w:rFonts w:eastAsia="MS Mincho"/>
          <w:b/>
          <w:bCs/>
          <w:lang w:val="en-US"/>
        </w:rPr>
        <w:t xml:space="preserve">the lighting phase </w:t>
      </w:r>
      <w:r w:rsidR="00BF2C61">
        <w:rPr>
          <w:rFonts w:eastAsia="MS Mincho"/>
          <w:b/>
          <w:bCs/>
          <w:lang w:val="en-US"/>
        </w:rPr>
        <w:t>shall start with the</w:t>
      </w:r>
      <w:r w:rsidR="00274148">
        <w:rPr>
          <w:rFonts w:eastAsia="MS Mincho"/>
          <w:b/>
          <w:bCs/>
          <w:lang w:val="en-US"/>
        </w:rPr>
        <w:t xml:space="preserve"> </w:t>
      </w:r>
      <w:r w:rsidR="00B9638C">
        <w:rPr>
          <w:rFonts w:eastAsia="MS Mincho"/>
          <w:b/>
          <w:bCs/>
          <w:lang w:val="en-US"/>
        </w:rPr>
        <w:t>beginning</w:t>
      </w:r>
      <w:r w:rsidR="00274148">
        <w:rPr>
          <w:rFonts w:eastAsia="MS Mincho"/>
          <w:b/>
          <w:bCs/>
          <w:lang w:val="en-US"/>
        </w:rPr>
        <w:t xml:space="preserve"> of the</w:t>
      </w:r>
      <w:r>
        <w:rPr>
          <w:rFonts w:eastAsia="MS Mincho"/>
          <w:b/>
          <w:bCs/>
          <w:lang w:val="en-US"/>
        </w:rPr>
        <w:t xml:space="preserve"> </w:t>
      </w:r>
      <w:r w:rsidR="009E24AD">
        <w:rPr>
          <w:rFonts w:eastAsia="MS Mincho"/>
          <w:b/>
          <w:bCs/>
          <w:lang w:val="en-US"/>
        </w:rPr>
        <w:t xml:space="preserve">intervention and finish with the end </w:t>
      </w:r>
      <w:r w:rsidR="009255AB">
        <w:rPr>
          <w:rFonts w:eastAsia="MS Mincho"/>
          <w:b/>
          <w:bCs/>
          <w:lang w:val="en-US"/>
        </w:rPr>
        <w:t xml:space="preserve">of intervention </w:t>
      </w:r>
      <w:r w:rsidR="009E24AD">
        <w:rPr>
          <w:rFonts w:eastAsia="MS Mincho"/>
          <w:b/>
          <w:bCs/>
          <w:lang w:val="en-US"/>
        </w:rPr>
        <w:t>o</w:t>
      </w:r>
      <w:r w:rsidR="009255AB">
        <w:rPr>
          <w:rFonts w:eastAsia="MS Mincho"/>
          <w:b/>
          <w:bCs/>
          <w:lang w:val="en-US"/>
        </w:rPr>
        <w:t>r immediately</w:t>
      </w:r>
      <w:r w:rsidR="00274148">
        <w:rPr>
          <w:rFonts w:eastAsia="MS Mincho"/>
          <w:b/>
          <w:bCs/>
          <w:lang w:val="en-US"/>
        </w:rPr>
        <w:t xml:space="preserve"> </w:t>
      </w:r>
      <w:r w:rsidR="009255AB">
        <w:rPr>
          <w:rFonts w:eastAsia="MS Mincho"/>
          <w:b/>
          <w:bCs/>
          <w:lang w:val="en-US"/>
        </w:rPr>
        <w:t>after intervention.</w:t>
      </w:r>
    </w:p>
    <w:p w:rsidR="00017D12" w:rsidRPr="009765FF" w:rsidRDefault="009C527A" w:rsidP="009C527A">
      <w:pPr>
        <w:autoSpaceDE w:val="0"/>
        <w:autoSpaceDN w:val="0"/>
        <w:adjustRightInd w:val="0"/>
        <w:spacing w:after="120"/>
        <w:ind w:left="2268" w:right="1134" w:hanging="1134"/>
        <w:jc w:val="both"/>
        <w:rPr>
          <w:rFonts w:eastAsia="MS Mincho"/>
          <w:bCs/>
          <w:lang w:val="en-US"/>
        </w:rPr>
      </w:pPr>
      <w:r>
        <w:rPr>
          <w:rFonts w:eastAsia="MS Mincho"/>
          <w:bCs/>
          <w:lang w:val="en-US"/>
        </w:rPr>
        <w:tab/>
      </w:r>
      <w:r w:rsidR="003A6E21" w:rsidRPr="003A6E21">
        <w:rPr>
          <w:rFonts w:eastAsia="MS Mincho"/>
          <w:bCs/>
          <w:lang w:val="en-US"/>
        </w:rPr>
        <w:t xml:space="preserve">In the case of a CSF intervention which is controlled by </w:t>
      </w:r>
      <w:r w:rsidR="003A6E21">
        <w:rPr>
          <w:rFonts w:eastAsia="MS Mincho"/>
          <w:bCs/>
          <w:lang w:val="en-US"/>
        </w:rPr>
        <w:t>an Electronic Stability Control</w:t>
      </w:r>
      <w:r>
        <w:rPr>
          <w:rFonts w:eastAsia="MS Mincho"/>
          <w:bCs/>
          <w:lang w:val="en-US"/>
        </w:rPr>
        <w:t xml:space="preserve"> </w:t>
      </w:r>
      <w:r w:rsidR="003A6E21" w:rsidRPr="003A6E21">
        <w:rPr>
          <w:rFonts w:eastAsia="MS Mincho"/>
          <w:bCs/>
          <w:lang w:val="en-US"/>
        </w:rPr>
        <w:t xml:space="preserve">(ESC) or a Vehicle Stability Function as specified in the relevant UN Regulation (i.e. UN Regulations Nos. 13, 13-H or 140), the ESC flashing tell-tale </w:t>
      </w:r>
      <w:r>
        <w:rPr>
          <w:rFonts w:eastAsia="MS Mincho"/>
          <w:bCs/>
          <w:lang w:val="en-US"/>
        </w:rPr>
        <w:t xml:space="preserve">indicating the interventions of </w:t>
      </w:r>
      <w:r w:rsidR="003A6E21" w:rsidRPr="003A6E21">
        <w:rPr>
          <w:rFonts w:eastAsia="MS Mincho"/>
          <w:bCs/>
          <w:lang w:val="en-US"/>
        </w:rPr>
        <w:t>ESC may be used, as long as the intervention exists, as an alternative to the optical warning signal specified above.</w:t>
      </w:r>
      <w:r>
        <w:rPr>
          <w:rFonts w:eastAsia="MS Mincho"/>
          <w:bCs/>
          <w:lang w:val="en-US"/>
        </w:rPr>
        <w:t>"</w:t>
      </w:r>
    </w:p>
    <w:p w:rsidR="00303A6A" w:rsidRPr="002F63E8" w:rsidRDefault="00303A6A" w:rsidP="002F63E8">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5.1.6.2.6.</w:t>
      </w:r>
      <w:r w:rsidRPr="00923729">
        <w:rPr>
          <w:i/>
          <w:iCs/>
          <w:lang w:eastAsia="nl-NL"/>
        </w:rPr>
        <w:t xml:space="preserve">, </w:t>
      </w:r>
      <w:r w:rsidRPr="00923729">
        <w:rPr>
          <w:iCs/>
          <w:lang w:eastAsia="nl-NL"/>
        </w:rPr>
        <w:t>amend to read:</w:t>
      </w:r>
    </w:p>
    <w:p w:rsidR="00BE2473" w:rsidRDefault="009C527A" w:rsidP="009C527A">
      <w:pPr>
        <w:spacing w:after="120"/>
        <w:ind w:left="2268" w:right="1134" w:hanging="1134"/>
        <w:jc w:val="both"/>
        <w:rPr>
          <w:lang w:val="en-US"/>
        </w:rPr>
      </w:pPr>
      <w:r>
        <w:rPr>
          <w:lang w:val="en-US"/>
        </w:rPr>
        <w:t>"</w:t>
      </w:r>
      <w:r w:rsidR="00A8560E" w:rsidRPr="00A8560E">
        <w:rPr>
          <w:lang w:val="en-US"/>
        </w:rPr>
        <w:t>5.1.6.2.6.</w:t>
      </w:r>
      <w:r>
        <w:rPr>
          <w:lang w:val="en-US"/>
        </w:rPr>
        <w:tab/>
      </w:r>
      <w:r w:rsidR="00A8560E" w:rsidRPr="00A8560E">
        <w:rPr>
          <w:lang w:val="en-US"/>
        </w:rPr>
        <w:t xml:space="preserve">Any intervention of an ESF shall be indicated to the driver with an optical and with an acoustic or haptic warning signal to be provided at the latest with the start of the ESF intervention </w:t>
      </w:r>
      <w:r w:rsidR="00A8560E">
        <w:rPr>
          <w:b/>
          <w:lang w:val="en-US"/>
        </w:rPr>
        <w:t>and maintained as long as</w:t>
      </w:r>
      <w:r w:rsidR="00A8560E" w:rsidRPr="00A8560E">
        <w:rPr>
          <w:b/>
          <w:lang w:val="en-US"/>
        </w:rPr>
        <w:t xml:space="preserve"> the intervention</w:t>
      </w:r>
      <w:r w:rsidR="00A8560E">
        <w:rPr>
          <w:b/>
          <w:lang w:val="en-US"/>
        </w:rPr>
        <w:t xml:space="preserve"> exists</w:t>
      </w:r>
      <w:r w:rsidR="00A8560E" w:rsidRPr="00A8560E">
        <w:rPr>
          <w:lang w:val="en-US"/>
        </w:rPr>
        <w:t>.</w:t>
      </w:r>
      <w:r w:rsidR="00000684">
        <w:rPr>
          <w:lang w:val="en-US"/>
        </w:rPr>
        <w:t xml:space="preserve"> </w:t>
      </w:r>
    </w:p>
    <w:p w:rsidR="00153977" w:rsidRDefault="00BE2473" w:rsidP="009C527A">
      <w:pPr>
        <w:spacing w:after="120"/>
        <w:ind w:left="2268" w:right="1134"/>
        <w:jc w:val="both"/>
        <w:rPr>
          <w:lang w:val="en-US"/>
        </w:rPr>
      </w:pPr>
      <w:r w:rsidRPr="00BE2473">
        <w:rPr>
          <w:lang w:val="en-US"/>
        </w:rPr>
        <w:t>For this purpose appropriate signals used by other warning systems (e.g. blind spot detection, lane departure warning, forward collision warning) are deemed to be sufficient to fulfil the requirements for the respective optical, acoustic or haptic signals above.</w:t>
      </w:r>
    </w:p>
    <w:p w:rsidR="00C71C03" w:rsidRPr="009765FF" w:rsidRDefault="00BE2473" w:rsidP="009C527A">
      <w:pPr>
        <w:spacing w:after="120"/>
        <w:ind w:left="2268" w:right="1134"/>
        <w:jc w:val="both"/>
        <w:rPr>
          <w:b/>
          <w:lang w:val="en-US"/>
        </w:rPr>
      </w:pPr>
      <w:r w:rsidRPr="00BE2473">
        <w:rPr>
          <w:b/>
          <w:lang w:val="en-US"/>
        </w:rPr>
        <w:t>The optical warning signal [shall] be a flashing signal.</w:t>
      </w:r>
      <w:r w:rsidR="009C527A" w:rsidRPr="009C527A">
        <w:rPr>
          <w:bCs/>
          <w:lang w:val="en-US"/>
        </w:rPr>
        <w:t>"</w:t>
      </w:r>
    </w:p>
    <w:p w:rsidR="00C71C03" w:rsidRPr="00C71C03" w:rsidRDefault="00C71C03" w:rsidP="00C71C03">
      <w:pPr>
        <w:spacing w:after="120"/>
        <w:ind w:left="426" w:right="1134" w:firstLine="708"/>
        <w:jc w:val="both"/>
        <w:rPr>
          <w:iCs/>
        </w:rPr>
      </w:pPr>
      <w:r w:rsidRPr="00C71C03">
        <w:rPr>
          <w:i/>
          <w:iCs/>
        </w:rPr>
        <w:t xml:space="preserve">Paragraph </w:t>
      </w:r>
      <w:r>
        <w:rPr>
          <w:i/>
          <w:iCs/>
        </w:rPr>
        <w:t>5.6.4.2.3</w:t>
      </w:r>
      <w:r w:rsidRPr="00C71C03">
        <w:rPr>
          <w:i/>
          <w:iCs/>
        </w:rPr>
        <w:t xml:space="preserve">., </w:t>
      </w:r>
      <w:r w:rsidRPr="00C71C03">
        <w:rPr>
          <w:iCs/>
        </w:rPr>
        <w:t>amend to read:</w:t>
      </w:r>
    </w:p>
    <w:p w:rsidR="00C71C03" w:rsidRPr="00C71C03" w:rsidRDefault="009C527A" w:rsidP="009C527A">
      <w:pPr>
        <w:spacing w:after="120"/>
        <w:ind w:left="2268" w:right="1134" w:hanging="1134"/>
        <w:jc w:val="both"/>
        <w:rPr>
          <w:lang w:val="en-US"/>
        </w:rPr>
      </w:pPr>
      <w:r>
        <w:rPr>
          <w:lang w:val="en-US"/>
        </w:rPr>
        <w:t>"</w:t>
      </w:r>
      <w:r w:rsidR="00C71C03" w:rsidRPr="00C71C03">
        <w:rPr>
          <w:lang w:val="en-US"/>
        </w:rPr>
        <w:t>5.6.4.2.3.</w:t>
      </w:r>
      <w:r w:rsidR="00C71C03" w:rsidRPr="00C71C03">
        <w:rPr>
          <w:lang w:val="en-US"/>
        </w:rPr>
        <w:tab/>
        <w:t xml:space="preserve">The system shall only be activated (standby mode) after a deliberate action by the driver. </w:t>
      </w:r>
    </w:p>
    <w:p w:rsidR="00C71C03" w:rsidRPr="00C71C03" w:rsidRDefault="009C527A" w:rsidP="009C527A">
      <w:pPr>
        <w:spacing w:after="120"/>
        <w:ind w:left="2268" w:right="1134" w:hanging="1134"/>
        <w:jc w:val="both"/>
        <w:rPr>
          <w:lang w:val="en-US"/>
        </w:rPr>
      </w:pPr>
      <w:r>
        <w:rPr>
          <w:lang w:val="en-US"/>
        </w:rPr>
        <w:tab/>
      </w:r>
      <w:r w:rsidR="00C71C03" w:rsidRPr="00C71C03">
        <w:rPr>
          <w:lang w:val="en-US"/>
        </w:rPr>
        <w:t xml:space="preserve">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w:t>
      </w:r>
      <w:proofErr w:type="gramStart"/>
      <w:r w:rsidR="00C71C03" w:rsidRPr="00C71C03">
        <w:rPr>
          <w:lang w:val="en-US"/>
        </w:rPr>
        <w:t>by the use of</w:t>
      </w:r>
      <w:proofErr w:type="gramEnd"/>
      <w:r w:rsidR="00C71C03" w:rsidRPr="00C71C03">
        <w:rPr>
          <w:lang w:val="en-US"/>
        </w:rPr>
        <w:t xml:space="preserve"> at least two independent means. </w:t>
      </w:r>
    </w:p>
    <w:p w:rsidR="002F2A2B" w:rsidRDefault="009C527A" w:rsidP="009C527A">
      <w:pPr>
        <w:spacing w:after="120"/>
        <w:ind w:left="2268" w:right="1134" w:hanging="1134"/>
        <w:jc w:val="both"/>
        <w:rPr>
          <w:lang w:val="en-US"/>
        </w:rPr>
      </w:pPr>
      <w:r>
        <w:rPr>
          <w:lang w:val="en-US"/>
        </w:rPr>
        <w:tab/>
      </w:r>
      <w:r w:rsidR="00C71C03" w:rsidRPr="00C71C03">
        <w:rPr>
          <w:lang w:val="en-US"/>
        </w:rPr>
        <w:t>In the case of a transition from a road type with a classification permitting an ACSF of Category C, to a type of road where an ACSF of Category C is not permitted, the system shall be deactivated automatically</w:t>
      </w:r>
      <w:r w:rsidR="00C71C03">
        <w:rPr>
          <w:lang w:val="en-US"/>
        </w:rPr>
        <w:t xml:space="preserve"> </w:t>
      </w:r>
      <w:r w:rsidR="00C71C03" w:rsidRPr="00C71C03">
        <w:rPr>
          <w:b/>
          <w:lang w:val="en-US"/>
        </w:rPr>
        <w:t>(off mode)</w:t>
      </w:r>
      <w:r w:rsidR="00C71C03" w:rsidRPr="00C71C03">
        <w:rPr>
          <w:lang w:val="en-US"/>
        </w:rPr>
        <w:t>.</w:t>
      </w:r>
      <w:r>
        <w:rPr>
          <w:lang w:val="en-US"/>
        </w:rPr>
        <w:t>"</w:t>
      </w:r>
    </w:p>
    <w:p w:rsidR="002F2A2B" w:rsidRPr="009765FF" w:rsidRDefault="002F2A2B" w:rsidP="009C527A">
      <w:pPr>
        <w:spacing w:after="120" w:line="240" w:lineRule="auto"/>
        <w:ind w:left="2268" w:right="1134" w:hanging="1134"/>
        <w:jc w:val="both"/>
        <w:rPr>
          <w:iCs/>
        </w:rPr>
      </w:pPr>
      <w:r w:rsidRPr="002F2A2B">
        <w:rPr>
          <w:i/>
          <w:iCs/>
        </w:rPr>
        <w:t xml:space="preserve">Paragraph </w:t>
      </w:r>
      <w:r>
        <w:rPr>
          <w:i/>
          <w:iCs/>
        </w:rPr>
        <w:t>5.6.4.5.6</w:t>
      </w:r>
      <w:r w:rsidRPr="002F2A2B">
        <w:rPr>
          <w:i/>
          <w:iCs/>
        </w:rPr>
        <w:t xml:space="preserve">., </w:t>
      </w:r>
      <w:r w:rsidRPr="002F2A2B">
        <w:rPr>
          <w:iCs/>
        </w:rPr>
        <w:t>amend to read:</w:t>
      </w:r>
    </w:p>
    <w:p w:rsidR="002F2A2B" w:rsidRPr="002F2A2B" w:rsidRDefault="009C527A" w:rsidP="009C527A">
      <w:pPr>
        <w:spacing w:after="120" w:line="240" w:lineRule="auto"/>
        <w:ind w:left="2268" w:right="1134" w:hanging="1134"/>
        <w:jc w:val="both"/>
        <w:rPr>
          <w:lang w:val="en-US"/>
        </w:rPr>
      </w:pPr>
      <w:r>
        <w:rPr>
          <w:lang w:val="en-US"/>
        </w:rPr>
        <w:t>"</w:t>
      </w:r>
      <w:r w:rsidR="002F2A2B" w:rsidRPr="002F2A2B">
        <w:rPr>
          <w:lang w:val="en-US"/>
        </w:rPr>
        <w:t>5.6.4.5.6.</w:t>
      </w:r>
      <w:r w:rsidR="002F2A2B" w:rsidRPr="002F2A2B">
        <w:rPr>
          <w:lang w:val="en-US"/>
        </w:rPr>
        <w:tab/>
        <w:t>The system shall provide a means of detecting that the driver is holding the steering control and shall warn the driver in accordance with the warning strategy below:</w:t>
      </w:r>
    </w:p>
    <w:p w:rsidR="002F2A2B" w:rsidRPr="002F2A2B" w:rsidRDefault="009C527A" w:rsidP="009C527A">
      <w:pPr>
        <w:spacing w:after="120" w:line="240" w:lineRule="auto"/>
        <w:ind w:left="2268" w:right="1134" w:hanging="1134"/>
        <w:jc w:val="both"/>
        <w:rPr>
          <w:lang w:val="en-US"/>
        </w:rPr>
      </w:pPr>
      <w:r>
        <w:rPr>
          <w:lang w:val="en-US"/>
        </w:rPr>
        <w:tab/>
      </w:r>
      <w:r w:rsidR="002F2A2B" w:rsidRPr="002F2A2B">
        <w:rPr>
          <w:lang w:val="en-US"/>
        </w:rPr>
        <w:t xml:space="preserve">If, after a period of no longer than </w:t>
      </w:r>
      <w:r w:rsidR="007B4312">
        <w:rPr>
          <w:lang w:val="en-US"/>
        </w:rPr>
        <w:t>3s</w:t>
      </w:r>
      <w:r w:rsidR="002F2A2B" w:rsidRPr="002F2A2B">
        <w:rPr>
          <w:lang w:val="en-US"/>
        </w:rPr>
        <w:t xml:space="preserve"> after the initiation of the lane change procedure </w:t>
      </w:r>
      <w:r w:rsidR="002F2A2B" w:rsidRPr="002F2A2B">
        <w:rPr>
          <w:b/>
          <w:lang w:val="en-US"/>
        </w:rPr>
        <w:t xml:space="preserve">and before the start of the lane change </w:t>
      </w:r>
      <w:proofErr w:type="spellStart"/>
      <w:r w:rsidR="002F2A2B" w:rsidRPr="002F2A2B">
        <w:rPr>
          <w:b/>
          <w:lang w:val="en-US"/>
        </w:rPr>
        <w:t>manoeuvre</w:t>
      </w:r>
      <w:proofErr w:type="spellEnd"/>
      <w:r w:rsidR="002F2A2B" w:rsidRPr="002F2A2B">
        <w:rPr>
          <w:lang w:val="en-US"/>
        </w:rPr>
        <w:t>, the driver is not holding the steering control, an optical warning signal shall be provided. This signal shall be the same as the signal specified in paragraph 5.6.2.2.5. above.</w:t>
      </w:r>
    </w:p>
    <w:p w:rsidR="009C527A" w:rsidRPr="009C527A" w:rsidRDefault="009C527A" w:rsidP="009C527A">
      <w:pPr>
        <w:spacing w:after="120" w:line="240" w:lineRule="auto"/>
        <w:ind w:left="2268" w:right="1134" w:hanging="1134"/>
        <w:jc w:val="both"/>
        <w:rPr>
          <w:b/>
          <w:lang w:val="en-US"/>
        </w:rPr>
      </w:pPr>
      <w:r>
        <w:rPr>
          <w:lang w:val="en-US"/>
        </w:rPr>
        <w:lastRenderedPageBreak/>
        <w:tab/>
      </w:r>
      <w:r w:rsidR="002F2A2B" w:rsidRPr="002F2A2B">
        <w:rPr>
          <w:lang w:val="en-US"/>
        </w:rPr>
        <w:t xml:space="preserve">The warning signal shall be active until the driver is holding the steering control, or until the system is deactivated, either manually or automatically </w:t>
      </w:r>
      <w:r w:rsidR="002F2A2B" w:rsidRPr="002F2A2B">
        <w:rPr>
          <w:b/>
          <w:lang w:val="en-US"/>
        </w:rPr>
        <w:t>according to 5.6.4.6.8.</w:t>
      </w:r>
      <w:r w:rsidRPr="009C527A">
        <w:rPr>
          <w:bCs/>
          <w:lang w:val="en-US"/>
        </w:rPr>
        <w:t>"</w:t>
      </w:r>
    </w:p>
    <w:p w:rsidR="00303A6A" w:rsidRPr="00935245" w:rsidRDefault="009C527A" w:rsidP="00303A6A">
      <w:pPr>
        <w:keepNext/>
        <w:keepLines/>
        <w:tabs>
          <w:tab w:val="right" w:pos="851"/>
        </w:tabs>
        <w:spacing w:before="360" w:after="240" w:line="300" w:lineRule="exact"/>
        <w:ind w:left="1134" w:right="1134" w:hanging="1134"/>
        <w:rPr>
          <w:b/>
          <w:sz w:val="28"/>
        </w:rPr>
      </w:pPr>
      <w:r>
        <w:rPr>
          <w:b/>
          <w:sz w:val="28"/>
        </w:rPr>
        <w:tab/>
        <w:t>II.</w:t>
      </w:r>
      <w:r>
        <w:rPr>
          <w:b/>
          <w:sz w:val="28"/>
        </w:rPr>
        <w:tab/>
        <w:t>Justification</w:t>
      </w:r>
    </w:p>
    <w:p w:rsidR="00DC0026" w:rsidRDefault="009C527A" w:rsidP="009C527A">
      <w:pPr>
        <w:pStyle w:val="H1G"/>
        <w:rPr>
          <w:lang w:eastAsia="nl-NL"/>
        </w:rPr>
      </w:pPr>
      <w:r>
        <w:rPr>
          <w:lang w:eastAsia="nl-NL"/>
        </w:rPr>
        <w:tab/>
        <w:t>A.</w:t>
      </w:r>
      <w:r>
        <w:rPr>
          <w:lang w:eastAsia="nl-NL"/>
        </w:rPr>
        <w:tab/>
      </w:r>
      <w:r w:rsidR="00DC0026">
        <w:rPr>
          <w:lang w:eastAsia="nl-NL"/>
        </w:rPr>
        <w:t>P</w:t>
      </w:r>
      <w:r w:rsidR="00DC0026" w:rsidRPr="00923729">
        <w:rPr>
          <w:lang w:eastAsia="nl-NL"/>
        </w:rPr>
        <w:t xml:space="preserve">aragraph </w:t>
      </w:r>
      <w:r w:rsidR="008F6D27">
        <w:rPr>
          <w:lang w:eastAsia="nl-NL"/>
        </w:rPr>
        <w:t>5.1.6.1.1.</w:t>
      </w:r>
    </w:p>
    <w:p w:rsidR="00DC0026" w:rsidRPr="00BA138E" w:rsidRDefault="009C527A" w:rsidP="009C527A">
      <w:pPr>
        <w:pStyle w:val="SingleTxtG"/>
        <w:rPr>
          <w:lang w:eastAsia="nl-NL"/>
        </w:rPr>
      </w:pPr>
      <w:r>
        <w:rPr>
          <w:lang w:eastAsia="nl-NL"/>
        </w:rPr>
        <w:t>1.</w:t>
      </w:r>
      <w:r>
        <w:rPr>
          <w:lang w:eastAsia="nl-NL"/>
        </w:rPr>
        <w:tab/>
      </w:r>
      <w:r w:rsidR="00722DE9">
        <w:rPr>
          <w:lang w:eastAsia="nl-NL"/>
        </w:rPr>
        <w:t xml:space="preserve">It is proposed to clarify the visualization requirement of the </w:t>
      </w:r>
      <w:r w:rsidR="00BA138E">
        <w:rPr>
          <w:lang w:eastAsia="nl-NL"/>
        </w:rPr>
        <w:t xml:space="preserve">optical signal when a flashing mode is used to indicate to </w:t>
      </w:r>
      <w:r w:rsidR="003966B4">
        <w:rPr>
          <w:lang w:eastAsia="nl-NL"/>
        </w:rPr>
        <w:t xml:space="preserve">the driver the CSF intervention to </w:t>
      </w:r>
      <w:r>
        <w:rPr>
          <w:lang w:eastAsia="nl-NL"/>
        </w:rPr>
        <w:t>make</w:t>
      </w:r>
      <w:r w:rsidR="003966B4">
        <w:rPr>
          <w:lang w:eastAsia="nl-NL"/>
        </w:rPr>
        <w:t xml:space="preserve"> sure that sufficient light is provided to the driver.</w:t>
      </w:r>
    </w:p>
    <w:p w:rsidR="00303A6A" w:rsidRPr="003A6E21" w:rsidRDefault="009C527A" w:rsidP="009C527A">
      <w:pPr>
        <w:pStyle w:val="H1G"/>
        <w:rPr>
          <w:lang w:eastAsia="nl-NL"/>
        </w:rPr>
      </w:pPr>
      <w:r>
        <w:rPr>
          <w:lang w:eastAsia="nl-NL"/>
        </w:rPr>
        <w:tab/>
        <w:t>B.</w:t>
      </w:r>
      <w:r>
        <w:rPr>
          <w:lang w:eastAsia="nl-NL"/>
        </w:rPr>
        <w:tab/>
      </w:r>
      <w:r w:rsidR="007B4312">
        <w:rPr>
          <w:lang w:eastAsia="nl-NL"/>
        </w:rPr>
        <w:t>Paragraph 5.1.6.2.6.</w:t>
      </w:r>
    </w:p>
    <w:p w:rsidR="00C71C03" w:rsidRDefault="009C527A" w:rsidP="009C527A">
      <w:pPr>
        <w:pStyle w:val="SingleTxtG"/>
        <w:rPr>
          <w:lang w:eastAsia="nl-NL"/>
        </w:rPr>
      </w:pPr>
      <w:r>
        <w:rPr>
          <w:lang w:eastAsia="nl-NL"/>
        </w:rPr>
        <w:t>2.</w:t>
      </w:r>
      <w:r>
        <w:rPr>
          <w:lang w:eastAsia="nl-NL"/>
        </w:rPr>
        <w:tab/>
      </w:r>
      <w:r w:rsidR="00303A6A">
        <w:rPr>
          <w:lang w:eastAsia="nl-NL"/>
        </w:rPr>
        <w:t>It is proposed to mention the duration of the signals as for the other categories of ACSF (e.g.</w:t>
      </w:r>
      <w:r w:rsidR="00BE2473">
        <w:rPr>
          <w:lang w:eastAsia="nl-NL"/>
        </w:rPr>
        <w:t xml:space="preserve"> CSF</w:t>
      </w:r>
      <w:r w:rsidR="00303A6A">
        <w:rPr>
          <w:lang w:eastAsia="nl-NL"/>
        </w:rPr>
        <w:t xml:space="preserve">). Furthermore, the flashing mode of </w:t>
      </w:r>
      <w:r w:rsidR="00766DE9">
        <w:rPr>
          <w:lang w:eastAsia="nl-NL"/>
        </w:rPr>
        <w:t>the optical signal sh</w:t>
      </w:r>
      <w:r w:rsidR="00303A6A">
        <w:rPr>
          <w:lang w:eastAsia="nl-NL"/>
        </w:rPr>
        <w:t xml:space="preserve">ould be </w:t>
      </w:r>
      <w:r>
        <w:rPr>
          <w:lang w:eastAsia="nl-NL"/>
        </w:rPr>
        <w:t>prioritized</w:t>
      </w:r>
      <w:r w:rsidR="00303A6A">
        <w:rPr>
          <w:lang w:eastAsia="nl-NL"/>
        </w:rPr>
        <w:t xml:space="preserve"> </w:t>
      </w:r>
      <w:r w:rsidR="00346A10" w:rsidRPr="00346A10">
        <w:rPr>
          <w:lang w:eastAsia="nl-NL"/>
        </w:rPr>
        <w:t xml:space="preserve">by analogy to </w:t>
      </w:r>
      <w:r w:rsidR="002A4B2F">
        <w:rPr>
          <w:lang w:eastAsia="nl-NL"/>
        </w:rPr>
        <w:t xml:space="preserve">other </w:t>
      </w:r>
      <w:r w:rsidR="00DC0026">
        <w:rPr>
          <w:lang w:eastAsia="nl-NL"/>
        </w:rPr>
        <w:t xml:space="preserve">system intervening in </w:t>
      </w:r>
      <w:r w:rsidR="002A4B2F">
        <w:rPr>
          <w:lang w:eastAsia="nl-NL"/>
        </w:rPr>
        <w:t xml:space="preserve">situation </w:t>
      </w:r>
      <w:r w:rsidR="00DC0026">
        <w:rPr>
          <w:lang w:eastAsia="nl-NL"/>
        </w:rPr>
        <w:t xml:space="preserve">where a risk exists </w:t>
      </w:r>
      <w:r w:rsidR="00346A10">
        <w:rPr>
          <w:lang w:eastAsia="nl-NL"/>
        </w:rPr>
        <w:t xml:space="preserve">(e.g. </w:t>
      </w:r>
      <w:r w:rsidR="00346A10" w:rsidRPr="00346A10">
        <w:rPr>
          <w:lang w:eastAsia="nl-NL"/>
        </w:rPr>
        <w:t>ESC intervention</w:t>
      </w:r>
      <w:r w:rsidR="00346A10">
        <w:rPr>
          <w:lang w:eastAsia="nl-NL"/>
        </w:rPr>
        <w:t>).</w:t>
      </w:r>
    </w:p>
    <w:p w:rsidR="00C71C03" w:rsidRPr="003A6E21" w:rsidRDefault="009C527A" w:rsidP="009C527A">
      <w:pPr>
        <w:pStyle w:val="H1G"/>
        <w:rPr>
          <w:lang w:eastAsia="nl-NL"/>
        </w:rPr>
      </w:pPr>
      <w:r>
        <w:rPr>
          <w:lang w:eastAsia="nl-NL"/>
        </w:rPr>
        <w:tab/>
        <w:t>C.</w:t>
      </w:r>
      <w:r>
        <w:rPr>
          <w:lang w:eastAsia="nl-NL"/>
        </w:rPr>
        <w:tab/>
      </w:r>
      <w:r w:rsidR="007B4312">
        <w:rPr>
          <w:lang w:eastAsia="nl-NL"/>
        </w:rPr>
        <w:t>Paragraph 5.6.4.2.3.</w:t>
      </w:r>
    </w:p>
    <w:p w:rsidR="00C71C03" w:rsidRDefault="009C527A" w:rsidP="009C527A">
      <w:pPr>
        <w:pStyle w:val="SingleTxtG"/>
        <w:rPr>
          <w:lang w:eastAsia="nl-NL"/>
        </w:rPr>
      </w:pPr>
      <w:r>
        <w:rPr>
          <w:lang w:eastAsia="nl-NL"/>
        </w:rPr>
        <w:t>3.</w:t>
      </w:r>
      <w:r>
        <w:rPr>
          <w:lang w:eastAsia="nl-NL"/>
        </w:rPr>
        <w:tab/>
        <w:t>It is proposed to add "off mode"</w:t>
      </w:r>
      <w:r w:rsidR="00C71C03">
        <w:rPr>
          <w:lang w:eastAsia="nl-NL"/>
        </w:rPr>
        <w:t xml:space="preserve"> at the end </w:t>
      </w:r>
      <w:r>
        <w:rPr>
          <w:lang w:eastAsia="nl-NL"/>
        </w:rPr>
        <w:t>of the sentence, as a</w:t>
      </w:r>
      <w:r w:rsidR="00C71C03">
        <w:rPr>
          <w:lang w:eastAsia="nl-NL"/>
        </w:rPr>
        <w:t xml:space="preserve"> clarification.</w:t>
      </w:r>
    </w:p>
    <w:p w:rsidR="003A6E21" w:rsidRDefault="009C527A" w:rsidP="009C527A">
      <w:pPr>
        <w:pStyle w:val="H1G"/>
        <w:rPr>
          <w:lang w:eastAsia="nl-NL"/>
        </w:rPr>
      </w:pPr>
      <w:r>
        <w:rPr>
          <w:lang w:eastAsia="nl-NL"/>
        </w:rPr>
        <w:tab/>
        <w:t>D.</w:t>
      </w:r>
      <w:r>
        <w:rPr>
          <w:lang w:eastAsia="nl-NL"/>
        </w:rPr>
        <w:tab/>
      </w:r>
      <w:r w:rsidR="003A6E21" w:rsidRPr="003A6E21">
        <w:rPr>
          <w:lang w:eastAsia="nl-NL"/>
        </w:rPr>
        <w:t>Paragraph 5.6.4.5.6.</w:t>
      </w:r>
    </w:p>
    <w:p w:rsidR="003A6E21" w:rsidRDefault="009C527A" w:rsidP="009C527A">
      <w:pPr>
        <w:pStyle w:val="SingleTxtG"/>
        <w:rPr>
          <w:lang w:eastAsia="nl-NL"/>
        </w:rPr>
      </w:pPr>
      <w:r>
        <w:rPr>
          <w:lang w:eastAsia="nl-NL"/>
        </w:rPr>
        <w:t>4.</w:t>
      </w:r>
      <w:r>
        <w:rPr>
          <w:lang w:eastAsia="nl-NL"/>
        </w:rPr>
        <w:tab/>
      </w:r>
      <w:r w:rsidR="008F6D27">
        <w:rPr>
          <w:lang w:eastAsia="nl-NL"/>
        </w:rPr>
        <w:t>R</w:t>
      </w:r>
      <w:r w:rsidR="003A6E21">
        <w:rPr>
          <w:lang w:eastAsia="nl-NL"/>
        </w:rPr>
        <w:t xml:space="preserve">eference </w:t>
      </w:r>
      <w:r w:rsidR="008F6D27">
        <w:rPr>
          <w:lang w:eastAsia="nl-NL"/>
        </w:rPr>
        <w:t xml:space="preserve">is made </w:t>
      </w:r>
      <w:r w:rsidR="003A6E21">
        <w:rPr>
          <w:lang w:eastAsia="nl-NL"/>
        </w:rPr>
        <w:t>to para</w:t>
      </w:r>
      <w:r w:rsidR="007B4312">
        <w:rPr>
          <w:lang w:eastAsia="nl-NL"/>
        </w:rPr>
        <w:t>graph</w:t>
      </w:r>
      <w:r w:rsidR="003A6E21">
        <w:rPr>
          <w:lang w:eastAsia="nl-NL"/>
        </w:rPr>
        <w:t xml:space="preserve"> </w:t>
      </w:r>
      <w:r w:rsidR="003A6E21" w:rsidRPr="003A6E21">
        <w:rPr>
          <w:lang w:eastAsia="nl-NL"/>
        </w:rPr>
        <w:t>5.6.4.6.8.</w:t>
      </w:r>
      <w:r w:rsidR="003A6E21">
        <w:rPr>
          <w:lang w:eastAsia="nl-NL"/>
        </w:rPr>
        <w:t xml:space="preserve"> where the different cases of manually and automatically deactivation are defined.</w:t>
      </w:r>
    </w:p>
    <w:p w:rsidR="00D14607" w:rsidRPr="00D14607" w:rsidRDefault="00D14607" w:rsidP="00D14607">
      <w:pPr>
        <w:pStyle w:val="SingleTxtG"/>
        <w:jc w:val="center"/>
        <w:rPr>
          <w:u w:val="single"/>
          <w:lang w:eastAsia="nl-NL"/>
        </w:rPr>
      </w:pPr>
      <w:r>
        <w:rPr>
          <w:u w:val="single"/>
          <w:lang w:eastAsia="nl-NL"/>
        </w:rPr>
        <w:tab/>
      </w:r>
      <w:r>
        <w:rPr>
          <w:u w:val="single"/>
          <w:lang w:eastAsia="nl-NL"/>
        </w:rPr>
        <w:tab/>
      </w:r>
      <w:r>
        <w:rPr>
          <w:u w:val="single"/>
          <w:lang w:eastAsia="nl-NL"/>
        </w:rPr>
        <w:tab/>
      </w:r>
    </w:p>
    <w:sectPr w:rsidR="00D14607" w:rsidRPr="00D14607" w:rsidSect="00D1460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9E" w:rsidRDefault="00E3529E" w:rsidP="002E0688">
      <w:pPr>
        <w:spacing w:line="240" w:lineRule="auto"/>
      </w:pPr>
      <w:r>
        <w:separator/>
      </w:r>
    </w:p>
  </w:endnote>
  <w:endnote w:type="continuationSeparator" w:id="0">
    <w:p w:rsidR="00E3529E" w:rsidRDefault="00E3529E"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3D7BFA">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3D7BFA">
      <w:rPr>
        <w:b/>
        <w:noProof/>
        <w:sz w:val="18"/>
      </w:rPr>
      <w:t>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Default="00B73130" w:rsidP="00B73130">
    <w:pPr>
      <w:pStyle w:val="Footer"/>
      <w:jc w:val="right"/>
      <w:rPr>
        <w:b/>
        <w:sz w:val="18"/>
        <w:szCs w:val="18"/>
      </w:rPr>
    </w:pPr>
    <w:r>
      <w:rPr>
        <w:rFonts w:ascii="C39T30Lfz" w:hAnsi="C39T30Lfz"/>
        <w:b/>
        <w:noProof/>
        <w:sz w:val="56"/>
        <w:szCs w:val="18"/>
        <w:lang w:eastAsia="zh-CN"/>
      </w:rPr>
      <w:drawing>
        <wp:anchor distT="0" distB="0" distL="114300" distR="114300" simplePos="0" relativeHeight="251660288" behindDoc="0" locked="0" layoutInCell="1" allowOverlap="1">
          <wp:simplePos x="0" y="0"/>
          <wp:positionH relativeFrom="margin">
            <wp:posOffset>5469255</wp:posOffset>
          </wp:positionH>
          <wp:positionV relativeFrom="margin">
            <wp:posOffset>7908925</wp:posOffset>
          </wp:positionV>
          <wp:extent cx="638175" cy="638175"/>
          <wp:effectExtent l="0" t="0" r="9525" b="9525"/>
          <wp:wrapNone/>
          <wp:docPr id="1" name="Picture 1" descr="https://undocs.org/m2/QRCode.ashx?DS=ECE/TRANS/WP.29/GRVA/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130">
      <w:rPr>
        <w:b/>
        <w:noProof/>
        <w:sz w:val="18"/>
        <w:szCs w:val="18"/>
        <w:lang w:eastAsia="zh-CN"/>
      </w:rPr>
      <w:drawing>
        <wp:anchor distT="0" distB="0" distL="114300" distR="114300" simplePos="0" relativeHeight="251659264" behindDoc="1" locked="1" layoutInCell="1" allowOverlap="1">
          <wp:simplePos x="0" y="0"/>
          <wp:positionH relativeFrom="margin">
            <wp:posOffset>4311015</wp:posOffset>
          </wp:positionH>
          <wp:positionV relativeFrom="margin">
            <wp:posOffset>8259445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73130" w:rsidRPr="00B73130" w:rsidRDefault="00B73130" w:rsidP="00B73130">
    <w:pPr>
      <w:pStyle w:val="Footer"/>
      <w:ind w:right="1134"/>
      <w:rPr>
        <w:bCs/>
        <w:sz w:val="20"/>
        <w:szCs w:val="18"/>
      </w:rPr>
    </w:pPr>
    <w:r w:rsidRPr="00B73130">
      <w:rPr>
        <w:bCs/>
        <w:sz w:val="20"/>
        <w:szCs w:val="18"/>
      </w:rPr>
      <w:t>GE.18-19718(E)</w:t>
    </w:r>
  </w:p>
  <w:p w:rsidR="00B73130" w:rsidRPr="00B73130" w:rsidRDefault="00B73130" w:rsidP="00B73130">
    <w:pPr>
      <w:pStyle w:val="Footer"/>
      <w:ind w:right="1134"/>
      <w:rPr>
        <w:rFonts w:ascii="C39T30Lfz" w:hAnsi="C39T30Lfz"/>
        <w:bCs/>
        <w:sz w:val="56"/>
        <w:szCs w:val="18"/>
      </w:rPr>
    </w:pP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r w:rsidRPr="00B73130">
      <w:rPr>
        <w:rFonts w:ascii="C39T30Lfz" w:hAnsi="C39T30Lfz"/>
        <w:bCs/>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9E" w:rsidRDefault="00E3529E" w:rsidP="002E0688">
      <w:pPr>
        <w:spacing w:line="240" w:lineRule="auto"/>
      </w:pPr>
      <w:r>
        <w:separator/>
      </w:r>
    </w:p>
  </w:footnote>
  <w:footnote w:type="continuationSeparator" w:id="0">
    <w:p w:rsidR="00E3529E" w:rsidRDefault="00E3529E" w:rsidP="002E0688">
      <w:pPr>
        <w:spacing w:line="240" w:lineRule="auto"/>
      </w:pPr>
      <w:r>
        <w:continuationSeparator/>
      </w:r>
    </w:p>
  </w:footnote>
  <w:footnote w:id="1">
    <w:p w:rsidR="00D14607" w:rsidRPr="00D14607" w:rsidRDefault="00D14607" w:rsidP="00D14607">
      <w:pPr>
        <w:pStyle w:val="FootnoteText"/>
        <w:tabs>
          <w:tab w:val="right" w:pos="1021"/>
        </w:tabs>
        <w:spacing w:line="220" w:lineRule="exact"/>
        <w:ind w:left="1134" w:right="1134" w:hanging="1134"/>
        <w:rPr>
          <w:sz w:val="18"/>
        </w:rPr>
      </w:pPr>
      <w:r>
        <w:rPr>
          <w:rStyle w:val="FootnoteReference"/>
        </w:rPr>
        <w:tab/>
      </w:r>
      <w:r w:rsidRPr="00EA475E">
        <w:rPr>
          <w:rStyle w:val="FootnoteReference"/>
        </w:rPr>
        <w:t>*</w:t>
      </w:r>
      <w:r>
        <w:rPr>
          <w:rStyle w:val="FootnoteReference"/>
        </w:rPr>
        <w:tab/>
      </w:r>
      <w:r>
        <w:t xml:space="preserve">Formerly: </w:t>
      </w:r>
      <w:r w:rsidRPr="004E120D">
        <w:rPr>
          <w:b/>
          <w:bCs/>
        </w:rPr>
        <w:t>Working Party on Brakes and Running Gear (GRRF)</w:t>
      </w:r>
      <w:r>
        <w:t>.</w:t>
      </w:r>
    </w:p>
  </w:footnote>
  <w:footnote w:id="2">
    <w:p w:rsidR="00723201" w:rsidRPr="000A4057" w:rsidRDefault="00723201" w:rsidP="00723201">
      <w:pPr>
        <w:pStyle w:val="FootnoteText"/>
        <w:tabs>
          <w:tab w:val="right" w:pos="1021"/>
        </w:tabs>
        <w:spacing w:line="220" w:lineRule="exact"/>
        <w:ind w:left="1134" w:right="1134" w:hanging="1134"/>
        <w:rPr>
          <w:rFonts w:asciiTheme="majorBidi" w:hAnsiTheme="majorBidi" w:cstheme="majorBidi"/>
          <w:sz w:val="18"/>
        </w:rPr>
      </w:pPr>
      <w:r>
        <w:rPr>
          <w:rStyle w:val="FootnoteReference"/>
        </w:rPr>
        <w:tab/>
      </w:r>
      <w:r w:rsidRPr="00EA475E">
        <w:rPr>
          <w:rStyle w:val="FootnoteReference"/>
        </w:rPr>
        <w:t>**</w:t>
      </w:r>
      <w:r w:rsidRPr="000A4057">
        <w:rPr>
          <w:rFonts w:asciiTheme="majorBidi" w:hAnsiTheme="majorBidi" w:cstheme="majorBidi"/>
        </w:rPr>
        <w:tab/>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pPr>
      <w:pStyle w:val="Header"/>
    </w:pPr>
    <w:r>
      <w:t>ECE/TRANS/WP.29/</w:t>
    </w:r>
    <w:r w:rsidR="00D14607">
      <w:t>GRVA/2019/10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07" w:rsidRDefault="00D14607" w:rsidP="00D14607">
    <w:pPr>
      <w:pStyle w:val="Header"/>
      <w:jc w:val="right"/>
    </w:pPr>
    <w:r>
      <w:t>ECE/TRANS/WP.29/GRVA/2019/10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4031B1" w:rsidRDefault="00AF59D4"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88"/>
    <w:rsid w:val="00000684"/>
    <w:rsid w:val="0001129E"/>
    <w:rsid w:val="00017D12"/>
    <w:rsid w:val="00017E3F"/>
    <w:rsid w:val="000244E1"/>
    <w:rsid w:val="00024A8D"/>
    <w:rsid w:val="00025575"/>
    <w:rsid w:val="000403ED"/>
    <w:rsid w:val="00041BBA"/>
    <w:rsid w:val="000441EB"/>
    <w:rsid w:val="00050894"/>
    <w:rsid w:val="0005436C"/>
    <w:rsid w:val="00061054"/>
    <w:rsid w:val="00074D87"/>
    <w:rsid w:val="00084608"/>
    <w:rsid w:val="000848DF"/>
    <w:rsid w:val="00087051"/>
    <w:rsid w:val="000B7C11"/>
    <w:rsid w:val="000D56EC"/>
    <w:rsid w:val="000E066F"/>
    <w:rsid w:val="000E0922"/>
    <w:rsid w:val="001445CD"/>
    <w:rsid w:val="00153362"/>
    <w:rsid w:val="00153977"/>
    <w:rsid w:val="00160821"/>
    <w:rsid w:val="00197E17"/>
    <w:rsid w:val="001B7941"/>
    <w:rsid w:val="001D5F62"/>
    <w:rsid w:val="00203854"/>
    <w:rsid w:val="0020469B"/>
    <w:rsid w:val="00233EFD"/>
    <w:rsid w:val="002616DE"/>
    <w:rsid w:val="00262D48"/>
    <w:rsid w:val="002654A8"/>
    <w:rsid w:val="002662B0"/>
    <w:rsid w:val="00270262"/>
    <w:rsid w:val="00274148"/>
    <w:rsid w:val="0027462F"/>
    <w:rsid w:val="00291E78"/>
    <w:rsid w:val="002A3989"/>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3BBC"/>
    <w:rsid w:val="00367EB6"/>
    <w:rsid w:val="00395D54"/>
    <w:rsid w:val="003966B4"/>
    <w:rsid w:val="003A11B5"/>
    <w:rsid w:val="003A6E21"/>
    <w:rsid w:val="003B0522"/>
    <w:rsid w:val="003D7BFA"/>
    <w:rsid w:val="004031B1"/>
    <w:rsid w:val="00407BB7"/>
    <w:rsid w:val="00410C64"/>
    <w:rsid w:val="00432D55"/>
    <w:rsid w:val="004516B6"/>
    <w:rsid w:val="0045441D"/>
    <w:rsid w:val="00460668"/>
    <w:rsid w:val="00463008"/>
    <w:rsid w:val="00487F27"/>
    <w:rsid w:val="0049269A"/>
    <w:rsid w:val="004A47F5"/>
    <w:rsid w:val="004D1A8B"/>
    <w:rsid w:val="004F2819"/>
    <w:rsid w:val="004F31E2"/>
    <w:rsid w:val="005074F2"/>
    <w:rsid w:val="005160B0"/>
    <w:rsid w:val="00522AE2"/>
    <w:rsid w:val="00530354"/>
    <w:rsid w:val="00536801"/>
    <w:rsid w:val="005370F1"/>
    <w:rsid w:val="0054798E"/>
    <w:rsid w:val="0055273D"/>
    <w:rsid w:val="005711E3"/>
    <w:rsid w:val="00574073"/>
    <w:rsid w:val="00577146"/>
    <w:rsid w:val="0058330E"/>
    <w:rsid w:val="0058595F"/>
    <w:rsid w:val="00594048"/>
    <w:rsid w:val="005B4E21"/>
    <w:rsid w:val="005D317D"/>
    <w:rsid w:val="005D3A57"/>
    <w:rsid w:val="005E69FB"/>
    <w:rsid w:val="005E6FA2"/>
    <w:rsid w:val="005F4553"/>
    <w:rsid w:val="006039D9"/>
    <w:rsid w:val="00616BD6"/>
    <w:rsid w:val="006316DC"/>
    <w:rsid w:val="006404C1"/>
    <w:rsid w:val="006407CE"/>
    <w:rsid w:val="006529FA"/>
    <w:rsid w:val="0065765F"/>
    <w:rsid w:val="006577D5"/>
    <w:rsid w:val="00696B34"/>
    <w:rsid w:val="006C5731"/>
    <w:rsid w:val="006D332B"/>
    <w:rsid w:val="006D44AB"/>
    <w:rsid w:val="00705AE2"/>
    <w:rsid w:val="007067F0"/>
    <w:rsid w:val="00706CC3"/>
    <w:rsid w:val="00713CE1"/>
    <w:rsid w:val="00722DE9"/>
    <w:rsid w:val="00723201"/>
    <w:rsid w:val="007306C2"/>
    <w:rsid w:val="00743763"/>
    <w:rsid w:val="00766DE9"/>
    <w:rsid w:val="00793C46"/>
    <w:rsid w:val="007B032B"/>
    <w:rsid w:val="007B4312"/>
    <w:rsid w:val="007B5F31"/>
    <w:rsid w:val="007C21A3"/>
    <w:rsid w:val="007D2710"/>
    <w:rsid w:val="007D5B27"/>
    <w:rsid w:val="007E2B8D"/>
    <w:rsid w:val="007E4777"/>
    <w:rsid w:val="007F309D"/>
    <w:rsid w:val="008032BE"/>
    <w:rsid w:val="00823968"/>
    <w:rsid w:val="00835270"/>
    <w:rsid w:val="008420D7"/>
    <w:rsid w:val="00845BD4"/>
    <w:rsid w:val="00855DB9"/>
    <w:rsid w:val="008567F2"/>
    <w:rsid w:val="00872946"/>
    <w:rsid w:val="008919D0"/>
    <w:rsid w:val="008B31A7"/>
    <w:rsid w:val="008D3826"/>
    <w:rsid w:val="008E3F48"/>
    <w:rsid w:val="008E6E29"/>
    <w:rsid w:val="008F1427"/>
    <w:rsid w:val="008F32A4"/>
    <w:rsid w:val="008F6D27"/>
    <w:rsid w:val="0091557C"/>
    <w:rsid w:val="00916A31"/>
    <w:rsid w:val="009255AB"/>
    <w:rsid w:val="00932CD4"/>
    <w:rsid w:val="00935245"/>
    <w:rsid w:val="00950AF8"/>
    <w:rsid w:val="0095196D"/>
    <w:rsid w:val="00953809"/>
    <w:rsid w:val="009662CD"/>
    <w:rsid w:val="00971F07"/>
    <w:rsid w:val="009765FF"/>
    <w:rsid w:val="00984A1E"/>
    <w:rsid w:val="00986CAB"/>
    <w:rsid w:val="009913E7"/>
    <w:rsid w:val="009A4102"/>
    <w:rsid w:val="009B56BD"/>
    <w:rsid w:val="009C527A"/>
    <w:rsid w:val="009D1F29"/>
    <w:rsid w:val="009D22F9"/>
    <w:rsid w:val="009E1712"/>
    <w:rsid w:val="009E24AD"/>
    <w:rsid w:val="00A02D11"/>
    <w:rsid w:val="00A1098D"/>
    <w:rsid w:val="00A25EAE"/>
    <w:rsid w:val="00A278B0"/>
    <w:rsid w:val="00A4470B"/>
    <w:rsid w:val="00A656FD"/>
    <w:rsid w:val="00A72DC9"/>
    <w:rsid w:val="00A76ECD"/>
    <w:rsid w:val="00A855D5"/>
    <w:rsid w:val="00A8560E"/>
    <w:rsid w:val="00AB19E7"/>
    <w:rsid w:val="00AD54AF"/>
    <w:rsid w:val="00AD6623"/>
    <w:rsid w:val="00AD7381"/>
    <w:rsid w:val="00AE6B5C"/>
    <w:rsid w:val="00AF176D"/>
    <w:rsid w:val="00AF59D4"/>
    <w:rsid w:val="00AF676C"/>
    <w:rsid w:val="00B0170E"/>
    <w:rsid w:val="00B0716F"/>
    <w:rsid w:val="00B119D5"/>
    <w:rsid w:val="00B243DE"/>
    <w:rsid w:val="00B34539"/>
    <w:rsid w:val="00B345C7"/>
    <w:rsid w:val="00B44DD2"/>
    <w:rsid w:val="00B523E6"/>
    <w:rsid w:val="00B61C2B"/>
    <w:rsid w:val="00B73130"/>
    <w:rsid w:val="00B80CBC"/>
    <w:rsid w:val="00B9345B"/>
    <w:rsid w:val="00B9638C"/>
    <w:rsid w:val="00BA138E"/>
    <w:rsid w:val="00BA22DF"/>
    <w:rsid w:val="00BB2714"/>
    <w:rsid w:val="00BC701D"/>
    <w:rsid w:val="00BE2473"/>
    <w:rsid w:val="00BE7DDC"/>
    <w:rsid w:val="00BF156E"/>
    <w:rsid w:val="00BF2C61"/>
    <w:rsid w:val="00BF5A9A"/>
    <w:rsid w:val="00C00D37"/>
    <w:rsid w:val="00C0583A"/>
    <w:rsid w:val="00C05C2B"/>
    <w:rsid w:val="00C07D5D"/>
    <w:rsid w:val="00C53DC6"/>
    <w:rsid w:val="00C61E43"/>
    <w:rsid w:val="00C71C03"/>
    <w:rsid w:val="00C72885"/>
    <w:rsid w:val="00C904AC"/>
    <w:rsid w:val="00C929FD"/>
    <w:rsid w:val="00CA1F03"/>
    <w:rsid w:val="00CA44C3"/>
    <w:rsid w:val="00CB5763"/>
    <w:rsid w:val="00CD79D8"/>
    <w:rsid w:val="00CE3611"/>
    <w:rsid w:val="00D07B51"/>
    <w:rsid w:val="00D13E58"/>
    <w:rsid w:val="00D14607"/>
    <w:rsid w:val="00D15003"/>
    <w:rsid w:val="00D21C64"/>
    <w:rsid w:val="00D33BA2"/>
    <w:rsid w:val="00D3573E"/>
    <w:rsid w:val="00D4548A"/>
    <w:rsid w:val="00D46574"/>
    <w:rsid w:val="00D54CF6"/>
    <w:rsid w:val="00D6033D"/>
    <w:rsid w:val="00D70990"/>
    <w:rsid w:val="00D7409E"/>
    <w:rsid w:val="00DC0026"/>
    <w:rsid w:val="00DC1AF5"/>
    <w:rsid w:val="00DC49C3"/>
    <w:rsid w:val="00DC4FEA"/>
    <w:rsid w:val="00DD4F98"/>
    <w:rsid w:val="00DD6D43"/>
    <w:rsid w:val="00DE3EBF"/>
    <w:rsid w:val="00DE4166"/>
    <w:rsid w:val="00DE4CD1"/>
    <w:rsid w:val="00DF47DC"/>
    <w:rsid w:val="00E02EE9"/>
    <w:rsid w:val="00E14DCC"/>
    <w:rsid w:val="00E20ECA"/>
    <w:rsid w:val="00E2126F"/>
    <w:rsid w:val="00E3529E"/>
    <w:rsid w:val="00E52C39"/>
    <w:rsid w:val="00E56C89"/>
    <w:rsid w:val="00E674FD"/>
    <w:rsid w:val="00E67A60"/>
    <w:rsid w:val="00EB2807"/>
    <w:rsid w:val="00EB5892"/>
    <w:rsid w:val="00EC5DF8"/>
    <w:rsid w:val="00EE7AA8"/>
    <w:rsid w:val="00F021D3"/>
    <w:rsid w:val="00F049CE"/>
    <w:rsid w:val="00F103E4"/>
    <w:rsid w:val="00F13543"/>
    <w:rsid w:val="00F1623C"/>
    <w:rsid w:val="00F20D12"/>
    <w:rsid w:val="00F3463E"/>
    <w:rsid w:val="00F4055A"/>
    <w:rsid w:val="00F62A10"/>
    <w:rsid w:val="00F71091"/>
    <w:rsid w:val="00F8005F"/>
    <w:rsid w:val="00F82B60"/>
    <w:rsid w:val="00F86733"/>
    <w:rsid w:val="00F90199"/>
    <w:rsid w:val="00F91DC5"/>
    <w:rsid w:val="00F936DC"/>
    <w:rsid w:val="00FB1F15"/>
    <w:rsid w:val="00FB2AC5"/>
    <w:rsid w:val="00FC0140"/>
    <w:rsid w:val="00FC3782"/>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28E401-3CF6-42AC-AED1-FDF9544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527A"/>
    <w:rPr>
      <w:rFonts w:ascii="Times New Roman" w:hAnsi="Times New Roman"/>
      <w:sz w:val="20"/>
      <w:lang w:val="en-US"/>
    </w:rPr>
  </w:style>
  <w:style w:type="paragraph" w:customStyle="1" w:styleId="SingleTxtG">
    <w:name w:val="_ Single Txt_G"/>
    <w:basedOn w:val="Normal"/>
    <w:link w:val="SingleTxtGChar"/>
    <w:qFormat/>
    <w:rsid w:val="009C527A"/>
    <w:pPr>
      <w:tabs>
        <w:tab w:val="left" w:pos="1701"/>
      </w:tabs>
      <w:spacing w:after="120"/>
      <w:ind w:left="1134" w:right="1134"/>
      <w:jc w:val="both"/>
    </w:pPr>
    <w:rPr>
      <w:rFonts w:eastAsiaTheme="minorHAnsi" w:cstheme="minorBidi"/>
      <w:szCs w:val="22"/>
      <w:lang w:val="en-US"/>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paragraph" w:styleId="FootnoteText">
    <w:name w:val="footnote text"/>
    <w:aliases w:val="5_G,PP,5_G_6"/>
    <w:basedOn w:val="Normal"/>
    <w:link w:val="FootnoteTextChar"/>
    <w:unhideWhenUsed/>
    <w:qFormat/>
    <w:rsid w:val="00D14607"/>
    <w:pPr>
      <w:spacing w:line="240" w:lineRule="auto"/>
    </w:pPr>
  </w:style>
  <w:style w:type="character" w:customStyle="1" w:styleId="FootnoteTextChar">
    <w:name w:val="Footnote Text Char"/>
    <w:aliases w:val="5_G Char,PP Char,5_G_6 Char"/>
    <w:basedOn w:val="DefaultParagraphFont"/>
    <w:link w:val="FootnoteText"/>
    <w:rsid w:val="00D14607"/>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rsid w:val="00D14607"/>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ECE/TRANS/WP.29/GRVA/2019/10</vt:lpstr>
      <vt:lpstr/>
      <vt:lpstr/>
    </vt:vector>
  </TitlesOfParts>
  <Company>BOSCH Group</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ECE/TRANS/WP.29/GRVA/2019/10</dc:title>
  <dc:subject>1819718</dc:subject>
  <dc:creator>Jochen Schäfer CC/PJ-RO</dc:creator>
  <cp:keywords/>
  <dc:description/>
  <cp:lastModifiedBy>Benedicte Boudol</cp:lastModifiedBy>
  <cp:revision>2</cp:revision>
  <cp:lastPrinted>2018-05-24T07:32:00Z</cp:lastPrinted>
  <dcterms:created xsi:type="dcterms:W3CDTF">2018-12-10T08:51:00Z</dcterms:created>
  <dcterms:modified xsi:type="dcterms:W3CDTF">2018-12-10T08:51:00Z</dcterms:modified>
</cp:coreProperties>
</file>