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C1446"/>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C1446" w:rsidP="00CC1446">
            <w:pPr>
              <w:jc w:val="right"/>
            </w:pPr>
            <w:r w:rsidRPr="00CC1446">
              <w:rPr>
                <w:sz w:val="40"/>
              </w:rPr>
              <w:t>ECE</w:t>
            </w:r>
            <w:r>
              <w:t>/TRANS/WP.29/GRVA/2019/26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C1446" w:rsidP="00C97039">
            <w:pPr>
              <w:spacing w:before="240"/>
            </w:pPr>
            <w:r>
              <w:t>Distr. générale</w:t>
            </w:r>
          </w:p>
          <w:p w:rsidR="00CC1446" w:rsidRDefault="00CC1446" w:rsidP="00CC1446">
            <w:pPr>
              <w:spacing w:line="240" w:lineRule="exact"/>
            </w:pPr>
            <w:r>
              <w:t>11 juillet 2019</w:t>
            </w:r>
          </w:p>
          <w:p w:rsidR="00CC1446" w:rsidRDefault="00CC1446" w:rsidP="00CC1446">
            <w:pPr>
              <w:spacing w:line="240" w:lineRule="exact"/>
            </w:pPr>
            <w:r>
              <w:t>Français</w:t>
            </w:r>
          </w:p>
          <w:p w:rsidR="00CC1446" w:rsidRPr="00DB58B5" w:rsidRDefault="00CC1446" w:rsidP="00CC144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C1446" w:rsidRPr="00B016F8" w:rsidRDefault="00CC1446" w:rsidP="00B016F8">
      <w:pPr>
        <w:spacing w:before="120"/>
        <w:rPr>
          <w:b/>
          <w:sz w:val="24"/>
          <w:szCs w:val="24"/>
        </w:rPr>
      </w:pPr>
      <w:r w:rsidRPr="00B016F8">
        <w:rPr>
          <w:b/>
          <w:sz w:val="24"/>
          <w:szCs w:val="24"/>
          <w:lang w:val="fr-FR"/>
        </w:rPr>
        <w:t xml:space="preserve">Forum mondial de l’harmonisation </w:t>
      </w:r>
      <w:r w:rsidR="00B016F8">
        <w:rPr>
          <w:b/>
          <w:sz w:val="24"/>
          <w:szCs w:val="24"/>
          <w:lang w:val="fr-FR"/>
        </w:rPr>
        <w:br/>
      </w:r>
      <w:r w:rsidRPr="00B016F8">
        <w:rPr>
          <w:b/>
          <w:sz w:val="24"/>
          <w:szCs w:val="24"/>
          <w:lang w:val="fr-FR"/>
        </w:rPr>
        <w:t>des Règlements concernant les véhicules</w:t>
      </w:r>
    </w:p>
    <w:p w:rsidR="00CC1446" w:rsidRPr="00B016F8" w:rsidRDefault="00CC1446" w:rsidP="00B016F8">
      <w:pPr>
        <w:spacing w:before="120"/>
        <w:rPr>
          <w:b/>
        </w:rPr>
      </w:pPr>
      <w:bookmarkStart w:id="0" w:name="_Hlk518466992"/>
      <w:r w:rsidRPr="00B016F8">
        <w:rPr>
          <w:b/>
          <w:lang w:val="fr-FR"/>
        </w:rPr>
        <w:t>Groupe de travail des véhicules automatisés/autonomes et connectés</w:t>
      </w:r>
      <w:bookmarkEnd w:id="0"/>
      <w:r w:rsidR="000B1B84" w:rsidRPr="000B1B84">
        <w:rPr>
          <w:rStyle w:val="Appelnotedebasdep"/>
          <w:sz w:val="20"/>
          <w:vertAlign w:val="baseline"/>
        </w:rPr>
        <w:footnoteReference w:customMarkFollows="1" w:id="2"/>
        <w:t>*</w:t>
      </w:r>
    </w:p>
    <w:p w:rsidR="00CC1446" w:rsidRPr="00DC228B" w:rsidRDefault="00CC1446" w:rsidP="00DC228B">
      <w:pPr>
        <w:spacing w:before="120"/>
        <w:rPr>
          <w:b/>
        </w:rPr>
      </w:pPr>
      <w:r w:rsidRPr="00DC228B">
        <w:rPr>
          <w:b/>
          <w:lang w:val="fr-FR"/>
        </w:rPr>
        <w:t>Quatrième session</w:t>
      </w:r>
    </w:p>
    <w:p w:rsidR="00CC1446" w:rsidRPr="00CC1446" w:rsidRDefault="00CC1446" w:rsidP="00B016F8">
      <w:r w:rsidRPr="00CC1446">
        <w:rPr>
          <w:lang w:val="fr-FR"/>
        </w:rPr>
        <w:t>Genève, 24-27 septembre 2019</w:t>
      </w:r>
    </w:p>
    <w:p w:rsidR="00CC1446" w:rsidRPr="00CC1446" w:rsidRDefault="00CC1446" w:rsidP="00B016F8">
      <w:r w:rsidRPr="00CC1446">
        <w:rPr>
          <w:lang w:val="fr-FR"/>
        </w:rPr>
        <w:t>Point 6 a) de l’ordre du jour provisoire</w:t>
      </w:r>
    </w:p>
    <w:p w:rsidR="00CC1446" w:rsidRPr="00B016F8" w:rsidRDefault="00CC1446" w:rsidP="00B016F8">
      <w:pPr>
        <w:rPr>
          <w:b/>
        </w:rPr>
      </w:pPr>
      <w:r w:rsidRPr="00B016F8">
        <w:rPr>
          <w:b/>
          <w:lang w:val="fr-FR"/>
        </w:rPr>
        <w:t>Règlement ONU n</w:t>
      </w:r>
      <w:r w:rsidRPr="00B016F8">
        <w:rPr>
          <w:b/>
          <w:vertAlign w:val="superscript"/>
          <w:lang w:val="fr-FR"/>
        </w:rPr>
        <w:t>o</w:t>
      </w:r>
      <w:r w:rsidRPr="00B016F8">
        <w:rPr>
          <w:b/>
          <w:lang w:val="fr-FR"/>
        </w:rPr>
        <w:t xml:space="preserve"> 79 : </w:t>
      </w:r>
      <w:r w:rsidR="00B016F8" w:rsidRPr="00B016F8">
        <w:rPr>
          <w:b/>
          <w:lang w:val="fr-FR"/>
        </w:rPr>
        <w:br/>
      </w:r>
      <w:r w:rsidRPr="00B016F8">
        <w:rPr>
          <w:b/>
          <w:lang w:val="fr-FR"/>
        </w:rPr>
        <w:t>Fonction de direction à commande automatique</w:t>
      </w:r>
    </w:p>
    <w:p w:rsidR="00CC1446" w:rsidRPr="00CC1446" w:rsidRDefault="00CC1446" w:rsidP="00B016F8">
      <w:pPr>
        <w:pStyle w:val="HChG"/>
      </w:pPr>
      <w:r w:rsidRPr="00CC1446">
        <w:rPr>
          <w:lang w:val="fr-FR"/>
        </w:rPr>
        <w:tab/>
      </w:r>
      <w:r w:rsidRPr="00CC1446">
        <w:rPr>
          <w:lang w:val="fr-FR"/>
        </w:rPr>
        <w:tab/>
        <w:t xml:space="preserve">Proposition d’amendements à la série 03 d’amendements </w:t>
      </w:r>
      <w:r w:rsidR="00B016F8">
        <w:rPr>
          <w:lang w:val="fr-FR"/>
        </w:rPr>
        <w:br/>
      </w:r>
      <w:r w:rsidRPr="00CC1446">
        <w:rPr>
          <w:lang w:val="fr-FR"/>
        </w:rPr>
        <w:t>au Règlement ONU n</w:t>
      </w:r>
      <w:r w:rsidRPr="00CC1446">
        <w:rPr>
          <w:vertAlign w:val="superscript"/>
          <w:lang w:val="fr-FR"/>
        </w:rPr>
        <w:t>o</w:t>
      </w:r>
      <w:r w:rsidRPr="00CC1446">
        <w:rPr>
          <w:lang w:val="fr-FR"/>
        </w:rPr>
        <w:t> 79 (Équipement de direction)</w:t>
      </w:r>
    </w:p>
    <w:p w:rsidR="00CC1446" w:rsidRPr="00CC1446" w:rsidRDefault="00CC1446" w:rsidP="00B016F8">
      <w:pPr>
        <w:pStyle w:val="H1G"/>
        <w:rPr>
          <w:lang w:val="fr-FR"/>
        </w:rPr>
      </w:pPr>
      <w:r w:rsidRPr="00CC1446">
        <w:rPr>
          <w:lang w:val="fr-FR"/>
        </w:rPr>
        <w:tab/>
      </w:r>
      <w:r w:rsidRPr="00CC1446">
        <w:rPr>
          <w:lang w:val="fr-FR"/>
        </w:rPr>
        <w:tab/>
        <w:t xml:space="preserve">Communication de l’expert de l’Association des véhicules </w:t>
      </w:r>
      <w:r w:rsidR="00B016F8">
        <w:rPr>
          <w:lang w:val="fr-FR"/>
        </w:rPr>
        <w:br/>
      </w:r>
      <w:r w:rsidRPr="00CC1446">
        <w:rPr>
          <w:lang w:val="fr-FR"/>
        </w:rPr>
        <w:t>électriques routiers européens</w:t>
      </w:r>
      <w:r w:rsidR="000B1B84" w:rsidRPr="00DC228B">
        <w:rPr>
          <w:rStyle w:val="Appelnotedebasdep"/>
          <w:b w:val="0"/>
          <w:sz w:val="20"/>
          <w:vertAlign w:val="baseline"/>
        </w:rPr>
        <w:footnoteReference w:customMarkFollows="1" w:id="3"/>
        <w:t>**</w:t>
      </w:r>
    </w:p>
    <w:p w:rsidR="00CC1446" w:rsidRDefault="00CC1446" w:rsidP="00B016F8">
      <w:pPr>
        <w:pStyle w:val="SingleTxtG"/>
        <w:ind w:firstLine="567"/>
        <w:rPr>
          <w:lang w:val="fr-FR"/>
        </w:rPr>
      </w:pPr>
      <w:r w:rsidRPr="00CC1446">
        <w:rPr>
          <w:lang w:val="fr-FR"/>
        </w:rPr>
        <w:t>Le texte ci-après a été établi par l’expert de l’Association des véhicules électriques routiers européens (AVERE) et a pour objet d’introduire un amendement au Règlement ONU n</w:t>
      </w:r>
      <w:r w:rsidRPr="00CC1446">
        <w:rPr>
          <w:vertAlign w:val="superscript"/>
          <w:lang w:val="fr-FR"/>
        </w:rPr>
        <w:t>o</w:t>
      </w:r>
      <w:r w:rsidRPr="00CC1446">
        <w:rPr>
          <w:lang w:val="fr-FR"/>
        </w:rPr>
        <w:t> 79. Il vise à clarifier le texte du Règlement. Les modifications qu’il est proposé d’apporter au texte actuel du Règlement figurent en caractères gras pour les ajouts et biffés pour les suppressions.</w:t>
      </w:r>
    </w:p>
    <w:p w:rsidR="00CC1446" w:rsidRPr="00CC1446" w:rsidRDefault="00F21E2B" w:rsidP="00F21E2B">
      <w:pPr>
        <w:pStyle w:val="HChG"/>
      </w:pPr>
      <w:r>
        <w:rPr>
          <w:lang w:val="fr-FR"/>
        </w:rPr>
        <w:br w:type="page"/>
      </w:r>
      <w:r w:rsidR="00CC1446" w:rsidRPr="00CC1446">
        <w:rPr>
          <w:lang w:val="fr-FR"/>
        </w:rPr>
        <w:lastRenderedPageBreak/>
        <w:tab/>
        <w:t>I.</w:t>
      </w:r>
      <w:r w:rsidR="00CC1446" w:rsidRPr="00CC1446">
        <w:rPr>
          <w:lang w:val="fr-FR"/>
        </w:rPr>
        <w:tab/>
        <w:t>Proposition</w:t>
      </w:r>
    </w:p>
    <w:p w:rsidR="00CC1446" w:rsidRPr="00CC1446" w:rsidRDefault="00CC1446" w:rsidP="00CC1446">
      <w:pPr>
        <w:pStyle w:val="SingleTxtG"/>
        <w:rPr>
          <w:i/>
        </w:rPr>
      </w:pPr>
      <w:r w:rsidRPr="00CC1446">
        <w:rPr>
          <w:i/>
          <w:iCs/>
          <w:lang w:val="fr-FR"/>
        </w:rPr>
        <w:t>Paragraphe 5.6.2.1.3</w:t>
      </w:r>
      <w:r w:rsidRPr="00CC1446">
        <w:rPr>
          <w:lang w:val="fr-FR"/>
        </w:rPr>
        <w:t>, lire (ajouter une nouvelle disposition) :</w:t>
      </w:r>
    </w:p>
    <w:p w:rsidR="00CC1446" w:rsidRPr="00CC1446" w:rsidRDefault="00B016F8" w:rsidP="001E1E4F">
      <w:pPr>
        <w:kinsoku/>
        <w:overflowPunct/>
        <w:autoSpaceDE/>
        <w:autoSpaceDN/>
        <w:adjustRightInd/>
        <w:snapToGrid/>
        <w:spacing w:after="120" w:line="240" w:lineRule="auto"/>
        <w:ind w:left="2268" w:right="1134" w:hanging="1134"/>
        <w:jc w:val="both"/>
      </w:pPr>
      <w:r>
        <w:rPr>
          <w:lang w:val="fr-FR"/>
        </w:rPr>
        <w:t>« </w:t>
      </w:r>
      <w:r w:rsidR="00CC1446" w:rsidRPr="00CC1446">
        <w:rPr>
          <w:lang w:val="fr-FR"/>
        </w:rPr>
        <w:t>5.6.2.1.3</w:t>
      </w:r>
      <w:r w:rsidR="00CC1446" w:rsidRPr="00CC1446">
        <w:rPr>
          <w:lang w:val="fr-FR"/>
        </w:rPr>
        <w:tab/>
        <w:t>Le système doit être conçu de façon à empêcher, pendant son utilisation, toute intervention excessive de la commande de direction, afin que le conducteur puisse en garder la maîtrise et pour éviter tout comportement imprévu du véhicule. À cette fin, il doit être satisfait aux prescriptions ci</w:t>
      </w:r>
      <w:r>
        <w:rPr>
          <w:lang w:val="fr-FR"/>
        </w:rPr>
        <w:noBreakHyphen/>
      </w:r>
      <w:r w:rsidR="00CC1446" w:rsidRPr="00CC1446">
        <w:rPr>
          <w:lang w:val="fr-FR"/>
        </w:rPr>
        <w:t>après :</w:t>
      </w:r>
    </w:p>
    <w:p w:rsidR="00CC1446" w:rsidRPr="00CC1446" w:rsidRDefault="00CC1446" w:rsidP="00B016F8">
      <w:pPr>
        <w:kinsoku/>
        <w:overflowPunct/>
        <w:autoSpaceDE/>
        <w:autoSpaceDN/>
        <w:adjustRightInd/>
        <w:snapToGrid/>
        <w:spacing w:after="120" w:line="240" w:lineRule="auto"/>
        <w:ind w:left="2268" w:right="1134"/>
        <w:jc w:val="both"/>
      </w:pPr>
      <w:r w:rsidRPr="00CC1446">
        <w:rPr>
          <w:lang w:val="fr-FR"/>
        </w:rPr>
        <w:t>a)</w:t>
      </w:r>
      <w:r w:rsidRPr="00CC1446">
        <w:rPr>
          <w:lang w:val="fr-FR"/>
        </w:rPr>
        <w:tab/>
        <w:t>La force à exercer sur la commande de direction pour neutraliser le contrôle de la trajectoire effectué par le système ne doit pas être supérieure à 50</w:t>
      </w:r>
      <w:r w:rsidR="00B016F8">
        <w:rPr>
          <w:lang w:val="fr-FR"/>
        </w:rPr>
        <w:t> </w:t>
      </w:r>
      <w:r w:rsidRPr="00CC1446">
        <w:rPr>
          <w:lang w:val="fr-FR"/>
        </w:rPr>
        <w:t>N</w:t>
      </w:r>
      <w:r w:rsidR="00B016F8">
        <w:rPr>
          <w:lang w:val="fr-FR"/>
        </w:rPr>
        <w:t> </w:t>
      </w:r>
      <w:r w:rsidRPr="00CC1446">
        <w:rPr>
          <w:lang w:val="fr-FR"/>
        </w:rPr>
        <w:t>;</w:t>
      </w:r>
    </w:p>
    <w:p w:rsidR="00CC1446" w:rsidRPr="00CC1446" w:rsidRDefault="00CC1446" w:rsidP="00B016F8">
      <w:pPr>
        <w:kinsoku/>
        <w:overflowPunct/>
        <w:autoSpaceDE/>
        <w:autoSpaceDN/>
        <w:adjustRightInd/>
        <w:snapToGrid/>
        <w:spacing w:after="120" w:line="240" w:lineRule="auto"/>
        <w:ind w:left="2268" w:right="1134"/>
        <w:jc w:val="both"/>
      </w:pPr>
      <w:r w:rsidRPr="00CC1446">
        <w:rPr>
          <w:lang w:val="fr-FR"/>
        </w:rPr>
        <w:t>b)</w:t>
      </w:r>
      <w:r w:rsidRPr="00CC1446">
        <w:rPr>
          <w:lang w:val="fr-FR"/>
        </w:rPr>
        <w:tab/>
        <w:t>L’accélération latérale maximale indiquée, ay</w:t>
      </w:r>
      <w:r w:rsidRPr="00CC1446">
        <w:rPr>
          <w:vertAlign w:val="subscript"/>
          <w:lang w:val="fr-FR"/>
        </w:rPr>
        <w:t>smax</w:t>
      </w:r>
      <w:r w:rsidRPr="00CC1446">
        <w:rPr>
          <w:lang w:val="fr-FR"/>
        </w:rPr>
        <w:t>, doit se situer dans les limites définies dans le tableau suivant.</w:t>
      </w:r>
    </w:p>
    <w:p w:rsidR="00CC1446" w:rsidRPr="00862156" w:rsidRDefault="00CC1446" w:rsidP="004F7E3C">
      <w:pPr>
        <w:pStyle w:val="Titre1"/>
        <w:spacing w:after="120"/>
        <w:ind w:left="2268"/>
        <w:rPr>
          <w:b/>
          <w:vertAlign w:val="subscript"/>
        </w:rPr>
      </w:pPr>
      <w:r w:rsidRPr="00CC1446">
        <w:rPr>
          <w:lang w:val="fr-FR"/>
        </w:rPr>
        <w:t>Tableau 1</w:t>
      </w:r>
      <w:r w:rsidRPr="00CC1446">
        <w:rPr>
          <w:lang w:val="fr-FR"/>
        </w:rPr>
        <w:br/>
      </w:r>
      <w:r w:rsidRPr="00862156">
        <w:rPr>
          <w:b/>
          <w:lang w:val="fr-FR"/>
        </w:rPr>
        <w:t>Pour les véhicules des catégories M</w:t>
      </w:r>
      <w:r w:rsidRPr="0077730F">
        <w:rPr>
          <w:b/>
          <w:vertAlign w:val="subscript"/>
          <w:lang w:val="fr-FR"/>
        </w:rPr>
        <w:t>1</w:t>
      </w:r>
      <w:r w:rsidRPr="00862156">
        <w:rPr>
          <w:b/>
          <w:lang w:val="fr-FR"/>
        </w:rPr>
        <w:t xml:space="preserve"> et N</w:t>
      </w:r>
      <w:r w:rsidRPr="0077730F">
        <w:rPr>
          <w:b/>
          <w:vertAlign w:val="subscript"/>
          <w:lang w:val="fr-FR"/>
        </w:rPr>
        <w:t>1</w:t>
      </w:r>
    </w:p>
    <w:tbl>
      <w:tblPr>
        <w:tblW w:w="7371" w:type="dxa"/>
        <w:tblInd w:w="2268" w:type="dxa"/>
        <w:tblLayout w:type="fixed"/>
        <w:tblCellMar>
          <w:left w:w="0" w:type="dxa"/>
          <w:right w:w="0" w:type="dxa"/>
        </w:tblCellMar>
        <w:tblLook w:val="04A0" w:firstRow="1" w:lastRow="0" w:firstColumn="1" w:lastColumn="0" w:noHBand="0" w:noVBand="1"/>
      </w:tblPr>
      <w:tblGrid>
        <w:gridCol w:w="2551"/>
        <w:gridCol w:w="1205"/>
        <w:gridCol w:w="1205"/>
        <w:gridCol w:w="1205"/>
        <w:gridCol w:w="1205"/>
      </w:tblGrid>
      <w:tr w:rsidR="00862156" w:rsidRPr="00862156" w:rsidTr="00AB51C5">
        <w:trPr>
          <w:tblHeader/>
        </w:trPr>
        <w:tc>
          <w:tcPr>
            <w:tcW w:w="252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CC1446" w:rsidRPr="00862156" w:rsidRDefault="00CC1446" w:rsidP="008C4786">
            <w:pPr>
              <w:spacing w:before="80" w:after="80" w:line="200" w:lineRule="exact"/>
              <w:jc w:val="center"/>
              <w:rPr>
                <w:i/>
                <w:sz w:val="16"/>
              </w:rPr>
            </w:pPr>
            <w:r w:rsidRPr="00862156">
              <w:rPr>
                <w:i/>
                <w:sz w:val="16"/>
                <w:lang w:val="fr-FR"/>
              </w:rPr>
              <w:t>Plage de vitesses</w:t>
            </w:r>
          </w:p>
        </w:tc>
        <w:tc>
          <w:tcPr>
            <w:tcW w:w="1191"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CC1446" w:rsidRPr="00862156" w:rsidRDefault="00CC1446" w:rsidP="008C4786">
            <w:pPr>
              <w:spacing w:before="80" w:after="80" w:line="200" w:lineRule="exact"/>
              <w:jc w:val="center"/>
              <w:rPr>
                <w:i/>
                <w:sz w:val="16"/>
              </w:rPr>
            </w:pPr>
            <w:r w:rsidRPr="00862156">
              <w:rPr>
                <w:i/>
                <w:sz w:val="16"/>
                <w:lang w:val="fr-FR"/>
              </w:rPr>
              <w:t>10-60 km/h</w:t>
            </w:r>
          </w:p>
        </w:tc>
        <w:tc>
          <w:tcPr>
            <w:tcW w:w="1191"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CC1446" w:rsidRPr="00862156" w:rsidRDefault="00CC1446" w:rsidP="008C4786">
            <w:pPr>
              <w:spacing w:before="80" w:after="80" w:line="200" w:lineRule="exact"/>
              <w:jc w:val="center"/>
              <w:rPr>
                <w:i/>
                <w:sz w:val="16"/>
              </w:rPr>
            </w:pPr>
            <w:r w:rsidRPr="00862156">
              <w:rPr>
                <w:i/>
                <w:sz w:val="16"/>
                <w:lang w:val="fr-FR"/>
              </w:rPr>
              <w:t>&gt;</w:t>
            </w:r>
            <w:r w:rsidR="00AB51C5">
              <w:rPr>
                <w:i/>
                <w:sz w:val="16"/>
                <w:lang w:val="fr-FR"/>
              </w:rPr>
              <w:t xml:space="preserve"> </w:t>
            </w:r>
            <w:r w:rsidRPr="00862156">
              <w:rPr>
                <w:i/>
                <w:sz w:val="16"/>
                <w:lang w:val="fr-FR"/>
              </w:rPr>
              <w:t>60-100 km/h</w:t>
            </w:r>
          </w:p>
        </w:tc>
        <w:tc>
          <w:tcPr>
            <w:tcW w:w="1191"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CC1446" w:rsidRPr="00862156" w:rsidRDefault="00CC1446" w:rsidP="008C4786">
            <w:pPr>
              <w:spacing w:before="80" w:after="80" w:line="200" w:lineRule="exact"/>
              <w:jc w:val="center"/>
              <w:rPr>
                <w:i/>
                <w:sz w:val="16"/>
              </w:rPr>
            </w:pPr>
            <w:r w:rsidRPr="00862156">
              <w:rPr>
                <w:i/>
                <w:sz w:val="16"/>
                <w:lang w:val="fr-FR"/>
              </w:rPr>
              <w:t>&gt;</w:t>
            </w:r>
            <w:r w:rsidR="00AB51C5">
              <w:rPr>
                <w:i/>
                <w:sz w:val="16"/>
                <w:lang w:val="fr-FR"/>
              </w:rPr>
              <w:t xml:space="preserve"> </w:t>
            </w:r>
            <w:r w:rsidRPr="00862156">
              <w:rPr>
                <w:i/>
                <w:sz w:val="16"/>
                <w:lang w:val="fr-FR"/>
              </w:rPr>
              <w:t>100-130 km/h</w:t>
            </w:r>
          </w:p>
        </w:tc>
        <w:tc>
          <w:tcPr>
            <w:tcW w:w="1191"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CC1446" w:rsidRPr="00862156" w:rsidRDefault="00CC1446" w:rsidP="008C4786">
            <w:pPr>
              <w:spacing w:before="80" w:after="80" w:line="200" w:lineRule="exact"/>
              <w:jc w:val="center"/>
              <w:rPr>
                <w:i/>
                <w:sz w:val="16"/>
              </w:rPr>
            </w:pPr>
            <w:r w:rsidRPr="00862156">
              <w:rPr>
                <w:i/>
                <w:sz w:val="16"/>
                <w:lang w:val="fr-FR"/>
              </w:rPr>
              <w:t>&gt;</w:t>
            </w:r>
            <w:r w:rsidR="00AB51C5">
              <w:rPr>
                <w:i/>
                <w:sz w:val="16"/>
                <w:lang w:val="fr-FR"/>
              </w:rPr>
              <w:t xml:space="preserve"> </w:t>
            </w:r>
            <w:r w:rsidRPr="00862156">
              <w:rPr>
                <w:i/>
                <w:sz w:val="16"/>
                <w:lang w:val="fr-FR"/>
              </w:rPr>
              <w:t>130 km/h</w:t>
            </w:r>
          </w:p>
        </w:tc>
      </w:tr>
      <w:tr w:rsidR="00B87814" w:rsidRPr="00862156" w:rsidTr="00AB51C5">
        <w:trPr>
          <w:trHeight w:hRule="exact" w:val="113"/>
        </w:trPr>
        <w:tc>
          <w:tcPr>
            <w:tcW w:w="2523" w:type="dxa"/>
            <w:tcBorders>
              <w:top w:val="single" w:sz="12" w:space="0" w:color="auto"/>
              <w:left w:val="single" w:sz="4" w:space="0" w:color="auto"/>
              <w:right w:val="single" w:sz="4" w:space="0" w:color="auto"/>
            </w:tcBorders>
            <w:shd w:val="clear" w:color="auto" w:fill="auto"/>
            <w:noWrap/>
          </w:tcPr>
          <w:p w:rsidR="00862156" w:rsidRPr="00862156" w:rsidRDefault="00862156" w:rsidP="007D5366">
            <w:pPr>
              <w:spacing w:before="40" w:after="120"/>
              <w:rPr>
                <w:lang w:val="fr-FR"/>
              </w:rPr>
            </w:pPr>
          </w:p>
        </w:tc>
        <w:tc>
          <w:tcPr>
            <w:tcW w:w="1191" w:type="dxa"/>
            <w:tcBorders>
              <w:top w:val="single" w:sz="12" w:space="0" w:color="auto"/>
              <w:left w:val="single" w:sz="4" w:space="0" w:color="auto"/>
              <w:right w:val="single" w:sz="4" w:space="0" w:color="auto"/>
            </w:tcBorders>
            <w:shd w:val="clear" w:color="auto" w:fill="auto"/>
          </w:tcPr>
          <w:p w:rsidR="00862156" w:rsidRPr="00862156" w:rsidRDefault="00862156" w:rsidP="004F7E3C">
            <w:pPr>
              <w:spacing w:before="40" w:after="120"/>
              <w:rPr>
                <w:lang w:val="fr-FR"/>
              </w:rPr>
            </w:pPr>
          </w:p>
        </w:tc>
        <w:tc>
          <w:tcPr>
            <w:tcW w:w="1191" w:type="dxa"/>
            <w:tcBorders>
              <w:top w:val="single" w:sz="12" w:space="0" w:color="auto"/>
              <w:left w:val="single" w:sz="4" w:space="0" w:color="auto"/>
              <w:right w:val="single" w:sz="4" w:space="0" w:color="auto"/>
            </w:tcBorders>
            <w:shd w:val="clear" w:color="auto" w:fill="auto"/>
          </w:tcPr>
          <w:p w:rsidR="00862156" w:rsidRPr="00862156" w:rsidRDefault="00862156" w:rsidP="004F7E3C">
            <w:pPr>
              <w:spacing w:before="40" w:after="120"/>
              <w:rPr>
                <w:lang w:val="fr-FR"/>
              </w:rPr>
            </w:pPr>
          </w:p>
        </w:tc>
        <w:tc>
          <w:tcPr>
            <w:tcW w:w="1191" w:type="dxa"/>
            <w:tcBorders>
              <w:top w:val="single" w:sz="12" w:space="0" w:color="auto"/>
              <w:left w:val="single" w:sz="4" w:space="0" w:color="auto"/>
              <w:right w:val="single" w:sz="4" w:space="0" w:color="auto"/>
            </w:tcBorders>
            <w:shd w:val="clear" w:color="auto" w:fill="auto"/>
          </w:tcPr>
          <w:p w:rsidR="00862156" w:rsidRPr="00862156" w:rsidRDefault="00862156" w:rsidP="004F7E3C">
            <w:pPr>
              <w:spacing w:before="40" w:after="120"/>
              <w:rPr>
                <w:lang w:val="fr-FR"/>
              </w:rPr>
            </w:pPr>
          </w:p>
        </w:tc>
        <w:tc>
          <w:tcPr>
            <w:tcW w:w="1191" w:type="dxa"/>
            <w:tcBorders>
              <w:top w:val="single" w:sz="12" w:space="0" w:color="auto"/>
              <w:left w:val="single" w:sz="4" w:space="0" w:color="auto"/>
              <w:right w:val="single" w:sz="4" w:space="0" w:color="auto"/>
            </w:tcBorders>
            <w:shd w:val="clear" w:color="auto" w:fill="auto"/>
          </w:tcPr>
          <w:p w:rsidR="00862156" w:rsidRPr="00862156" w:rsidRDefault="00862156" w:rsidP="004F7E3C">
            <w:pPr>
              <w:spacing w:before="40" w:after="120"/>
              <w:rPr>
                <w:lang w:val="fr-FR"/>
              </w:rPr>
            </w:pPr>
          </w:p>
        </w:tc>
      </w:tr>
      <w:tr w:rsidR="00862156" w:rsidRPr="00862156" w:rsidTr="00AB51C5">
        <w:tc>
          <w:tcPr>
            <w:tcW w:w="2523" w:type="dxa"/>
            <w:tcBorders>
              <w:left w:val="single" w:sz="4" w:space="0" w:color="auto"/>
              <w:bottom w:val="single" w:sz="4" w:space="0" w:color="auto"/>
              <w:right w:val="single" w:sz="4" w:space="0" w:color="auto"/>
            </w:tcBorders>
            <w:shd w:val="clear" w:color="auto" w:fill="auto"/>
            <w:noWrap/>
            <w:hideMark/>
          </w:tcPr>
          <w:p w:rsidR="00CC1446" w:rsidRPr="00862156" w:rsidRDefault="00CC1446" w:rsidP="008C4786">
            <w:pPr>
              <w:spacing w:before="40" w:after="120"/>
              <w:ind w:left="113"/>
            </w:pPr>
            <w:r w:rsidRPr="00862156">
              <w:rPr>
                <w:lang w:val="fr-FR"/>
              </w:rPr>
              <w:t xml:space="preserve">Valeur maximale de l’accélération latérale maximale indiquée </w:t>
            </w:r>
          </w:p>
        </w:tc>
        <w:tc>
          <w:tcPr>
            <w:tcW w:w="1191" w:type="dxa"/>
            <w:tcBorders>
              <w:left w:val="single" w:sz="4" w:space="0" w:color="auto"/>
              <w:bottom w:val="single" w:sz="4" w:space="0" w:color="auto"/>
              <w:right w:val="single" w:sz="4" w:space="0" w:color="auto"/>
            </w:tcBorders>
            <w:shd w:val="clear" w:color="auto" w:fill="auto"/>
            <w:noWrap/>
            <w:vAlign w:val="center"/>
            <w:hideMark/>
          </w:tcPr>
          <w:p w:rsidR="00CC1446" w:rsidRPr="00862156" w:rsidRDefault="00CC1446" w:rsidP="00AB51C5">
            <w:pPr>
              <w:spacing w:before="40" w:after="120"/>
              <w:ind w:left="113"/>
              <w:jc w:val="center"/>
            </w:pPr>
            <w:r w:rsidRPr="00862156">
              <w:rPr>
                <w:lang w:val="fr-FR"/>
              </w:rPr>
              <w:t>3 m/s²</w:t>
            </w:r>
          </w:p>
        </w:tc>
        <w:tc>
          <w:tcPr>
            <w:tcW w:w="1191" w:type="dxa"/>
            <w:tcBorders>
              <w:left w:val="single" w:sz="4" w:space="0" w:color="auto"/>
              <w:bottom w:val="single" w:sz="4" w:space="0" w:color="auto"/>
              <w:right w:val="single" w:sz="4" w:space="0" w:color="auto"/>
            </w:tcBorders>
            <w:shd w:val="clear" w:color="auto" w:fill="auto"/>
            <w:noWrap/>
            <w:vAlign w:val="center"/>
            <w:hideMark/>
          </w:tcPr>
          <w:p w:rsidR="00CC1446" w:rsidRPr="00862156" w:rsidRDefault="00CC1446" w:rsidP="00AB51C5">
            <w:pPr>
              <w:spacing w:before="40" w:after="120"/>
              <w:ind w:left="113"/>
              <w:jc w:val="center"/>
            </w:pPr>
            <w:r w:rsidRPr="00862156">
              <w:rPr>
                <w:lang w:val="fr-FR"/>
              </w:rPr>
              <w:t>3 m/s²</w:t>
            </w:r>
          </w:p>
        </w:tc>
        <w:tc>
          <w:tcPr>
            <w:tcW w:w="1191" w:type="dxa"/>
            <w:tcBorders>
              <w:left w:val="single" w:sz="4" w:space="0" w:color="auto"/>
              <w:bottom w:val="single" w:sz="4" w:space="0" w:color="auto"/>
              <w:right w:val="single" w:sz="4" w:space="0" w:color="auto"/>
            </w:tcBorders>
            <w:shd w:val="clear" w:color="auto" w:fill="auto"/>
            <w:noWrap/>
            <w:vAlign w:val="center"/>
            <w:hideMark/>
          </w:tcPr>
          <w:p w:rsidR="00CC1446" w:rsidRPr="00862156" w:rsidRDefault="00CC1446" w:rsidP="00AB51C5">
            <w:pPr>
              <w:spacing w:before="40" w:after="120"/>
              <w:ind w:left="113"/>
              <w:jc w:val="center"/>
            </w:pPr>
            <w:r w:rsidRPr="00862156">
              <w:rPr>
                <w:lang w:val="fr-FR"/>
              </w:rPr>
              <w:t>3 m/s²</w:t>
            </w:r>
          </w:p>
        </w:tc>
        <w:tc>
          <w:tcPr>
            <w:tcW w:w="1191" w:type="dxa"/>
            <w:tcBorders>
              <w:left w:val="single" w:sz="4" w:space="0" w:color="auto"/>
              <w:bottom w:val="single" w:sz="4" w:space="0" w:color="auto"/>
              <w:right w:val="single" w:sz="4" w:space="0" w:color="auto"/>
            </w:tcBorders>
            <w:shd w:val="clear" w:color="auto" w:fill="auto"/>
            <w:noWrap/>
            <w:vAlign w:val="center"/>
            <w:hideMark/>
          </w:tcPr>
          <w:p w:rsidR="00CC1446" w:rsidRPr="00862156" w:rsidRDefault="00CC1446" w:rsidP="00AB51C5">
            <w:pPr>
              <w:spacing w:before="40" w:after="120"/>
              <w:ind w:left="113"/>
              <w:jc w:val="center"/>
            </w:pPr>
            <w:r w:rsidRPr="00862156">
              <w:rPr>
                <w:lang w:val="fr-FR"/>
              </w:rPr>
              <w:t>3 m/s²</w:t>
            </w:r>
          </w:p>
        </w:tc>
      </w:tr>
      <w:tr w:rsidR="00862156" w:rsidRPr="00862156" w:rsidTr="00AB51C5">
        <w:tc>
          <w:tcPr>
            <w:tcW w:w="2523" w:type="dxa"/>
            <w:tcBorders>
              <w:top w:val="single" w:sz="4" w:space="0" w:color="auto"/>
              <w:left w:val="single" w:sz="4" w:space="0" w:color="auto"/>
              <w:bottom w:val="single" w:sz="12" w:space="0" w:color="auto"/>
              <w:right w:val="single" w:sz="4" w:space="0" w:color="auto"/>
            </w:tcBorders>
            <w:shd w:val="clear" w:color="auto" w:fill="auto"/>
            <w:noWrap/>
            <w:hideMark/>
          </w:tcPr>
          <w:p w:rsidR="00CC1446" w:rsidRPr="00862156" w:rsidRDefault="00CC1446" w:rsidP="008C4786">
            <w:pPr>
              <w:spacing w:before="40" w:after="120"/>
              <w:ind w:left="113"/>
            </w:pPr>
            <w:r w:rsidRPr="00862156">
              <w:rPr>
                <w:lang w:val="fr-FR"/>
              </w:rPr>
              <w:t>Valeur minimale de l’accélération latérale maximale indiquée</w:t>
            </w:r>
          </w:p>
        </w:tc>
        <w:tc>
          <w:tcPr>
            <w:tcW w:w="119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CC1446" w:rsidRPr="00862156" w:rsidRDefault="00CC1446" w:rsidP="00AB51C5">
            <w:pPr>
              <w:spacing w:before="40" w:after="120"/>
              <w:ind w:left="113"/>
              <w:jc w:val="center"/>
            </w:pPr>
            <w:r w:rsidRPr="00862156">
              <w:rPr>
                <w:lang w:val="fr-FR"/>
              </w:rPr>
              <w:t>0 m/s²</w:t>
            </w:r>
          </w:p>
        </w:tc>
        <w:tc>
          <w:tcPr>
            <w:tcW w:w="119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CC1446" w:rsidRPr="00862156" w:rsidRDefault="00CC1446" w:rsidP="00AB51C5">
            <w:pPr>
              <w:spacing w:before="40" w:after="120"/>
              <w:ind w:left="113"/>
              <w:jc w:val="center"/>
            </w:pPr>
            <w:r w:rsidRPr="00862156">
              <w:rPr>
                <w:lang w:val="fr-FR"/>
              </w:rPr>
              <w:t>0,5 m/s²</w:t>
            </w:r>
          </w:p>
        </w:tc>
        <w:tc>
          <w:tcPr>
            <w:tcW w:w="119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CC1446" w:rsidRPr="00862156" w:rsidRDefault="00CC1446" w:rsidP="00AB51C5">
            <w:pPr>
              <w:spacing w:before="40" w:after="120"/>
              <w:ind w:left="113"/>
              <w:jc w:val="center"/>
            </w:pPr>
            <w:r w:rsidRPr="00862156">
              <w:rPr>
                <w:lang w:val="fr-FR"/>
              </w:rPr>
              <w:t>0,8 m/s²</w:t>
            </w:r>
          </w:p>
        </w:tc>
        <w:tc>
          <w:tcPr>
            <w:tcW w:w="119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CC1446" w:rsidRPr="00862156" w:rsidRDefault="00CC1446" w:rsidP="00AB51C5">
            <w:pPr>
              <w:spacing w:before="40" w:after="120"/>
              <w:ind w:left="113"/>
              <w:jc w:val="center"/>
            </w:pPr>
            <w:r w:rsidRPr="00862156">
              <w:rPr>
                <w:lang w:val="fr-FR"/>
              </w:rPr>
              <w:t>0,3 m/s²</w:t>
            </w:r>
          </w:p>
        </w:tc>
      </w:tr>
    </w:tbl>
    <w:p w:rsidR="00CC1446" w:rsidRPr="00CC1446" w:rsidRDefault="00CC1446" w:rsidP="004F7E3C">
      <w:pPr>
        <w:pStyle w:val="SingleTxtG"/>
        <w:spacing w:before="120"/>
        <w:ind w:left="2268"/>
        <w:rPr>
          <w:b/>
          <w:vertAlign w:val="subscript"/>
        </w:rPr>
      </w:pPr>
      <w:r w:rsidRPr="00CC1446">
        <w:rPr>
          <w:b/>
          <w:bCs/>
          <w:lang w:val="fr-FR"/>
        </w:rPr>
        <w:t>Pour les véhicules des catégories M</w:t>
      </w:r>
      <w:r w:rsidRPr="00CC1446">
        <w:rPr>
          <w:b/>
          <w:bCs/>
          <w:vertAlign w:val="subscript"/>
          <w:lang w:val="fr-FR"/>
        </w:rPr>
        <w:t>2</w:t>
      </w:r>
      <w:r w:rsidRPr="00CC1446">
        <w:rPr>
          <w:b/>
          <w:bCs/>
          <w:lang w:val="fr-FR"/>
        </w:rPr>
        <w:t>, M</w:t>
      </w:r>
      <w:r w:rsidRPr="00CC1446">
        <w:rPr>
          <w:b/>
          <w:bCs/>
          <w:vertAlign w:val="subscript"/>
          <w:lang w:val="fr-FR"/>
        </w:rPr>
        <w:t>3</w:t>
      </w:r>
      <w:r w:rsidRPr="00CC1446">
        <w:rPr>
          <w:b/>
          <w:bCs/>
          <w:lang w:val="fr-FR"/>
        </w:rPr>
        <w:t>, N</w:t>
      </w:r>
      <w:r w:rsidRPr="00CC1446">
        <w:rPr>
          <w:b/>
          <w:bCs/>
          <w:vertAlign w:val="subscript"/>
          <w:lang w:val="fr-FR"/>
        </w:rPr>
        <w:t>2</w:t>
      </w:r>
      <w:r w:rsidRPr="00CC1446">
        <w:rPr>
          <w:b/>
          <w:bCs/>
          <w:lang w:val="fr-FR"/>
        </w:rPr>
        <w:t xml:space="preserve"> et N</w:t>
      </w:r>
      <w:r w:rsidRPr="00CC1446">
        <w:rPr>
          <w:b/>
          <w:bCs/>
          <w:vertAlign w:val="subscript"/>
          <w:lang w:val="fr-FR"/>
        </w:rPr>
        <w:t>3</w:t>
      </w:r>
    </w:p>
    <w:tbl>
      <w:tblPr>
        <w:tblW w:w="6237" w:type="dxa"/>
        <w:tblInd w:w="2268" w:type="dxa"/>
        <w:tblLayout w:type="fixed"/>
        <w:tblCellMar>
          <w:left w:w="0" w:type="dxa"/>
          <w:right w:w="0" w:type="dxa"/>
        </w:tblCellMar>
        <w:tblLook w:val="04A0" w:firstRow="1" w:lastRow="0" w:firstColumn="1" w:lastColumn="0" w:noHBand="0" w:noVBand="1"/>
      </w:tblPr>
      <w:tblGrid>
        <w:gridCol w:w="2565"/>
        <w:gridCol w:w="1224"/>
        <w:gridCol w:w="1224"/>
        <w:gridCol w:w="1224"/>
      </w:tblGrid>
      <w:tr w:rsidR="00B87814" w:rsidRPr="002557BC" w:rsidTr="00AB51C5">
        <w:trPr>
          <w:tblHeader/>
        </w:trPr>
        <w:tc>
          <w:tcPr>
            <w:tcW w:w="2495"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8C4786" w:rsidRPr="002557BC" w:rsidRDefault="008C4786" w:rsidP="008C4786">
            <w:pPr>
              <w:spacing w:before="80" w:after="80" w:line="200" w:lineRule="exact"/>
              <w:jc w:val="center"/>
              <w:rPr>
                <w:i/>
                <w:sz w:val="16"/>
              </w:rPr>
            </w:pPr>
            <w:r w:rsidRPr="002557BC">
              <w:rPr>
                <w:i/>
                <w:sz w:val="16"/>
                <w:lang w:val="fr-FR"/>
              </w:rPr>
              <w:t>Plage de vitesses</w:t>
            </w:r>
          </w:p>
        </w:tc>
        <w:tc>
          <w:tcPr>
            <w:tcW w:w="1191"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C4786" w:rsidRPr="002557BC" w:rsidRDefault="008C4786" w:rsidP="008C4786">
            <w:pPr>
              <w:spacing w:before="80" w:after="80" w:line="200" w:lineRule="exact"/>
              <w:jc w:val="center"/>
              <w:rPr>
                <w:i/>
                <w:sz w:val="16"/>
              </w:rPr>
            </w:pPr>
            <w:r w:rsidRPr="002557BC">
              <w:rPr>
                <w:i/>
                <w:sz w:val="16"/>
                <w:lang w:val="fr-FR"/>
              </w:rPr>
              <w:t>10-30 km/h</w:t>
            </w:r>
          </w:p>
        </w:tc>
        <w:tc>
          <w:tcPr>
            <w:tcW w:w="1191"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C4786" w:rsidRPr="002557BC" w:rsidRDefault="008C4786" w:rsidP="008C4786">
            <w:pPr>
              <w:spacing w:before="80" w:after="80" w:line="200" w:lineRule="exact"/>
              <w:jc w:val="center"/>
              <w:rPr>
                <w:i/>
                <w:sz w:val="16"/>
              </w:rPr>
            </w:pPr>
            <w:r w:rsidRPr="002557BC">
              <w:rPr>
                <w:i/>
                <w:sz w:val="16"/>
                <w:lang w:val="fr-FR"/>
              </w:rPr>
              <w:t>&gt;</w:t>
            </w:r>
            <w:r w:rsidR="00AB51C5">
              <w:rPr>
                <w:i/>
                <w:sz w:val="16"/>
                <w:lang w:val="fr-FR"/>
              </w:rPr>
              <w:t xml:space="preserve"> </w:t>
            </w:r>
            <w:r w:rsidRPr="002557BC">
              <w:rPr>
                <w:i/>
                <w:sz w:val="16"/>
                <w:lang w:val="fr-FR"/>
              </w:rPr>
              <w:t>30-60 km/h</w:t>
            </w:r>
          </w:p>
        </w:tc>
        <w:tc>
          <w:tcPr>
            <w:tcW w:w="1191"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C4786" w:rsidRPr="002557BC" w:rsidRDefault="008C4786" w:rsidP="008C4786">
            <w:pPr>
              <w:spacing w:before="80" w:after="80" w:line="200" w:lineRule="exact"/>
              <w:jc w:val="center"/>
              <w:rPr>
                <w:i/>
                <w:sz w:val="16"/>
              </w:rPr>
            </w:pPr>
            <w:r w:rsidRPr="002557BC">
              <w:rPr>
                <w:i/>
                <w:sz w:val="16"/>
                <w:lang w:val="fr-FR"/>
              </w:rPr>
              <w:t>&gt;</w:t>
            </w:r>
            <w:r w:rsidR="00AB51C5">
              <w:rPr>
                <w:i/>
                <w:sz w:val="16"/>
                <w:lang w:val="fr-FR"/>
              </w:rPr>
              <w:t xml:space="preserve"> </w:t>
            </w:r>
            <w:r w:rsidRPr="002557BC">
              <w:rPr>
                <w:i/>
                <w:sz w:val="16"/>
                <w:lang w:val="fr-FR"/>
              </w:rPr>
              <w:t>60 km/h</w:t>
            </w:r>
          </w:p>
        </w:tc>
      </w:tr>
      <w:tr w:rsidR="00B87814" w:rsidRPr="002557BC" w:rsidTr="00AB51C5">
        <w:trPr>
          <w:trHeight w:hRule="exact" w:val="113"/>
        </w:trPr>
        <w:tc>
          <w:tcPr>
            <w:tcW w:w="2495" w:type="dxa"/>
            <w:tcBorders>
              <w:top w:val="single" w:sz="12" w:space="0" w:color="auto"/>
              <w:left w:val="single" w:sz="4" w:space="0" w:color="auto"/>
              <w:right w:val="single" w:sz="4" w:space="0" w:color="auto"/>
            </w:tcBorders>
            <w:shd w:val="clear" w:color="auto" w:fill="auto"/>
            <w:noWrap/>
          </w:tcPr>
          <w:p w:rsidR="008C4786" w:rsidRPr="002557BC" w:rsidRDefault="008C4786" w:rsidP="004F7E3C">
            <w:pPr>
              <w:spacing w:before="40" w:after="120"/>
              <w:rPr>
                <w:lang w:val="fr-FR"/>
              </w:rPr>
            </w:pPr>
          </w:p>
        </w:tc>
        <w:tc>
          <w:tcPr>
            <w:tcW w:w="1191" w:type="dxa"/>
            <w:tcBorders>
              <w:top w:val="single" w:sz="12" w:space="0" w:color="auto"/>
              <w:left w:val="single" w:sz="4" w:space="0" w:color="auto"/>
              <w:right w:val="single" w:sz="4" w:space="0" w:color="auto"/>
            </w:tcBorders>
            <w:shd w:val="clear" w:color="auto" w:fill="auto"/>
          </w:tcPr>
          <w:p w:rsidR="008C4786" w:rsidRPr="002557BC" w:rsidRDefault="008C4786" w:rsidP="004F7E3C">
            <w:pPr>
              <w:spacing w:before="40" w:after="120"/>
              <w:rPr>
                <w:lang w:val="fr-FR"/>
              </w:rPr>
            </w:pPr>
          </w:p>
        </w:tc>
        <w:tc>
          <w:tcPr>
            <w:tcW w:w="1191" w:type="dxa"/>
            <w:tcBorders>
              <w:top w:val="single" w:sz="12" w:space="0" w:color="auto"/>
              <w:left w:val="single" w:sz="4" w:space="0" w:color="auto"/>
              <w:right w:val="single" w:sz="4" w:space="0" w:color="auto"/>
            </w:tcBorders>
            <w:shd w:val="clear" w:color="auto" w:fill="auto"/>
          </w:tcPr>
          <w:p w:rsidR="008C4786" w:rsidRPr="002557BC" w:rsidRDefault="008C4786" w:rsidP="004F7E3C">
            <w:pPr>
              <w:spacing w:before="40" w:after="120"/>
              <w:rPr>
                <w:lang w:val="fr-FR"/>
              </w:rPr>
            </w:pPr>
          </w:p>
        </w:tc>
        <w:tc>
          <w:tcPr>
            <w:tcW w:w="1191" w:type="dxa"/>
            <w:tcBorders>
              <w:top w:val="single" w:sz="12" w:space="0" w:color="auto"/>
              <w:left w:val="single" w:sz="4" w:space="0" w:color="auto"/>
              <w:right w:val="single" w:sz="4" w:space="0" w:color="auto"/>
            </w:tcBorders>
            <w:shd w:val="clear" w:color="auto" w:fill="auto"/>
          </w:tcPr>
          <w:p w:rsidR="008C4786" w:rsidRPr="002557BC" w:rsidRDefault="008C4786" w:rsidP="004F7E3C">
            <w:pPr>
              <w:spacing w:before="40" w:after="120"/>
              <w:rPr>
                <w:lang w:val="fr-FR"/>
              </w:rPr>
            </w:pPr>
          </w:p>
        </w:tc>
      </w:tr>
      <w:tr w:rsidR="00B87814" w:rsidRPr="002557BC" w:rsidTr="00AB51C5">
        <w:tc>
          <w:tcPr>
            <w:tcW w:w="2495" w:type="dxa"/>
            <w:tcBorders>
              <w:left w:val="single" w:sz="4" w:space="0" w:color="auto"/>
              <w:bottom w:val="single" w:sz="4" w:space="0" w:color="auto"/>
              <w:right w:val="single" w:sz="4" w:space="0" w:color="auto"/>
            </w:tcBorders>
            <w:shd w:val="clear" w:color="auto" w:fill="auto"/>
            <w:noWrap/>
            <w:hideMark/>
          </w:tcPr>
          <w:p w:rsidR="008C4786" w:rsidRPr="002557BC" w:rsidRDefault="008C4786" w:rsidP="008C4786">
            <w:pPr>
              <w:spacing w:before="40" w:after="120"/>
              <w:ind w:left="113"/>
            </w:pPr>
            <w:r w:rsidRPr="002557BC">
              <w:rPr>
                <w:lang w:val="fr-FR"/>
              </w:rPr>
              <w:t xml:space="preserve">Valeur maximale de l’accélération latérale maximale indiquée </w:t>
            </w:r>
          </w:p>
        </w:tc>
        <w:tc>
          <w:tcPr>
            <w:tcW w:w="1191" w:type="dxa"/>
            <w:tcBorders>
              <w:left w:val="single" w:sz="4" w:space="0" w:color="auto"/>
              <w:bottom w:val="single" w:sz="4" w:space="0" w:color="auto"/>
              <w:right w:val="single" w:sz="4" w:space="0" w:color="auto"/>
            </w:tcBorders>
            <w:shd w:val="clear" w:color="auto" w:fill="auto"/>
            <w:vAlign w:val="center"/>
            <w:hideMark/>
          </w:tcPr>
          <w:p w:rsidR="008C4786" w:rsidRPr="002557BC" w:rsidRDefault="008C4786" w:rsidP="008C4786">
            <w:pPr>
              <w:spacing w:before="40" w:after="120"/>
              <w:ind w:left="113"/>
            </w:pPr>
            <w:r w:rsidRPr="002557BC">
              <w:rPr>
                <w:lang w:val="fr-FR"/>
              </w:rPr>
              <w:t>2,5 m/s²</w:t>
            </w:r>
          </w:p>
        </w:tc>
        <w:tc>
          <w:tcPr>
            <w:tcW w:w="1191" w:type="dxa"/>
            <w:tcBorders>
              <w:left w:val="single" w:sz="4" w:space="0" w:color="auto"/>
              <w:bottom w:val="single" w:sz="4" w:space="0" w:color="auto"/>
              <w:right w:val="single" w:sz="4" w:space="0" w:color="auto"/>
            </w:tcBorders>
            <w:shd w:val="clear" w:color="auto" w:fill="auto"/>
            <w:vAlign w:val="center"/>
            <w:hideMark/>
          </w:tcPr>
          <w:p w:rsidR="008C4786" w:rsidRPr="002557BC" w:rsidRDefault="008C4786" w:rsidP="008C4786">
            <w:pPr>
              <w:spacing w:before="40" w:after="120"/>
              <w:ind w:left="113"/>
            </w:pPr>
            <w:r w:rsidRPr="002557BC">
              <w:rPr>
                <w:lang w:val="fr-FR"/>
              </w:rPr>
              <w:t>2,5 m/s²</w:t>
            </w:r>
          </w:p>
        </w:tc>
        <w:tc>
          <w:tcPr>
            <w:tcW w:w="1191" w:type="dxa"/>
            <w:tcBorders>
              <w:left w:val="single" w:sz="4" w:space="0" w:color="auto"/>
              <w:bottom w:val="single" w:sz="4" w:space="0" w:color="auto"/>
              <w:right w:val="single" w:sz="4" w:space="0" w:color="auto"/>
            </w:tcBorders>
            <w:shd w:val="clear" w:color="auto" w:fill="auto"/>
            <w:vAlign w:val="center"/>
            <w:hideMark/>
          </w:tcPr>
          <w:p w:rsidR="008C4786" w:rsidRPr="002557BC" w:rsidRDefault="008C4786" w:rsidP="008C4786">
            <w:pPr>
              <w:spacing w:before="40" w:after="120"/>
              <w:ind w:left="113"/>
            </w:pPr>
            <w:r w:rsidRPr="002557BC">
              <w:rPr>
                <w:lang w:val="fr-FR"/>
              </w:rPr>
              <w:t>2,5 m/s²</w:t>
            </w:r>
          </w:p>
        </w:tc>
      </w:tr>
      <w:tr w:rsidR="00B87814" w:rsidRPr="002557BC" w:rsidTr="00AB51C5">
        <w:tc>
          <w:tcPr>
            <w:tcW w:w="2495" w:type="dxa"/>
            <w:tcBorders>
              <w:top w:val="single" w:sz="4" w:space="0" w:color="auto"/>
              <w:left w:val="single" w:sz="4" w:space="0" w:color="auto"/>
              <w:bottom w:val="single" w:sz="12" w:space="0" w:color="auto"/>
              <w:right w:val="single" w:sz="4" w:space="0" w:color="auto"/>
            </w:tcBorders>
            <w:shd w:val="clear" w:color="auto" w:fill="auto"/>
            <w:noWrap/>
            <w:hideMark/>
          </w:tcPr>
          <w:p w:rsidR="008C4786" w:rsidRPr="002557BC" w:rsidRDefault="008C4786" w:rsidP="008C4786">
            <w:pPr>
              <w:spacing w:before="40" w:after="120"/>
              <w:ind w:left="113"/>
            </w:pPr>
            <w:r w:rsidRPr="002557BC">
              <w:rPr>
                <w:lang w:val="fr-FR"/>
              </w:rPr>
              <w:t>Valeur minimale de l’accélération latérale maximale indiquée</w:t>
            </w:r>
          </w:p>
        </w:tc>
        <w:tc>
          <w:tcPr>
            <w:tcW w:w="119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C4786" w:rsidRPr="002557BC" w:rsidRDefault="008C4786" w:rsidP="008C4786">
            <w:pPr>
              <w:spacing w:before="40" w:after="120"/>
              <w:ind w:left="113"/>
            </w:pPr>
            <w:r w:rsidRPr="002557BC">
              <w:rPr>
                <w:lang w:val="fr-FR"/>
              </w:rPr>
              <w:t>0 m/s²</w:t>
            </w:r>
          </w:p>
        </w:tc>
        <w:tc>
          <w:tcPr>
            <w:tcW w:w="11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8C4786" w:rsidRPr="002557BC" w:rsidRDefault="008C4786" w:rsidP="008C4786">
            <w:pPr>
              <w:spacing w:before="40" w:after="120"/>
              <w:ind w:left="113"/>
            </w:pPr>
            <w:r w:rsidRPr="002557BC">
              <w:rPr>
                <w:lang w:val="fr-FR"/>
              </w:rPr>
              <w:t>0,3 m/s²</w:t>
            </w:r>
          </w:p>
        </w:tc>
        <w:tc>
          <w:tcPr>
            <w:tcW w:w="11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8C4786" w:rsidRPr="002557BC" w:rsidRDefault="008C4786" w:rsidP="008C4786">
            <w:pPr>
              <w:spacing w:before="40" w:after="120"/>
              <w:ind w:left="113"/>
            </w:pPr>
            <w:r w:rsidRPr="002557BC">
              <w:rPr>
                <w:lang w:val="fr-FR"/>
              </w:rPr>
              <w:t>0,5 m/s²</w:t>
            </w:r>
          </w:p>
        </w:tc>
      </w:tr>
    </w:tbl>
    <w:p w:rsidR="00CC1446" w:rsidRPr="00CC1446" w:rsidRDefault="00CC1446" w:rsidP="00950C21">
      <w:pPr>
        <w:pStyle w:val="SingleTxtG"/>
        <w:spacing w:before="120"/>
        <w:ind w:left="2268"/>
        <w:rPr>
          <w:lang w:val="fr-FR"/>
        </w:rPr>
      </w:pPr>
      <w:r w:rsidRPr="00CC1446">
        <w:rPr>
          <w:b/>
          <w:bCs/>
          <w:lang w:val="fr-FR"/>
        </w:rPr>
        <w:t>c)</w:t>
      </w:r>
      <w:r w:rsidRPr="00CC1446">
        <w:rPr>
          <w:lang w:val="fr-FR"/>
        </w:rPr>
        <w:tab/>
      </w:r>
      <w:r w:rsidRPr="00CC1446">
        <w:rPr>
          <w:b/>
          <w:bCs/>
          <w:lang w:val="fr-FR"/>
        </w:rPr>
        <w:t>Nonobstant les dispositions de l’alinéa b), l’accélération latérale maximale autorisée pour les véhicules des catégories M</w:t>
      </w:r>
      <w:r w:rsidRPr="00CC1446">
        <w:rPr>
          <w:b/>
          <w:bCs/>
          <w:vertAlign w:val="subscript"/>
          <w:lang w:val="fr-FR"/>
        </w:rPr>
        <w:t>1</w:t>
      </w:r>
      <w:r w:rsidRPr="00CC1446">
        <w:rPr>
          <w:b/>
          <w:bCs/>
          <w:lang w:val="fr-FR"/>
        </w:rPr>
        <w:t xml:space="preserve"> et N</w:t>
      </w:r>
      <w:r w:rsidRPr="00CC1446">
        <w:rPr>
          <w:b/>
          <w:bCs/>
          <w:vertAlign w:val="subscript"/>
          <w:lang w:val="fr-FR"/>
        </w:rPr>
        <w:t>1</w:t>
      </w:r>
      <w:r w:rsidRPr="00CC1446">
        <w:rPr>
          <w:b/>
          <w:bCs/>
          <w:lang w:val="fr-FR"/>
        </w:rPr>
        <w:t xml:space="preserve"> peut être portée aux valeurs suivantes si le système est capable de maintenir une position centrée dans la voie et de détecter les conditions météorologiques (neige, pluie, glace) qui pourraient nuire aux performances du véhicule :</w:t>
      </w:r>
    </w:p>
    <w:p w:rsidR="00CC1446" w:rsidRPr="00CC1446" w:rsidRDefault="00CC1446" w:rsidP="004F7E3C">
      <w:pPr>
        <w:pStyle w:val="SingleTxtG"/>
        <w:spacing w:before="120"/>
        <w:ind w:left="2268"/>
        <w:rPr>
          <w:b/>
          <w:bCs/>
          <w:lang w:val="fr-FR"/>
        </w:rPr>
      </w:pPr>
      <w:r w:rsidRPr="00CC1446">
        <w:rPr>
          <w:b/>
          <w:bCs/>
          <w:lang w:val="fr-FR"/>
        </w:rPr>
        <w:t>4</w:t>
      </w:r>
      <w:r w:rsidR="00DC228B">
        <w:rPr>
          <w:b/>
          <w:bCs/>
          <w:lang w:val="fr-FR"/>
        </w:rPr>
        <w:t> </w:t>
      </w:r>
      <w:r w:rsidRPr="00CC1446">
        <w:rPr>
          <w:b/>
          <w:bCs/>
          <w:lang w:val="fr-FR"/>
        </w:rPr>
        <w:t>m/s² pour toutes les plages de vitesse (10-130 km/h) avant d’entrer dans la courbe.</w:t>
      </w:r>
    </w:p>
    <w:p w:rsidR="00CC1446" w:rsidRPr="00CC1446" w:rsidRDefault="00CC1446" w:rsidP="004F7E3C">
      <w:pPr>
        <w:pStyle w:val="SingleTxtG"/>
        <w:spacing w:before="120"/>
        <w:ind w:left="2268"/>
        <w:rPr>
          <w:b/>
          <w:bCs/>
        </w:rPr>
      </w:pPr>
      <w:r w:rsidRPr="00CC1446">
        <w:rPr>
          <w:b/>
          <w:bCs/>
          <w:lang w:val="fr-FR"/>
        </w:rPr>
        <w:t>Dans le cas où les conditions météorologiques affecteraient la stabilité du véhicule aux valeurs d’accélération latérale susmentionnées, les valeurs maximales indiquées à l’alinéa b) s’appliquent.</w:t>
      </w:r>
      <w:r w:rsidR="009B7846">
        <w:rPr>
          <w:b/>
          <w:bCs/>
          <w:lang w:val="fr-FR"/>
        </w:rPr>
        <w:t> </w:t>
      </w:r>
      <w:r w:rsidR="009B7846" w:rsidRPr="0020074A">
        <w:rPr>
          <w:bCs/>
          <w:lang w:val="fr-FR"/>
        </w:rPr>
        <w:t>»</w:t>
      </w:r>
      <w:r w:rsidR="0020074A" w:rsidRPr="0020074A">
        <w:rPr>
          <w:bCs/>
          <w:lang w:val="fr-FR"/>
        </w:rPr>
        <w:t>.</w:t>
      </w:r>
    </w:p>
    <w:p w:rsidR="00CC1446" w:rsidRPr="00CC1446" w:rsidRDefault="00CC1446" w:rsidP="00CC1446">
      <w:pPr>
        <w:pStyle w:val="SingleTxtG"/>
      </w:pPr>
      <w:r w:rsidRPr="00CC1446">
        <w:rPr>
          <w:i/>
          <w:iCs/>
          <w:lang w:val="fr-FR"/>
        </w:rPr>
        <w:t>Annexe 8, paragraphe 3.2.1.1</w:t>
      </w:r>
      <w:r w:rsidRPr="00CC1446">
        <w:rPr>
          <w:lang w:val="fr-FR"/>
        </w:rPr>
        <w:t>, lire :</w:t>
      </w:r>
    </w:p>
    <w:p w:rsidR="00CC1446" w:rsidRPr="00CC1446" w:rsidRDefault="004E6FA9" w:rsidP="000808D7">
      <w:pPr>
        <w:kinsoku/>
        <w:overflowPunct/>
        <w:autoSpaceDE/>
        <w:autoSpaceDN/>
        <w:adjustRightInd/>
        <w:snapToGrid/>
        <w:spacing w:after="120" w:line="240" w:lineRule="auto"/>
        <w:ind w:left="2268" w:right="1134" w:hanging="1134"/>
        <w:jc w:val="both"/>
      </w:pPr>
      <w:r>
        <w:rPr>
          <w:lang w:val="fr-FR"/>
        </w:rPr>
        <w:t>« </w:t>
      </w:r>
      <w:r w:rsidR="00CC1446" w:rsidRPr="00CC1446">
        <w:rPr>
          <w:lang w:val="fr-FR"/>
        </w:rPr>
        <w:t>3.2.1.1</w:t>
      </w:r>
      <w:r w:rsidR="00CC1446" w:rsidRPr="00CC1446">
        <w:rPr>
          <w:lang w:val="fr-FR"/>
        </w:rPr>
        <w:tab/>
        <w:t>La vitesse du véhicule doit être maintenue dans la plage comprise entre V</w:t>
      </w:r>
      <w:r w:rsidR="00CC1446" w:rsidRPr="00CC1446">
        <w:rPr>
          <w:vertAlign w:val="subscript"/>
          <w:lang w:val="fr-FR"/>
        </w:rPr>
        <w:t>smin</w:t>
      </w:r>
      <w:r w:rsidR="00CC1446" w:rsidRPr="00CC1446">
        <w:rPr>
          <w:lang w:val="fr-FR"/>
        </w:rPr>
        <w:t xml:space="preserve"> et V</w:t>
      </w:r>
      <w:r w:rsidR="00CC1446" w:rsidRPr="00CC1446">
        <w:rPr>
          <w:vertAlign w:val="subscript"/>
          <w:lang w:val="fr-FR"/>
        </w:rPr>
        <w:t>smax</w:t>
      </w:r>
      <w:r w:rsidR="00CC1446" w:rsidRPr="00CC1446">
        <w:rPr>
          <w:lang w:val="fr-FR"/>
        </w:rPr>
        <w:t>.</w:t>
      </w:r>
    </w:p>
    <w:p w:rsidR="00CC1446" w:rsidRPr="00CC1446" w:rsidRDefault="00CC1446" w:rsidP="000808D7">
      <w:pPr>
        <w:pStyle w:val="SingleTxtG"/>
        <w:kinsoku/>
        <w:overflowPunct/>
        <w:autoSpaceDE/>
        <w:autoSpaceDN/>
        <w:adjustRightInd/>
        <w:snapToGrid/>
        <w:ind w:left="2268"/>
      </w:pPr>
      <w:r w:rsidRPr="00CC1446">
        <w:rPr>
          <w:lang w:val="fr-FR"/>
        </w:rPr>
        <w:t xml:space="preserve">L’essai doit être exécuté séparément pour chaque plage de vitesses </w:t>
      </w:r>
      <w:r w:rsidRPr="00CC1446">
        <w:rPr>
          <w:b/>
          <w:bCs/>
          <w:lang w:val="fr-FR"/>
        </w:rPr>
        <w:t>(la plage de vitesses détermine la vitesse de départ)</w:t>
      </w:r>
      <w:r w:rsidRPr="00CC1446">
        <w:rPr>
          <w:lang w:val="fr-FR"/>
        </w:rPr>
        <w:t xml:space="preserve"> indiquée au paragraphe 5.6.2.1.3 </w:t>
      </w:r>
      <w:r w:rsidRPr="00CC1446">
        <w:rPr>
          <w:lang w:val="fr-FR"/>
        </w:rPr>
        <w:lastRenderedPageBreak/>
        <w:t>du présent Règlement ou dans des plages de vitesses contiguës avec la même valeur ay</w:t>
      </w:r>
      <w:r w:rsidRPr="00CC1446">
        <w:rPr>
          <w:vertAlign w:val="subscript"/>
          <w:lang w:val="fr-FR"/>
        </w:rPr>
        <w:t>smax</w:t>
      </w:r>
      <w:r w:rsidRPr="00CC1446">
        <w:rPr>
          <w:lang w:val="fr-FR"/>
        </w:rPr>
        <w:t>.</w:t>
      </w:r>
    </w:p>
    <w:p w:rsidR="00CC1446" w:rsidRPr="00CC1446" w:rsidRDefault="00CC1446" w:rsidP="000808D7">
      <w:pPr>
        <w:pStyle w:val="SingleTxtG"/>
        <w:kinsoku/>
        <w:overflowPunct/>
        <w:autoSpaceDE/>
        <w:autoSpaceDN/>
        <w:adjustRightInd/>
        <w:snapToGrid/>
        <w:ind w:left="2268"/>
        <w:rPr>
          <w:b/>
          <w:bCs/>
        </w:rPr>
      </w:pPr>
      <w:r w:rsidRPr="00CC1446">
        <w:rPr>
          <w:lang w:val="fr-FR"/>
        </w:rPr>
        <w:t xml:space="preserve">Le véhicule doit être conduit, sans que le conducteur n’exerce aucune force sur la commande de direction (par exemple, en ôtant ses mains de la commande), </w:t>
      </w:r>
      <w:r w:rsidRPr="00CC1446">
        <w:rPr>
          <w:bCs/>
          <w:strike/>
          <w:lang w:val="fr-FR"/>
        </w:rPr>
        <w:t>à une vitesse constante</w:t>
      </w:r>
      <w:r w:rsidR="004E6FA9" w:rsidRPr="0020074A">
        <w:rPr>
          <w:strike/>
          <w:lang w:val="fr-FR"/>
        </w:rPr>
        <w:t xml:space="preserve"> </w:t>
      </w:r>
      <w:r w:rsidRPr="00CC1446">
        <w:rPr>
          <w:lang w:val="fr-FR"/>
        </w:rPr>
        <w:t xml:space="preserve">sur une piste incurvée comportant des marques routières de chaque côté de la voie. </w:t>
      </w:r>
      <w:r w:rsidRPr="00CC1446">
        <w:rPr>
          <w:b/>
          <w:bCs/>
          <w:lang w:val="fr-FR"/>
        </w:rPr>
        <w:t>Le véhicule est autorisé à changer de vitesse à tout moment avant ou pendant la courbe pour respecter les limites maximales d’accélération latérale spécifiées au paragraphe 5.6.2.1.3.</w:t>
      </w:r>
    </w:p>
    <w:p w:rsidR="00CC1446" w:rsidRPr="00CC1446" w:rsidRDefault="00CC1446" w:rsidP="000808D7">
      <w:pPr>
        <w:pStyle w:val="SingleTxtG"/>
        <w:kinsoku/>
        <w:overflowPunct/>
        <w:autoSpaceDE/>
        <w:autoSpaceDN/>
        <w:adjustRightInd/>
        <w:snapToGrid/>
        <w:ind w:left="2268"/>
      </w:pPr>
      <w:r w:rsidRPr="00CC1446">
        <w:rPr>
          <w:lang w:val="fr-FR"/>
        </w:rPr>
        <w:t>L’accélération latérale nécessaire pour suivre la courbe doit se situer entre 80</w:t>
      </w:r>
      <w:r w:rsidR="00734455">
        <w:rPr>
          <w:lang w:val="fr-FR"/>
        </w:rPr>
        <w:t> </w:t>
      </w:r>
      <w:r w:rsidRPr="00CC1446">
        <w:rPr>
          <w:lang w:val="fr-FR"/>
        </w:rPr>
        <w:t>et 90 % de l’accélération latérale maximale indiquée par le constructeur (ay</w:t>
      </w:r>
      <w:r w:rsidRPr="00CC1446">
        <w:rPr>
          <w:vertAlign w:val="subscript"/>
          <w:lang w:val="fr-FR"/>
        </w:rPr>
        <w:t>smax</w:t>
      </w:r>
      <w:r w:rsidRPr="00CC1446">
        <w:rPr>
          <w:lang w:val="fr-FR"/>
        </w:rPr>
        <w:t>).</w:t>
      </w:r>
    </w:p>
    <w:p w:rsidR="00CC1446" w:rsidRPr="00CC1446" w:rsidRDefault="00CC1446" w:rsidP="000808D7">
      <w:pPr>
        <w:pStyle w:val="SingleTxtG"/>
        <w:kinsoku/>
        <w:overflowPunct/>
        <w:autoSpaceDE/>
        <w:autoSpaceDN/>
        <w:adjustRightInd/>
        <w:snapToGrid/>
        <w:ind w:left="2268"/>
      </w:pPr>
      <w:r w:rsidRPr="00CC1446">
        <w:rPr>
          <w:lang w:val="fr-FR"/>
        </w:rPr>
        <w:t>L’accélération latérale et l’à-coup latéral doivent être enregistrés pendant l’essai.</w:t>
      </w:r>
      <w:r w:rsidR="009B7846">
        <w:rPr>
          <w:lang w:val="fr-FR"/>
        </w:rPr>
        <w:t> »</w:t>
      </w:r>
      <w:r w:rsidR="0020074A">
        <w:rPr>
          <w:lang w:val="fr-FR"/>
        </w:rPr>
        <w:t>.</w:t>
      </w:r>
    </w:p>
    <w:p w:rsidR="00CC1446" w:rsidRPr="00CC1446" w:rsidRDefault="00CC1446" w:rsidP="00CC1446">
      <w:pPr>
        <w:pStyle w:val="SingleTxtG"/>
      </w:pPr>
      <w:r w:rsidRPr="00CC1446">
        <w:rPr>
          <w:i/>
          <w:iCs/>
          <w:lang w:val="fr-FR"/>
        </w:rPr>
        <w:t>Annexe 8, paragraphe 3.2.2.1</w:t>
      </w:r>
      <w:r w:rsidRPr="00CC1446">
        <w:rPr>
          <w:lang w:val="fr-FR"/>
        </w:rPr>
        <w:t>, lire :</w:t>
      </w:r>
    </w:p>
    <w:p w:rsidR="00CC1446" w:rsidRPr="00CC1446" w:rsidRDefault="009B7846" w:rsidP="009B7846">
      <w:pPr>
        <w:kinsoku/>
        <w:overflowPunct/>
        <w:autoSpaceDE/>
        <w:autoSpaceDN/>
        <w:adjustRightInd/>
        <w:snapToGrid/>
        <w:spacing w:after="120" w:line="240" w:lineRule="auto"/>
        <w:ind w:left="2268" w:right="1134" w:hanging="1134"/>
        <w:jc w:val="both"/>
      </w:pPr>
      <w:r>
        <w:rPr>
          <w:lang w:val="fr-FR"/>
        </w:rPr>
        <w:t>« </w:t>
      </w:r>
      <w:r w:rsidR="00CC1446" w:rsidRPr="00CC1446">
        <w:rPr>
          <w:lang w:val="fr-FR"/>
        </w:rPr>
        <w:t>3.2.2.1</w:t>
      </w:r>
      <w:r w:rsidR="00CC1446" w:rsidRPr="00CC1446">
        <w:rPr>
          <w:lang w:val="fr-FR"/>
        </w:rPr>
        <w:tab/>
        <w:t>La vitesse du véhicule doit être maintenue dans la plage comprise entre V</w:t>
      </w:r>
      <w:r w:rsidR="00CC1446" w:rsidRPr="00CC1446">
        <w:rPr>
          <w:vertAlign w:val="subscript"/>
          <w:lang w:val="fr-FR"/>
        </w:rPr>
        <w:t>smin</w:t>
      </w:r>
      <w:r w:rsidR="00CC1446" w:rsidRPr="00CC1446">
        <w:rPr>
          <w:lang w:val="fr-FR"/>
        </w:rPr>
        <w:t xml:space="preserve"> et V</w:t>
      </w:r>
      <w:r w:rsidR="00CC1446" w:rsidRPr="00CC1446">
        <w:rPr>
          <w:vertAlign w:val="subscript"/>
          <w:lang w:val="fr-FR"/>
        </w:rPr>
        <w:t>smax</w:t>
      </w:r>
      <w:r w:rsidR="00CC1446" w:rsidRPr="00CC1446">
        <w:rPr>
          <w:lang w:val="fr-FR"/>
        </w:rPr>
        <w:t>.</w:t>
      </w:r>
    </w:p>
    <w:p w:rsidR="00CC1446" w:rsidRPr="00CC1446" w:rsidRDefault="00CC1446" w:rsidP="009B7846">
      <w:pPr>
        <w:pStyle w:val="SingleTxtG"/>
        <w:kinsoku/>
        <w:overflowPunct/>
        <w:autoSpaceDE/>
        <w:autoSpaceDN/>
        <w:adjustRightInd/>
        <w:snapToGrid/>
        <w:ind w:left="2268"/>
      </w:pPr>
      <w:r w:rsidRPr="00CC1446">
        <w:rPr>
          <w:lang w:val="fr-FR"/>
        </w:rPr>
        <w:t xml:space="preserve">L’essai doit être exécuté séparément pour chaque plage de vitesses </w:t>
      </w:r>
      <w:r w:rsidRPr="00CC1446">
        <w:rPr>
          <w:b/>
          <w:bCs/>
          <w:lang w:val="fr-FR"/>
        </w:rPr>
        <w:t>(la plage de vitesses détermine la vitesse de départ)</w:t>
      </w:r>
      <w:r w:rsidRPr="00CC1446">
        <w:rPr>
          <w:lang w:val="fr-FR"/>
        </w:rPr>
        <w:t xml:space="preserve"> indiquée au paragraphe 5.6.2.1.3 du présent Règlement ou dans des plages de vitesses contiguës avec la même valeur ay</w:t>
      </w:r>
      <w:r w:rsidRPr="00CC1446">
        <w:rPr>
          <w:vertAlign w:val="subscript"/>
          <w:lang w:val="fr-FR"/>
        </w:rPr>
        <w:t>smax</w:t>
      </w:r>
      <w:r w:rsidRPr="00CC1446">
        <w:rPr>
          <w:lang w:val="fr-FR"/>
        </w:rPr>
        <w:t>.</w:t>
      </w:r>
    </w:p>
    <w:p w:rsidR="00CC1446" w:rsidRPr="00CC1446" w:rsidRDefault="00CC1446" w:rsidP="009B7846">
      <w:pPr>
        <w:pStyle w:val="SingleTxtG"/>
        <w:kinsoku/>
        <w:overflowPunct/>
        <w:autoSpaceDE/>
        <w:autoSpaceDN/>
        <w:adjustRightInd/>
        <w:snapToGrid/>
        <w:ind w:left="2268"/>
        <w:rPr>
          <w:b/>
          <w:bCs/>
        </w:rPr>
      </w:pPr>
      <w:r w:rsidRPr="00CC1446">
        <w:rPr>
          <w:lang w:val="fr-FR"/>
        </w:rPr>
        <w:t xml:space="preserve">Le véhicule doit être conduit, sans que le conducteur n’exerce aucune force sur la commande de direction (par exemple, en ôtant ses mains de la commande), </w:t>
      </w:r>
      <w:r w:rsidRPr="00CC1446">
        <w:rPr>
          <w:bCs/>
          <w:strike/>
          <w:lang w:val="fr-FR"/>
        </w:rPr>
        <w:t xml:space="preserve">à une vitesse constante </w:t>
      </w:r>
      <w:r w:rsidRPr="00CC1446">
        <w:rPr>
          <w:lang w:val="fr-FR"/>
        </w:rPr>
        <w:t xml:space="preserve">sur une piste incurvée comportant des marques routières de chaque côté de la voie. </w:t>
      </w:r>
      <w:r w:rsidRPr="00CC1446">
        <w:rPr>
          <w:b/>
          <w:bCs/>
          <w:lang w:val="fr-FR"/>
        </w:rPr>
        <w:t>Le véhicule est autorisé à changer de vitesse à tout moment avant ou pendant la courbe pour respecter les limites maximales d’accélération latérale spécifiées au paragraphe 5.6.2.1.3.</w:t>
      </w:r>
    </w:p>
    <w:p w:rsidR="00CC1446" w:rsidRPr="00CC1446" w:rsidRDefault="00CC1446" w:rsidP="009B7846">
      <w:pPr>
        <w:pStyle w:val="SingleTxtG"/>
        <w:kinsoku/>
        <w:overflowPunct/>
        <w:autoSpaceDE/>
        <w:autoSpaceDN/>
        <w:adjustRightInd/>
        <w:snapToGrid/>
        <w:ind w:left="2268"/>
      </w:pPr>
      <w:r w:rsidRPr="00CC1446">
        <w:rPr>
          <w:lang w:val="fr-FR"/>
        </w:rPr>
        <w:t>Le service technique définit une vitesse d’essai et un rayon qui provoqueraient une accélération supérieure à ay</w:t>
      </w:r>
      <w:r w:rsidRPr="00CC1446">
        <w:rPr>
          <w:vertAlign w:val="subscript"/>
          <w:lang w:val="fr-FR"/>
        </w:rPr>
        <w:t>smax</w:t>
      </w:r>
      <w:r w:rsidRPr="00CC1446">
        <w:rPr>
          <w:lang w:val="fr-FR"/>
        </w:rPr>
        <w:t xml:space="preserve"> +</w:t>
      </w:r>
      <w:r w:rsidR="00A97C44">
        <w:rPr>
          <w:lang w:val="fr-FR"/>
        </w:rPr>
        <w:t xml:space="preserve"> </w:t>
      </w:r>
      <w:r w:rsidRPr="00CC1446">
        <w:rPr>
          <w:lang w:val="fr-FR"/>
        </w:rPr>
        <w:t>0,3 m/s</w:t>
      </w:r>
      <w:r w:rsidRPr="00CC1446">
        <w:rPr>
          <w:vertAlign w:val="superscript"/>
          <w:lang w:val="fr-FR"/>
        </w:rPr>
        <w:t>2</w:t>
      </w:r>
      <w:r w:rsidRPr="00CC1446">
        <w:rPr>
          <w:lang w:val="fr-FR"/>
        </w:rPr>
        <w:t xml:space="preserve"> (par exemple, en conduisant à une vitesse plus élevée dans un virage ayant un rayon donné).</w:t>
      </w:r>
    </w:p>
    <w:p w:rsidR="00CC1446" w:rsidRPr="00CC1446" w:rsidRDefault="00CC1446" w:rsidP="009B7846">
      <w:pPr>
        <w:pStyle w:val="SingleTxtG"/>
        <w:kinsoku/>
        <w:overflowPunct/>
        <w:autoSpaceDE/>
        <w:autoSpaceDN/>
        <w:adjustRightInd/>
        <w:snapToGrid/>
        <w:ind w:left="2268"/>
      </w:pPr>
      <w:r w:rsidRPr="00CC1446">
        <w:rPr>
          <w:lang w:val="fr-FR"/>
        </w:rPr>
        <w:t>L’accélération latérale et l’à-coup latéral doivent être enregistrés pendant l’essai.</w:t>
      </w:r>
      <w:r w:rsidR="009B7846">
        <w:rPr>
          <w:lang w:val="fr-FR"/>
        </w:rPr>
        <w:t> »</w:t>
      </w:r>
      <w:r w:rsidR="0020074A">
        <w:rPr>
          <w:lang w:val="fr-FR"/>
        </w:rPr>
        <w:t>.</w:t>
      </w:r>
    </w:p>
    <w:p w:rsidR="00CC1446" w:rsidRPr="00CC1446" w:rsidRDefault="00CC1446" w:rsidP="009B7846">
      <w:pPr>
        <w:pStyle w:val="HChG"/>
      </w:pPr>
      <w:r w:rsidRPr="00CC1446">
        <w:rPr>
          <w:lang w:val="fr-FR"/>
        </w:rPr>
        <w:tab/>
        <w:t>II.</w:t>
      </w:r>
      <w:r w:rsidRPr="00CC1446">
        <w:rPr>
          <w:lang w:val="fr-FR"/>
        </w:rPr>
        <w:tab/>
        <w:t>Justification</w:t>
      </w:r>
    </w:p>
    <w:p w:rsidR="00CC1446" w:rsidRPr="00CC1446" w:rsidRDefault="009B7846" w:rsidP="009B7846">
      <w:pPr>
        <w:pStyle w:val="H1G"/>
      </w:pPr>
      <w:r>
        <w:tab/>
      </w:r>
      <w:r w:rsidR="00CC1446" w:rsidRPr="00CC1446">
        <w:t>A.</w:t>
      </w:r>
      <w:r w:rsidR="00CC1446" w:rsidRPr="00CC1446">
        <w:tab/>
      </w:r>
      <w:r w:rsidR="00CC1446" w:rsidRPr="00CC1446">
        <w:rPr>
          <w:lang w:val="fr-FR"/>
        </w:rPr>
        <w:t>Paragraphe 5.6.2.1.3</w:t>
      </w:r>
    </w:p>
    <w:p w:rsidR="00CC1446" w:rsidRPr="00CC1446" w:rsidRDefault="00CC1446" w:rsidP="00CC1446">
      <w:pPr>
        <w:pStyle w:val="SingleTxtG"/>
      </w:pPr>
      <w:r w:rsidRPr="00CC1446">
        <w:rPr>
          <w:lang w:val="fr-FR"/>
        </w:rPr>
        <w:t>1.</w:t>
      </w:r>
      <w:r w:rsidRPr="00CC1446">
        <w:rPr>
          <w:lang w:val="fr-FR"/>
        </w:rPr>
        <w:tab/>
        <w:t>Les fonctions modernes de direction à commande automatique (ACSF) de catégorie</w:t>
      </w:r>
      <w:r w:rsidR="009B7846">
        <w:rPr>
          <w:lang w:val="fr-FR"/>
        </w:rPr>
        <w:t> </w:t>
      </w:r>
      <w:r w:rsidRPr="00CC1446">
        <w:rPr>
          <w:lang w:val="fr-FR"/>
        </w:rPr>
        <w:t>B1 peuvent utiliser des données enregistrées par des capteurs pour prédire les routes à forte courbure et sont capables de réduire la vitesse du véhicule afin de maintenir celui-ci sur la voie. Ces fonctions permettent d’améliorer le contrôle du véhicule dans des environnements qui étaient auparavant considérés comme difficiles. Les systèmes modernes tels que ceux des véhicules de marque Tesla sont capables de gérer aisément des routes courbes avec une accélération latérale allant jusqu’à 5,7</w:t>
      </w:r>
      <w:r w:rsidR="009B7846">
        <w:rPr>
          <w:lang w:val="fr-FR"/>
        </w:rPr>
        <w:t> </w:t>
      </w:r>
      <w:r w:rsidRPr="00CC1446">
        <w:rPr>
          <w:lang w:val="fr-FR"/>
        </w:rPr>
        <w:t>m/s².</w:t>
      </w:r>
    </w:p>
    <w:p w:rsidR="00CC1446" w:rsidRPr="00CC1446" w:rsidRDefault="00CC1446" w:rsidP="00CC1446">
      <w:pPr>
        <w:pStyle w:val="SingleTxtG"/>
        <w:rPr>
          <w:lang w:val="fr-FR"/>
        </w:rPr>
      </w:pPr>
      <w:r w:rsidRPr="00CC1446">
        <w:rPr>
          <w:lang w:val="fr-FR"/>
        </w:rPr>
        <w:t>2.</w:t>
      </w:r>
      <w:r w:rsidRPr="00CC1446">
        <w:rPr>
          <w:lang w:val="fr-FR"/>
        </w:rPr>
        <w:tab/>
        <w:t>Il a été démontré qu’il est plus sûr de réduire la vitesse et de maintenir le véhicule dans la voie si le système est capable de le faire, plutôt que de quitter la voie à une vitesse plus élevée, car cette option entraîne un risque grave de collision avec d’autres véhicules ou avec l’infrastructure routière dans la voie adjacente ou en bordure de la route. Un type de véhicule homologué conformément aux prescriptions actuelles serait contraint de freiner brusquement, de quitter la voie ou de désactiver le système lorsque des valeurs d’accélération latérale supérieures à 3</w:t>
      </w:r>
      <w:r w:rsidR="009B7846">
        <w:rPr>
          <w:lang w:val="fr-FR"/>
        </w:rPr>
        <w:t> </w:t>
      </w:r>
      <w:r w:rsidRPr="00CC1446">
        <w:rPr>
          <w:lang w:val="fr-FR"/>
        </w:rPr>
        <w:t>m/s² sont atteintes.</w:t>
      </w:r>
    </w:p>
    <w:p w:rsidR="00CC1446" w:rsidRPr="00CC1446" w:rsidRDefault="00CC1446" w:rsidP="00CC1446">
      <w:pPr>
        <w:pStyle w:val="SingleTxtG"/>
      </w:pPr>
      <w:r w:rsidRPr="00CC1446">
        <w:rPr>
          <w:lang w:val="fr-FR"/>
        </w:rPr>
        <w:lastRenderedPageBreak/>
        <w:t>3.</w:t>
      </w:r>
      <w:r w:rsidRPr="00CC1446">
        <w:rPr>
          <w:lang w:val="fr-FR"/>
        </w:rPr>
        <w:tab/>
        <w:t>Certains systèmes de véhicules homologués conformément aux versions antérieures du Règlement ONU n</w:t>
      </w:r>
      <w:r w:rsidRPr="00CC1446">
        <w:rPr>
          <w:vertAlign w:val="superscript"/>
          <w:lang w:val="fr-FR"/>
        </w:rPr>
        <w:t>o</w:t>
      </w:r>
      <w:r w:rsidRPr="00CC1446">
        <w:rPr>
          <w:lang w:val="fr-FR"/>
        </w:rPr>
        <w:t> 79 peuvent être capables de franchir des virages plus serrés. Un changement soudain et régressif du comportement du système du véhicule peut nuire à la sécurité du propriétaire et à la sécurité routière en général.</w:t>
      </w:r>
    </w:p>
    <w:p w:rsidR="00CC1446" w:rsidRPr="00CC1446" w:rsidRDefault="009B7846" w:rsidP="009B7846">
      <w:pPr>
        <w:pStyle w:val="H1G"/>
      </w:pPr>
      <w:r>
        <w:tab/>
      </w:r>
      <w:r w:rsidR="00CC1446" w:rsidRPr="00CC1446">
        <w:t>B.</w:t>
      </w:r>
      <w:r w:rsidR="00CC1446" w:rsidRPr="00CC1446">
        <w:tab/>
      </w:r>
      <w:r w:rsidR="00CC1446" w:rsidRPr="00CC1446">
        <w:rPr>
          <w:lang w:val="fr-FR"/>
        </w:rPr>
        <w:t>Annexe 8, paragraphe 3</w:t>
      </w:r>
      <w:bookmarkStart w:id="3" w:name="_GoBack"/>
      <w:bookmarkEnd w:id="3"/>
      <w:r w:rsidR="00CC1446" w:rsidRPr="00CC1446">
        <w:rPr>
          <w:lang w:val="fr-FR"/>
        </w:rPr>
        <w:t>.2.1.1</w:t>
      </w:r>
    </w:p>
    <w:p w:rsidR="00CC1446" w:rsidRPr="00CC1446" w:rsidRDefault="00CC1446" w:rsidP="00CC1446">
      <w:pPr>
        <w:pStyle w:val="SingleTxtG"/>
      </w:pPr>
      <w:r w:rsidRPr="00CC1446">
        <w:rPr>
          <w:lang w:val="fr-FR"/>
        </w:rPr>
        <w:t>4.</w:t>
      </w:r>
      <w:r w:rsidRPr="00CC1446">
        <w:rPr>
          <w:lang w:val="fr-FR"/>
        </w:rPr>
        <w:tab/>
        <w:t>Compte tenu de la modification proposée pour le paragraphe 5.6.2.1.3, il est proposé de modifier cet essai pour ne pas bloquer artificiellement la vitesse d’un véhicule à une vitesse constante et permettre au véhicule de modifier sa vitesse à tout moment afin de respecter les valeurs maximales d’accélération latérale.</w:t>
      </w:r>
    </w:p>
    <w:p w:rsidR="00CC1446" w:rsidRPr="00CC1446" w:rsidRDefault="00CC1446" w:rsidP="00CC1446">
      <w:pPr>
        <w:pStyle w:val="SingleTxtG"/>
      </w:pPr>
      <w:r w:rsidRPr="00CC1446">
        <w:rPr>
          <w:lang w:val="fr-FR"/>
        </w:rPr>
        <w:t>5.</w:t>
      </w:r>
      <w:r w:rsidRPr="00CC1446">
        <w:rPr>
          <w:lang w:val="fr-FR"/>
        </w:rPr>
        <w:tab/>
        <w:t>La proposition formulée par la France dans le document GRVA 2019</w:t>
      </w:r>
      <w:r w:rsidR="009B7846">
        <w:rPr>
          <w:lang w:val="fr-FR"/>
        </w:rPr>
        <w:noBreakHyphen/>
      </w:r>
      <w:r w:rsidRPr="00CC1446">
        <w:rPr>
          <w:lang w:val="fr-FR"/>
        </w:rPr>
        <w:t>09 est également acceptable.</w:t>
      </w:r>
    </w:p>
    <w:p w:rsidR="00CC1446" w:rsidRPr="00CC1446" w:rsidRDefault="009B7846" w:rsidP="009B7846">
      <w:pPr>
        <w:pStyle w:val="H1G"/>
      </w:pPr>
      <w:r>
        <w:tab/>
      </w:r>
      <w:r w:rsidR="00CC1446" w:rsidRPr="00CC1446">
        <w:t>C.</w:t>
      </w:r>
      <w:r w:rsidR="00CC1446" w:rsidRPr="00CC1446">
        <w:tab/>
      </w:r>
      <w:r w:rsidR="00CC1446" w:rsidRPr="00CC1446">
        <w:rPr>
          <w:lang w:val="fr-FR"/>
        </w:rPr>
        <w:t>Annexe 8, paragraphe 3.2.2.1</w:t>
      </w:r>
    </w:p>
    <w:p w:rsidR="00CC1446" w:rsidRPr="00CC1446" w:rsidRDefault="00CC1446" w:rsidP="00CC1446">
      <w:pPr>
        <w:pStyle w:val="SingleTxtG"/>
      </w:pPr>
      <w:r w:rsidRPr="00CC1446">
        <w:rPr>
          <w:lang w:val="fr-FR"/>
        </w:rPr>
        <w:t>6.</w:t>
      </w:r>
      <w:r w:rsidRPr="00CC1446">
        <w:rPr>
          <w:lang w:val="fr-FR"/>
        </w:rPr>
        <w:tab/>
        <w:t>Compte tenu de la modification proposée pour le paragraphe 5.6.2.1.3, il est proposé de modifier cet essai pour ne pas bloquer artificiellement la vitesse d’un véhicule à une vitesse constante et de permettre au véhicule de modifier sa vitesse à tout moment afin de respecter les valeurs maximales d’accélération latérale.</w:t>
      </w:r>
    </w:p>
    <w:p w:rsidR="00F9573C" w:rsidRDefault="00CC1446" w:rsidP="009B7846">
      <w:pPr>
        <w:pStyle w:val="SingleTxtG"/>
        <w:rPr>
          <w:lang w:val="fr-FR"/>
        </w:rPr>
      </w:pPr>
      <w:r w:rsidRPr="00CC1446">
        <w:rPr>
          <w:lang w:val="fr-FR"/>
        </w:rPr>
        <w:t>7.</w:t>
      </w:r>
      <w:r w:rsidRPr="00CC1446">
        <w:rPr>
          <w:lang w:val="fr-FR"/>
        </w:rPr>
        <w:tab/>
      </w:r>
      <w:r w:rsidRPr="00441C83">
        <w:rPr>
          <w:spacing w:val="2"/>
          <w:lang w:val="fr-FR"/>
        </w:rPr>
        <w:t>La proposition formulée par la France dans le document ECE/TRANS/WP.29/GRVA/2019/09 est tout aussi acceptable et applicable pour ce paragraphe.</w:t>
      </w:r>
    </w:p>
    <w:p w:rsidR="00CC1446" w:rsidRPr="00CC1446" w:rsidRDefault="00CC1446" w:rsidP="00CC1446">
      <w:pPr>
        <w:pStyle w:val="SingleTxtG"/>
        <w:spacing w:before="240" w:after="0"/>
        <w:jc w:val="center"/>
        <w:rPr>
          <w:u w:val="single"/>
        </w:rPr>
      </w:pPr>
      <w:r>
        <w:rPr>
          <w:u w:val="single"/>
        </w:rPr>
        <w:tab/>
      </w:r>
      <w:r>
        <w:rPr>
          <w:u w:val="single"/>
        </w:rPr>
        <w:tab/>
      </w:r>
      <w:r>
        <w:rPr>
          <w:u w:val="single"/>
        </w:rPr>
        <w:tab/>
      </w:r>
    </w:p>
    <w:sectPr w:rsidR="00CC1446" w:rsidRPr="00CC1446" w:rsidSect="00CC144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3DC" w:rsidRDefault="002863DC" w:rsidP="00F95C08">
      <w:pPr>
        <w:spacing w:line="240" w:lineRule="auto"/>
      </w:pPr>
    </w:p>
  </w:endnote>
  <w:endnote w:type="continuationSeparator" w:id="0">
    <w:p w:rsidR="002863DC" w:rsidRPr="00AC3823" w:rsidRDefault="002863DC" w:rsidP="00AC3823">
      <w:pPr>
        <w:pStyle w:val="Pieddepage"/>
      </w:pPr>
    </w:p>
  </w:endnote>
  <w:endnote w:type="continuationNotice" w:id="1">
    <w:p w:rsidR="002863DC" w:rsidRDefault="002863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46" w:rsidRPr="00CC1446" w:rsidRDefault="00CC1446" w:rsidP="00CC1446">
    <w:pPr>
      <w:pStyle w:val="Pieddepage"/>
      <w:tabs>
        <w:tab w:val="right" w:pos="9638"/>
      </w:tabs>
    </w:pPr>
    <w:r w:rsidRPr="00CC1446">
      <w:rPr>
        <w:b/>
        <w:sz w:val="18"/>
      </w:rPr>
      <w:fldChar w:fldCharType="begin"/>
    </w:r>
    <w:r w:rsidRPr="00CC1446">
      <w:rPr>
        <w:b/>
        <w:sz w:val="18"/>
      </w:rPr>
      <w:instrText xml:space="preserve"> PAGE  \* MERGEFORMAT </w:instrText>
    </w:r>
    <w:r w:rsidRPr="00CC1446">
      <w:rPr>
        <w:b/>
        <w:sz w:val="18"/>
      </w:rPr>
      <w:fldChar w:fldCharType="separate"/>
    </w:r>
    <w:r w:rsidR="00B82E7A">
      <w:rPr>
        <w:b/>
        <w:noProof/>
        <w:sz w:val="18"/>
      </w:rPr>
      <w:t>4</w:t>
    </w:r>
    <w:r w:rsidRPr="00CC1446">
      <w:rPr>
        <w:b/>
        <w:sz w:val="18"/>
      </w:rPr>
      <w:fldChar w:fldCharType="end"/>
    </w:r>
    <w:r>
      <w:rPr>
        <w:b/>
        <w:sz w:val="18"/>
      </w:rPr>
      <w:tab/>
    </w:r>
    <w:r>
      <w:t>GE.19-11844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46" w:rsidRPr="00CC1446" w:rsidRDefault="00CC1446" w:rsidP="00CC1446">
    <w:pPr>
      <w:pStyle w:val="Pieddepage"/>
      <w:tabs>
        <w:tab w:val="right" w:pos="9638"/>
      </w:tabs>
      <w:rPr>
        <w:b/>
        <w:sz w:val="18"/>
      </w:rPr>
    </w:pPr>
    <w:r>
      <w:t>GE.19-11844</w:t>
    </w:r>
    <w:r>
      <w:tab/>
    </w:r>
    <w:r w:rsidRPr="00CC1446">
      <w:rPr>
        <w:b/>
        <w:sz w:val="18"/>
      </w:rPr>
      <w:fldChar w:fldCharType="begin"/>
    </w:r>
    <w:r w:rsidRPr="00CC1446">
      <w:rPr>
        <w:b/>
        <w:sz w:val="18"/>
      </w:rPr>
      <w:instrText xml:space="preserve"> PAGE  \* MERGEFORMAT </w:instrText>
    </w:r>
    <w:r w:rsidRPr="00CC1446">
      <w:rPr>
        <w:b/>
        <w:sz w:val="18"/>
      </w:rPr>
      <w:fldChar w:fldCharType="separate"/>
    </w:r>
    <w:r w:rsidR="00B82E7A">
      <w:rPr>
        <w:b/>
        <w:noProof/>
        <w:sz w:val="18"/>
      </w:rPr>
      <w:t>3</w:t>
    </w:r>
    <w:r w:rsidRPr="00CC144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CC1446" w:rsidRDefault="00CC1446" w:rsidP="00CC1446">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19-11844  (F)    250719    260719</w:t>
    </w:r>
    <w:r>
      <w:rPr>
        <w:sz w:val="20"/>
      </w:rPr>
      <w:br/>
    </w:r>
    <w:r w:rsidRPr="00CC1446">
      <w:rPr>
        <w:rFonts w:ascii="C39T30Lfz" w:hAnsi="C39T30Lfz"/>
        <w:sz w:val="56"/>
      </w:rPr>
      <w:t></w:t>
    </w:r>
    <w:r w:rsidRPr="00CC1446">
      <w:rPr>
        <w:rFonts w:ascii="C39T30Lfz" w:hAnsi="C39T30Lfz"/>
        <w:sz w:val="56"/>
      </w:rPr>
      <w:t></w:t>
    </w:r>
    <w:r w:rsidRPr="00CC1446">
      <w:rPr>
        <w:rFonts w:ascii="C39T30Lfz" w:hAnsi="C39T30Lfz"/>
        <w:sz w:val="56"/>
      </w:rPr>
      <w:t></w:t>
    </w:r>
    <w:r w:rsidRPr="00CC1446">
      <w:rPr>
        <w:rFonts w:ascii="C39T30Lfz" w:hAnsi="C39T30Lfz"/>
        <w:sz w:val="56"/>
      </w:rPr>
      <w:t></w:t>
    </w:r>
    <w:r w:rsidRPr="00CC1446">
      <w:rPr>
        <w:rFonts w:ascii="C39T30Lfz" w:hAnsi="C39T30Lfz"/>
        <w:sz w:val="56"/>
      </w:rPr>
      <w:t></w:t>
    </w:r>
    <w:r w:rsidRPr="00CC1446">
      <w:rPr>
        <w:rFonts w:ascii="C39T30Lfz" w:hAnsi="C39T30Lfz"/>
        <w:sz w:val="56"/>
      </w:rPr>
      <w:t></w:t>
    </w:r>
    <w:r w:rsidRPr="00CC1446">
      <w:rPr>
        <w:rFonts w:ascii="C39T30Lfz" w:hAnsi="C39T30Lfz"/>
        <w:sz w:val="56"/>
      </w:rPr>
      <w:t></w:t>
    </w:r>
    <w:r w:rsidRPr="00CC1446">
      <w:rPr>
        <w:rFonts w:ascii="C39T30Lfz" w:hAnsi="C39T30Lfz"/>
        <w:sz w:val="56"/>
      </w:rPr>
      <w:t></w:t>
    </w:r>
    <w:r w:rsidRPr="00CC144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2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2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3DC" w:rsidRPr="00AC3823" w:rsidRDefault="002863DC" w:rsidP="00AC3823">
      <w:pPr>
        <w:pStyle w:val="Pieddepage"/>
        <w:tabs>
          <w:tab w:val="right" w:pos="2155"/>
        </w:tabs>
        <w:spacing w:after="80" w:line="240" w:lineRule="atLeast"/>
        <w:ind w:left="680"/>
        <w:rPr>
          <w:u w:val="single"/>
        </w:rPr>
      </w:pPr>
      <w:r>
        <w:rPr>
          <w:u w:val="single"/>
        </w:rPr>
        <w:tab/>
      </w:r>
    </w:p>
  </w:footnote>
  <w:footnote w:type="continuationSeparator" w:id="0">
    <w:p w:rsidR="002863DC" w:rsidRPr="00AC3823" w:rsidRDefault="002863DC" w:rsidP="00AC3823">
      <w:pPr>
        <w:pStyle w:val="Pieddepage"/>
        <w:tabs>
          <w:tab w:val="right" w:pos="2155"/>
        </w:tabs>
        <w:spacing w:after="80" w:line="240" w:lineRule="atLeast"/>
        <w:ind w:left="680"/>
        <w:rPr>
          <w:u w:val="single"/>
        </w:rPr>
      </w:pPr>
      <w:r>
        <w:rPr>
          <w:u w:val="single"/>
        </w:rPr>
        <w:tab/>
      </w:r>
    </w:p>
  </w:footnote>
  <w:footnote w:type="continuationNotice" w:id="1">
    <w:p w:rsidR="002863DC" w:rsidRPr="00AC3823" w:rsidRDefault="002863DC">
      <w:pPr>
        <w:spacing w:line="240" w:lineRule="auto"/>
        <w:rPr>
          <w:sz w:val="2"/>
          <w:szCs w:val="2"/>
        </w:rPr>
      </w:pPr>
    </w:p>
  </w:footnote>
  <w:footnote w:id="2">
    <w:p w:rsidR="000B1B84" w:rsidRPr="000B1B84" w:rsidRDefault="000B1B84">
      <w:pPr>
        <w:pStyle w:val="Notedebasdepage"/>
      </w:pPr>
      <w:bookmarkStart w:id="1" w:name="_Hlk15020829"/>
      <w:bookmarkStart w:id="2" w:name="_Hlk15020830"/>
      <w:r>
        <w:rPr>
          <w:rStyle w:val="Appelnotedebasdep"/>
        </w:rPr>
        <w:tab/>
      </w:r>
      <w:r w:rsidRPr="000B1B84">
        <w:rPr>
          <w:rStyle w:val="Appelnotedebasdep"/>
          <w:sz w:val="20"/>
          <w:vertAlign w:val="baseline"/>
        </w:rPr>
        <w:t>*</w:t>
      </w:r>
      <w:r>
        <w:rPr>
          <w:rStyle w:val="Appelnotedebasdep"/>
          <w:sz w:val="20"/>
          <w:vertAlign w:val="baseline"/>
        </w:rPr>
        <w:tab/>
      </w:r>
      <w:r>
        <w:rPr>
          <w:lang w:val="fr-FR"/>
        </w:rPr>
        <w:t xml:space="preserve">Ancien </w:t>
      </w:r>
      <w:r>
        <w:rPr>
          <w:b/>
          <w:bCs/>
          <w:lang w:val="fr-FR"/>
        </w:rPr>
        <w:t>Groupe de travail en matière de roulement et de freinage (GRRF)</w:t>
      </w:r>
      <w:r>
        <w:rPr>
          <w:lang w:val="fr-FR"/>
        </w:rPr>
        <w:t>.</w:t>
      </w:r>
    </w:p>
    <w:bookmarkEnd w:id="1"/>
    <w:bookmarkEnd w:id="2"/>
  </w:footnote>
  <w:footnote w:id="3">
    <w:p w:rsidR="000B1B84" w:rsidRPr="000B1B84" w:rsidRDefault="000B1B84">
      <w:pPr>
        <w:pStyle w:val="Notedebasdepage"/>
      </w:pPr>
      <w:r>
        <w:rPr>
          <w:rStyle w:val="Appelnotedebasdep"/>
        </w:rPr>
        <w:tab/>
      </w:r>
      <w:r w:rsidRPr="000B1B84">
        <w:rPr>
          <w:rStyle w:val="Appelnotedebasdep"/>
          <w:sz w:val="20"/>
          <w:vertAlign w:val="baseline"/>
        </w:rPr>
        <w:t>**</w:t>
      </w:r>
      <w:r>
        <w:rPr>
          <w:rStyle w:val="Appelnotedebasdep"/>
          <w:sz w:val="20"/>
          <w:vertAlign w:val="baseline"/>
        </w:rPr>
        <w:tab/>
      </w:r>
      <w:r w:rsidRPr="000B1B84">
        <w:rPr>
          <w:spacing w:val="-1"/>
          <w:lang w:val="fr-FR"/>
        </w:rPr>
        <w:t>Conformément au programme de travail du Comité des transports intérieurs pour la période 2018</w:t>
      </w:r>
      <w:r w:rsidRPr="000B1B84">
        <w:rPr>
          <w:spacing w:val="-1"/>
          <w:lang w:val="fr-FR"/>
        </w:rPr>
        <w:noBreakHyphen/>
        <w:t>2019</w:t>
      </w:r>
      <w:r>
        <w:rPr>
          <w:lang w:val="fr-FR"/>
        </w:rPr>
        <w:t xml:space="preserve"> (ECE/TRANS/274, par. 123, et ECE/TRANS/2018/21/Add.1, module 3),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46" w:rsidRPr="00CC1446" w:rsidRDefault="00B82E7A">
    <w:pPr>
      <w:pStyle w:val="En-tte"/>
    </w:pPr>
    <w:r>
      <w:fldChar w:fldCharType="begin"/>
    </w:r>
    <w:r>
      <w:instrText xml:space="preserve"> TITLE  \* MERGEFORMAT </w:instrText>
    </w:r>
    <w:r>
      <w:fldChar w:fldCharType="separate"/>
    </w:r>
    <w:r>
      <w:t>ECE/TRANS/WP.29/GRVA/2019/26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446" w:rsidRPr="00CC1446" w:rsidRDefault="00B82E7A" w:rsidP="00CC1446">
    <w:pPr>
      <w:pStyle w:val="En-tte"/>
      <w:jc w:val="right"/>
    </w:pPr>
    <w:r>
      <w:fldChar w:fldCharType="begin"/>
    </w:r>
    <w:r>
      <w:instrText xml:space="preserve"> TITLE  \* MERGEFORMAT </w:instrText>
    </w:r>
    <w:r>
      <w:fldChar w:fldCharType="separate"/>
    </w:r>
    <w:r>
      <w:t>ECE/TRANS/WP.29/GRVA/2019/26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DC"/>
    <w:rsid w:val="00017F94"/>
    <w:rsid w:val="00023842"/>
    <w:rsid w:val="000334F9"/>
    <w:rsid w:val="00045FEB"/>
    <w:rsid w:val="000711EB"/>
    <w:rsid w:val="0007796D"/>
    <w:rsid w:val="000808D7"/>
    <w:rsid w:val="000B1B84"/>
    <w:rsid w:val="000B7790"/>
    <w:rsid w:val="00111F2F"/>
    <w:rsid w:val="0014365E"/>
    <w:rsid w:val="00143C66"/>
    <w:rsid w:val="001566DA"/>
    <w:rsid w:val="00176178"/>
    <w:rsid w:val="001C43B2"/>
    <w:rsid w:val="001E1E4F"/>
    <w:rsid w:val="001F525A"/>
    <w:rsid w:val="0020074A"/>
    <w:rsid w:val="00223272"/>
    <w:rsid w:val="0024779E"/>
    <w:rsid w:val="002557BC"/>
    <w:rsid w:val="00257168"/>
    <w:rsid w:val="002744B8"/>
    <w:rsid w:val="002832AC"/>
    <w:rsid w:val="002863DC"/>
    <w:rsid w:val="002D1766"/>
    <w:rsid w:val="002D7C93"/>
    <w:rsid w:val="003011B1"/>
    <w:rsid w:val="00305801"/>
    <w:rsid w:val="00362B60"/>
    <w:rsid w:val="003916DE"/>
    <w:rsid w:val="00421996"/>
    <w:rsid w:val="00441C3B"/>
    <w:rsid w:val="00441C83"/>
    <w:rsid w:val="00446FE5"/>
    <w:rsid w:val="00452396"/>
    <w:rsid w:val="00475A95"/>
    <w:rsid w:val="00481A10"/>
    <w:rsid w:val="004837D8"/>
    <w:rsid w:val="004E2EED"/>
    <w:rsid w:val="004E468C"/>
    <w:rsid w:val="004E6FA9"/>
    <w:rsid w:val="004F7E3C"/>
    <w:rsid w:val="005505B7"/>
    <w:rsid w:val="00573BE5"/>
    <w:rsid w:val="00586ED3"/>
    <w:rsid w:val="00596AA9"/>
    <w:rsid w:val="0061208B"/>
    <w:rsid w:val="00615F0C"/>
    <w:rsid w:val="00616DED"/>
    <w:rsid w:val="006C12C0"/>
    <w:rsid w:val="0071601D"/>
    <w:rsid w:val="00734455"/>
    <w:rsid w:val="0077730F"/>
    <w:rsid w:val="007A62E6"/>
    <w:rsid w:val="007D5366"/>
    <w:rsid w:val="007F20FA"/>
    <w:rsid w:val="0080684C"/>
    <w:rsid w:val="00862156"/>
    <w:rsid w:val="00871028"/>
    <w:rsid w:val="00871C75"/>
    <w:rsid w:val="008776DC"/>
    <w:rsid w:val="008C4786"/>
    <w:rsid w:val="009446C0"/>
    <w:rsid w:val="00950C21"/>
    <w:rsid w:val="009705C8"/>
    <w:rsid w:val="00971E86"/>
    <w:rsid w:val="009B7846"/>
    <w:rsid w:val="009C1CF4"/>
    <w:rsid w:val="009F6B74"/>
    <w:rsid w:val="00A3029F"/>
    <w:rsid w:val="00A30353"/>
    <w:rsid w:val="00A97C44"/>
    <w:rsid w:val="00AB51C5"/>
    <w:rsid w:val="00AC3823"/>
    <w:rsid w:val="00AE323C"/>
    <w:rsid w:val="00AF0CB5"/>
    <w:rsid w:val="00B00181"/>
    <w:rsid w:val="00B00B0D"/>
    <w:rsid w:val="00B016F8"/>
    <w:rsid w:val="00B45F2E"/>
    <w:rsid w:val="00B765F7"/>
    <w:rsid w:val="00B82E7A"/>
    <w:rsid w:val="00B857E7"/>
    <w:rsid w:val="00B87814"/>
    <w:rsid w:val="00BA0CA9"/>
    <w:rsid w:val="00C02897"/>
    <w:rsid w:val="00C175C9"/>
    <w:rsid w:val="00C937EE"/>
    <w:rsid w:val="00C97039"/>
    <w:rsid w:val="00CC1446"/>
    <w:rsid w:val="00D3439C"/>
    <w:rsid w:val="00DB1831"/>
    <w:rsid w:val="00DC228B"/>
    <w:rsid w:val="00DD3BFD"/>
    <w:rsid w:val="00DF6678"/>
    <w:rsid w:val="00E0299A"/>
    <w:rsid w:val="00E63B78"/>
    <w:rsid w:val="00E85C74"/>
    <w:rsid w:val="00EA6547"/>
    <w:rsid w:val="00EF2E22"/>
    <w:rsid w:val="00F21E2B"/>
    <w:rsid w:val="00F35BAF"/>
    <w:rsid w:val="00F476EB"/>
    <w:rsid w:val="00F660DF"/>
    <w:rsid w:val="00F94664"/>
    <w:rsid w:val="00F9573C"/>
    <w:rsid w:val="00F95C08"/>
    <w:rsid w:val="00FD04B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28A45"/>
  <w15:docId w15:val="{F5FB773A-EE74-45BE-8333-527BB38F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0808D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4111-CFDD-41A5-9BDF-C7BD743F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1</TotalTime>
  <Pages>4</Pages>
  <Words>1195</Words>
  <Characters>6537</Characters>
  <Application>Microsoft Office Word</Application>
  <DocSecurity>0</DocSecurity>
  <Lines>176</Lines>
  <Paragraphs>92</Paragraphs>
  <ScaleCrop>false</ScaleCrop>
  <HeadingPairs>
    <vt:vector size="2" baseType="variant">
      <vt:variant>
        <vt:lpstr>Titre</vt:lpstr>
      </vt:variant>
      <vt:variant>
        <vt:i4>1</vt:i4>
      </vt:variant>
    </vt:vector>
  </HeadingPairs>
  <TitlesOfParts>
    <vt:vector size="1" baseType="lpstr">
      <vt:lpstr>ECE/TRANS/WP.29/GRVA/2019/26</vt:lpstr>
    </vt:vector>
  </TitlesOfParts>
  <Company>DCM</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ECE/TRANS/WP.29/GRVA/2019/26</dc:title>
  <dc:subject/>
  <dc:creator>Ramzi TOUMA</dc:creator>
  <cp:keywords/>
  <cp:lastModifiedBy>Christine Devouassoux</cp:lastModifiedBy>
  <cp:revision>3</cp:revision>
  <cp:lastPrinted>2019-07-26T12:33:00Z</cp:lastPrinted>
  <dcterms:created xsi:type="dcterms:W3CDTF">2019-07-26T12:33:00Z</dcterms:created>
  <dcterms:modified xsi:type="dcterms:W3CDTF">2019-07-26T12:34:00Z</dcterms:modified>
</cp:coreProperties>
</file>