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51C" w:rsidRPr="00C22352" w:rsidRDefault="00E66070" w:rsidP="00E66070">
      <w:pPr>
        <w:jc w:val="center"/>
        <w:rPr>
          <w:b/>
          <w:bCs/>
          <w:sz w:val="28"/>
          <w:szCs w:val="28"/>
        </w:rPr>
      </w:pPr>
      <w:r w:rsidRPr="00C22352">
        <w:rPr>
          <w:b/>
          <w:bCs/>
          <w:sz w:val="28"/>
          <w:szCs w:val="28"/>
        </w:rPr>
        <w:t>Allocation of the priorities (ECE/TRANS/WP.29/2019/2) to IWGs of GRVA</w:t>
      </w:r>
    </w:p>
    <w:p w:rsidR="00E66070" w:rsidRDefault="00BA687B">
      <w:r w:rsidRPr="00BA687B">
        <w:t xml:space="preserve">The table below was </w:t>
      </w:r>
      <w:r>
        <w:t xml:space="preserve">drafted and </w:t>
      </w:r>
      <w:r w:rsidRPr="00BA687B">
        <w:t xml:space="preserve">agreed by GRVA at the end of its 2nd session as a consolidation of inputs made by </w:t>
      </w:r>
      <w:r>
        <w:t xml:space="preserve">the </w:t>
      </w:r>
      <w:r w:rsidRPr="00BA687B">
        <w:t>C</w:t>
      </w:r>
      <w:r>
        <w:t xml:space="preserve">ontracting </w:t>
      </w:r>
      <w:r w:rsidRPr="00BA687B">
        <w:t>P</w:t>
      </w:r>
      <w:r>
        <w:t>artie</w:t>
      </w:r>
      <w:r w:rsidRPr="00BA687B">
        <w:t xml:space="preserve">s during </w:t>
      </w:r>
      <w:r>
        <w:t xml:space="preserve">the </w:t>
      </w:r>
      <w:r w:rsidRPr="00BA687B">
        <w:t>discussion</w:t>
      </w:r>
      <w:r>
        <w:t>s</w:t>
      </w:r>
      <w:r w:rsidRPr="00BA687B">
        <w:t xml:space="preserve"> at this </w:t>
      </w:r>
      <w:r>
        <w:t xml:space="preserve">GRVA </w:t>
      </w:r>
      <w:r w:rsidRPr="00BA687B">
        <w:t xml:space="preserve">session, with the expectation that this provide a base for continued discussions at </w:t>
      </w:r>
      <w:r>
        <w:t>the March 2019</w:t>
      </w:r>
      <w:r w:rsidRPr="00BA687B">
        <w:t xml:space="preserve"> session of WP29</w:t>
      </w:r>
      <w:r w:rsidR="00AB41CE">
        <w:t>.</w:t>
      </w:r>
      <w:r w:rsidRPr="00BA687B">
        <w:t xml:space="preserve"> </w:t>
      </w:r>
      <w:bookmarkStart w:id="0" w:name="_GoBack"/>
      <w:bookmarkEnd w:id="0"/>
      <w:r w:rsidR="00C22352">
        <w:t>It a</w:t>
      </w:r>
      <w:r w:rsidR="00C22352" w:rsidRPr="00C22352">
        <w:t>llocat</w:t>
      </w:r>
      <w:r w:rsidR="00C22352">
        <w:t>es</w:t>
      </w:r>
      <w:r w:rsidR="00C22352" w:rsidRPr="00C22352">
        <w:t xml:space="preserve"> the priorities (ECE/TRANS/WP.29/2019/2) to IWGs of GRVA</w:t>
      </w:r>
      <w:r w:rsidR="00C22352">
        <w:t xml:space="preserve"> and defines indicative deadlines for these priorities in order to guide the Chairs of IWGs. It recalls that GRVA authorizes the IWGs to work while the final Terms of References will be further developed to reflect the decisions taken by GRVA after endorsement of WP.29. </w:t>
      </w:r>
    </w:p>
    <w:tbl>
      <w:tblPr>
        <w:tblStyle w:val="TableGrid"/>
        <w:tblW w:w="0" w:type="auto"/>
        <w:tblLayout w:type="fixed"/>
        <w:tblLook w:val="04A0" w:firstRow="1" w:lastRow="0" w:firstColumn="1" w:lastColumn="0" w:noHBand="0" w:noVBand="1"/>
      </w:tblPr>
      <w:tblGrid>
        <w:gridCol w:w="2182"/>
        <w:gridCol w:w="2278"/>
        <w:gridCol w:w="437"/>
        <w:gridCol w:w="627"/>
        <w:gridCol w:w="425"/>
        <w:gridCol w:w="621"/>
        <w:gridCol w:w="2054"/>
      </w:tblGrid>
      <w:tr w:rsidR="00E66070" w:rsidTr="00BD1A3A">
        <w:tc>
          <w:tcPr>
            <w:tcW w:w="2182" w:type="dxa"/>
            <w:tcBorders>
              <w:bottom w:val="single" w:sz="12" w:space="0" w:color="auto"/>
            </w:tcBorders>
          </w:tcPr>
          <w:p w:rsidR="00E66070" w:rsidRPr="00E66070" w:rsidRDefault="00E66070" w:rsidP="00C7480F">
            <w:pPr>
              <w:jc w:val="center"/>
              <w:rPr>
                <w:i/>
                <w:iCs/>
                <w:sz w:val="20"/>
                <w:szCs w:val="20"/>
              </w:rPr>
            </w:pPr>
            <w:r w:rsidRPr="00E66070">
              <w:rPr>
                <w:i/>
                <w:iCs/>
                <w:sz w:val="20"/>
                <w:szCs w:val="20"/>
              </w:rPr>
              <w:t>Task</w:t>
            </w:r>
          </w:p>
        </w:tc>
        <w:tc>
          <w:tcPr>
            <w:tcW w:w="2278" w:type="dxa"/>
            <w:tcBorders>
              <w:bottom w:val="single" w:sz="12" w:space="0" w:color="auto"/>
            </w:tcBorders>
          </w:tcPr>
          <w:p w:rsidR="00E66070" w:rsidRPr="00E66070" w:rsidRDefault="00C7480F" w:rsidP="00C7480F">
            <w:pPr>
              <w:jc w:val="center"/>
              <w:rPr>
                <w:i/>
                <w:iCs/>
                <w:sz w:val="20"/>
                <w:szCs w:val="20"/>
              </w:rPr>
            </w:pPr>
            <w:r>
              <w:rPr>
                <w:i/>
                <w:iCs/>
                <w:sz w:val="20"/>
                <w:szCs w:val="20"/>
              </w:rPr>
              <w:t>Allocation to</w:t>
            </w:r>
          </w:p>
        </w:tc>
        <w:tc>
          <w:tcPr>
            <w:tcW w:w="437" w:type="dxa"/>
            <w:tcBorders>
              <w:bottom w:val="single" w:sz="12" w:space="0" w:color="auto"/>
            </w:tcBorders>
          </w:tcPr>
          <w:p w:rsidR="00E66070" w:rsidRPr="00E66070" w:rsidRDefault="00E66070" w:rsidP="00C7480F">
            <w:pPr>
              <w:ind w:left="-34" w:right="-30"/>
              <w:jc w:val="center"/>
              <w:rPr>
                <w:i/>
                <w:iCs/>
                <w:sz w:val="12"/>
                <w:szCs w:val="12"/>
              </w:rPr>
            </w:pPr>
            <w:r w:rsidRPr="00E66070">
              <w:rPr>
                <w:i/>
                <w:iCs/>
                <w:sz w:val="12"/>
                <w:szCs w:val="12"/>
              </w:rPr>
              <w:t>FR</w:t>
            </w:r>
            <w:r w:rsidR="00C7480F">
              <w:rPr>
                <w:i/>
                <w:iCs/>
                <w:sz w:val="12"/>
                <w:szCs w:val="12"/>
              </w:rPr>
              <w:t>VA</w:t>
            </w:r>
          </w:p>
        </w:tc>
        <w:tc>
          <w:tcPr>
            <w:tcW w:w="627" w:type="dxa"/>
            <w:tcBorders>
              <w:bottom w:val="single" w:sz="12" w:space="0" w:color="auto"/>
            </w:tcBorders>
          </w:tcPr>
          <w:p w:rsidR="00E66070" w:rsidRPr="00E66070" w:rsidRDefault="00E66070" w:rsidP="00C7480F">
            <w:pPr>
              <w:jc w:val="center"/>
              <w:rPr>
                <w:i/>
                <w:iCs/>
                <w:sz w:val="12"/>
                <w:szCs w:val="12"/>
              </w:rPr>
            </w:pPr>
            <w:r w:rsidRPr="00E66070">
              <w:rPr>
                <w:i/>
                <w:iCs/>
                <w:sz w:val="12"/>
                <w:szCs w:val="12"/>
              </w:rPr>
              <w:t>VMAD</w:t>
            </w:r>
          </w:p>
        </w:tc>
        <w:tc>
          <w:tcPr>
            <w:tcW w:w="425" w:type="dxa"/>
            <w:tcBorders>
              <w:bottom w:val="single" w:sz="12" w:space="0" w:color="auto"/>
            </w:tcBorders>
          </w:tcPr>
          <w:p w:rsidR="00E66070" w:rsidRPr="00E66070" w:rsidRDefault="00E66070" w:rsidP="00C7480F">
            <w:pPr>
              <w:jc w:val="center"/>
              <w:rPr>
                <w:i/>
                <w:iCs/>
                <w:sz w:val="12"/>
                <w:szCs w:val="12"/>
              </w:rPr>
            </w:pPr>
            <w:r w:rsidRPr="00E66070">
              <w:rPr>
                <w:i/>
                <w:iCs/>
                <w:sz w:val="12"/>
                <w:szCs w:val="12"/>
              </w:rPr>
              <w:t>CS/OTA</w:t>
            </w:r>
          </w:p>
        </w:tc>
        <w:tc>
          <w:tcPr>
            <w:tcW w:w="621" w:type="dxa"/>
            <w:tcBorders>
              <w:bottom w:val="single" w:sz="12" w:space="0" w:color="auto"/>
            </w:tcBorders>
          </w:tcPr>
          <w:p w:rsidR="00E66070" w:rsidRPr="00E66070" w:rsidRDefault="00E66070" w:rsidP="00C7480F">
            <w:pPr>
              <w:jc w:val="center"/>
              <w:rPr>
                <w:i/>
                <w:iCs/>
                <w:sz w:val="12"/>
                <w:szCs w:val="12"/>
              </w:rPr>
            </w:pPr>
            <w:r w:rsidRPr="00E66070">
              <w:rPr>
                <w:i/>
                <w:iCs/>
                <w:sz w:val="12"/>
                <w:szCs w:val="12"/>
              </w:rPr>
              <w:t>New</w:t>
            </w:r>
            <w:r w:rsidR="00C7480F">
              <w:rPr>
                <w:i/>
                <w:iCs/>
                <w:sz w:val="12"/>
                <w:szCs w:val="12"/>
              </w:rPr>
              <w:t xml:space="preserve"> IWG</w:t>
            </w:r>
          </w:p>
        </w:tc>
        <w:tc>
          <w:tcPr>
            <w:tcW w:w="2054" w:type="dxa"/>
            <w:tcBorders>
              <w:bottom w:val="single" w:sz="12" w:space="0" w:color="auto"/>
            </w:tcBorders>
          </w:tcPr>
          <w:p w:rsidR="00E66070" w:rsidRPr="00E66070" w:rsidRDefault="00E66070" w:rsidP="00C7480F">
            <w:pPr>
              <w:jc w:val="center"/>
              <w:rPr>
                <w:i/>
                <w:iCs/>
                <w:sz w:val="20"/>
                <w:szCs w:val="20"/>
              </w:rPr>
            </w:pPr>
            <w:r w:rsidRPr="00E66070">
              <w:rPr>
                <w:i/>
                <w:iCs/>
                <w:sz w:val="20"/>
                <w:szCs w:val="20"/>
              </w:rPr>
              <w:t>Deadline</w:t>
            </w:r>
          </w:p>
          <w:p w:rsidR="00E66070" w:rsidRPr="00E66070" w:rsidRDefault="00E66070" w:rsidP="00C7480F">
            <w:pPr>
              <w:jc w:val="center"/>
              <w:rPr>
                <w:i/>
                <w:iCs/>
                <w:sz w:val="12"/>
                <w:szCs w:val="12"/>
              </w:rPr>
            </w:pPr>
          </w:p>
        </w:tc>
      </w:tr>
      <w:tr w:rsidR="00E66070" w:rsidTr="00BD1A3A">
        <w:tc>
          <w:tcPr>
            <w:tcW w:w="2182" w:type="dxa"/>
            <w:tcBorders>
              <w:top w:val="single" w:sz="12" w:space="0" w:color="auto"/>
            </w:tcBorders>
          </w:tcPr>
          <w:p w:rsidR="00E66070" w:rsidRPr="00E66070" w:rsidRDefault="00E66070" w:rsidP="00BD1A3A">
            <w:pPr>
              <w:rPr>
                <w:b/>
                <w:bCs/>
              </w:rPr>
            </w:pPr>
            <w:r w:rsidRPr="00E66070">
              <w:rPr>
                <w:b/>
                <w:bCs/>
              </w:rPr>
              <w:t>Framework document</w:t>
            </w:r>
            <w:r w:rsidR="00C22352">
              <w:rPr>
                <w:b/>
                <w:bCs/>
              </w:rPr>
              <w:t xml:space="preserve"> on automated/</w:t>
            </w:r>
            <w:r w:rsidR="00C7480F">
              <w:rPr>
                <w:b/>
                <w:bCs/>
              </w:rPr>
              <w:br/>
            </w:r>
            <w:r w:rsidR="00C22352">
              <w:rPr>
                <w:b/>
                <w:bCs/>
              </w:rPr>
              <w:t>autonomous vehicles</w:t>
            </w:r>
          </w:p>
          <w:p w:rsidR="00E66070" w:rsidRDefault="00E66070" w:rsidP="00BD1A3A"/>
        </w:tc>
        <w:tc>
          <w:tcPr>
            <w:tcW w:w="2278" w:type="dxa"/>
            <w:tcBorders>
              <w:top w:val="single" w:sz="12" w:space="0" w:color="auto"/>
              <w:bottom w:val="single" w:sz="4" w:space="0" w:color="auto"/>
            </w:tcBorders>
          </w:tcPr>
          <w:p w:rsidR="00E66070" w:rsidRDefault="00E66070" w:rsidP="00BD1A3A">
            <w:r>
              <w:t xml:space="preserve">GRVA </w:t>
            </w:r>
          </w:p>
          <w:p w:rsidR="00E66070" w:rsidRDefault="00E66070" w:rsidP="00BD1A3A">
            <w:r>
              <w:t xml:space="preserve">(supported by </w:t>
            </w:r>
            <w:proofErr w:type="spellStart"/>
            <w:r>
              <w:t>webex</w:t>
            </w:r>
            <w:proofErr w:type="spellEnd"/>
            <w:r>
              <w:t xml:space="preserve"> meetings)</w:t>
            </w:r>
          </w:p>
        </w:tc>
        <w:tc>
          <w:tcPr>
            <w:tcW w:w="437" w:type="dxa"/>
            <w:tcBorders>
              <w:top w:val="single" w:sz="12" w:space="0" w:color="auto"/>
            </w:tcBorders>
          </w:tcPr>
          <w:p w:rsidR="00E66070" w:rsidRDefault="00E66070" w:rsidP="00BD1A3A"/>
        </w:tc>
        <w:tc>
          <w:tcPr>
            <w:tcW w:w="627" w:type="dxa"/>
            <w:tcBorders>
              <w:top w:val="single" w:sz="12" w:space="0" w:color="auto"/>
            </w:tcBorders>
          </w:tcPr>
          <w:p w:rsidR="00E66070" w:rsidRDefault="00E66070" w:rsidP="00BD1A3A"/>
        </w:tc>
        <w:tc>
          <w:tcPr>
            <w:tcW w:w="425" w:type="dxa"/>
            <w:tcBorders>
              <w:top w:val="single" w:sz="12" w:space="0" w:color="auto"/>
            </w:tcBorders>
          </w:tcPr>
          <w:p w:rsidR="00E66070" w:rsidRDefault="00E66070" w:rsidP="00BD1A3A"/>
        </w:tc>
        <w:tc>
          <w:tcPr>
            <w:tcW w:w="621" w:type="dxa"/>
            <w:tcBorders>
              <w:top w:val="single" w:sz="12" w:space="0" w:color="auto"/>
            </w:tcBorders>
          </w:tcPr>
          <w:p w:rsidR="00E66070" w:rsidRDefault="00E66070" w:rsidP="00BD1A3A"/>
        </w:tc>
        <w:tc>
          <w:tcPr>
            <w:tcW w:w="2054" w:type="dxa"/>
            <w:tcBorders>
              <w:top w:val="single" w:sz="12" w:space="0" w:color="auto"/>
            </w:tcBorders>
          </w:tcPr>
          <w:p w:rsidR="00E66070" w:rsidRDefault="00E66070" w:rsidP="00BD1A3A">
            <w:r>
              <w:t>2 months</w:t>
            </w:r>
          </w:p>
        </w:tc>
      </w:tr>
      <w:tr w:rsidR="00E66070" w:rsidTr="00BD1A3A">
        <w:tc>
          <w:tcPr>
            <w:tcW w:w="2182" w:type="dxa"/>
          </w:tcPr>
          <w:p w:rsidR="00C22352" w:rsidRPr="00C22352" w:rsidRDefault="00C22352" w:rsidP="00C22352">
            <w:pPr>
              <w:rPr>
                <w:b/>
                <w:bCs/>
              </w:rPr>
            </w:pPr>
            <w:r w:rsidRPr="00C22352">
              <w:rPr>
                <w:b/>
                <w:bCs/>
              </w:rPr>
              <w:t>Functional</w:t>
            </w:r>
          </w:p>
          <w:p w:rsidR="00C22352" w:rsidRPr="00C22352" w:rsidRDefault="00C22352" w:rsidP="00C22352">
            <w:pPr>
              <w:rPr>
                <w:b/>
                <w:bCs/>
              </w:rPr>
            </w:pPr>
            <w:r w:rsidRPr="00C22352">
              <w:rPr>
                <w:b/>
                <w:bCs/>
              </w:rPr>
              <w:t>Requirements for</w:t>
            </w:r>
          </w:p>
          <w:p w:rsidR="00C22352" w:rsidRPr="00C22352" w:rsidRDefault="00C22352" w:rsidP="00C22352">
            <w:pPr>
              <w:rPr>
                <w:b/>
                <w:bCs/>
              </w:rPr>
            </w:pPr>
            <w:r w:rsidRPr="00C22352">
              <w:rPr>
                <w:b/>
                <w:bCs/>
              </w:rPr>
              <w:t>automated /</w:t>
            </w:r>
          </w:p>
          <w:p w:rsidR="00E66070" w:rsidRPr="00E66070" w:rsidRDefault="00C22352" w:rsidP="00747E3B">
            <w:pPr>
              <w:rPr>
                <w:b/>
                <w:bCs/>
              </w:rPr>
            </w:pPr>
            <w:r w:rsidRPr="00C22352">
              <w:rPr>
                <w:b/>
                <w:bCs/>
              </w:rPr>
              <w:t>autonomous</w:t>
            </w:r>
            <w:r w:rsidR="00747E3B">
              <w:rPr>
                <w:b/>
                <w:bCs/>
              </w:rPr>
              <w:t xml:space="preserve"> </w:t>
            </w:r>
            <w:r w:rsidRPr="00C22352">
              <w:rPr>
                <w:b/>
                <w:bCs/>
              </w:rPr>
              <w:t>vehicles</w:t>
            </w:r>
          </w:p>
        </w:tc>
        <w:tc>
          <w:tcPr>
            <w:tcW w:w="2278" w:type="dxa"/>
            <w:tcBorders>
              <w:bottom w:val="single" w:sz="4" w:space="0" w:color="auto"/>
            </w:tcBorders>
          </w:tcPr>
          <w:p w:rsidR="00E66070" w:rsidRDefault="00747E3B" w:rsidP="00BD1A3A">
            <w:r>
              <w:t>FRVA</w:t>
            </w:r>
            <w:r w:rsidR="00E66070">
              <w:t xml:space="preserve"> *</w:t>
            </w:r>
          </w:p>
          <w:p w:rsidR="00E66070" w:rsidRDefault="00E66070" w:rsidP="00BD1A3A">
            <w:r w:rsidRPr="001D7C6D">
              <w:rPr>
                <w:sz w:val="16"/>
                <w:szCs w:val="16"/>
              </w:rPr>
              <w:t>(* working under the former mandate of the IWG on ACSF)</w:t>
            </w:r>
          </w:p>
        </w:tc>
        <w:tc>
          <w:tcPr>
            <w:tcW w:w="437" w:type="dxa"/>
          </w:tcPr>
          <w:p w:rsidR="00E66070" w:rsidRDefault="00E66070" w:rsidP="00BD1A3A">
            <w:r>
              <w:t>X</w:t>
            </w:r>
          </w:p>
        </w:tc>
        <w:tc>
          <w:tcPr>
            <w:tcW w:w="627" w:type="dxa"/>
          </w:tcPr>
          <w:p w:rsidR="00E66070" w:rsidRDefault="00E66070" w:rsidP="00BD1A3A"/>
        </w:tc>
        <w:tc>
          <w:tcPr>
            <w:tcW w:w="425" w:type="dxa"/>
          </w:tcPr>
          <w:p w:rsidR="00E66070" w:rsidRDefault="00E66070" w:rsidP="00BD1A3A"/>
        </w:tc>
        <w:tc>
          <w:tcPr>
            <w:tcW w:w="621" w:type="dxa"/>
          </w:tcPr>
          <w:p w:rsidR="00E66070" w:rsidRDefault="00E66070" w:rsidP="00BD1A3A"/>
        </w:tc>
        <w:tc>
          <w:tcPr>
            <w:tcW w:w="2054" w:type="dxa"/>
          </w:tcPr>
          <w:p w:rsidR="00E66070" w:rsidRDefault="00E66070" w:rsidP="00BD1A3A">
            <w:r>
              <w:t xml:space="preserve">36 months </w:t>
            </w:r>
          </w:p>
          <w:p w:rsidR="00E66070" w:rsidRDefault="00E66070" w:rsidP="00BD1A3A"/>
        </w:tc>
      </w:tr>
      <w:tr w:rsidR="00E66070" w:rsidTr="00BD1A3A">
        <w:tc>
          <w:tcPr>
            <w:tcW w:w="2182" w:type="dxa"/>
          </w:tcPr>
          <w:p w:rsidR="00E66070" w:rsidRDefault="00E66070" w:rsidP="00BD1A3A">
            <w:pPr>
              <w:jc w:val="right"/>
            </w:pPr>
            <w:r>
              <w:t>ALKS</w:t>
            </w:r>
          </w:p>
        </w:tc>
        <w:tc>
          <w:tcPr>
            <w:tcW w:w="2278" w:type="dxa"/>
            <w:tcBorders>
              <w:top w:val="single" w:sz="4" w:space="0" w:color="auto"/>
            </w:tcBorders>
          </w:tcPr>
          <w:p w:rsidR="00C7480F" w:rsidRDefault="00747E3B" w:rsidP="00237571">
            <w:r>
              <w:t>FRVA</w:t>
            </w:r>
          </w:p>
          <w:p w:rsidR="00237571" w:rsidRDefault="00237571" w:rsidP="00237571"/>
        </w:tc>
        <w:tc>
          <w:tcPr>
            <w:tcW w:w="437" w:type="dxa"/>
          </w:tcPr>
          <w:p w:rsidR="00E66070" w:rsidRDefault="00E66070" w:rsidP="00BD1A3A">
            <w:r>
              <w:t>X</w:t>
            </w:r>
          </w:p>
        </w:tc>
        <w:tc>
          <w:tcPr>
            <w:tcW w:w="627" w:type="dxa"/>
          </w:tcPr>
          <w:p w:rsidR="00E66070" w:rsidRDefault="00E66070" w:rsidP="00BD1A3A"/>
        </w:tc>
        <w:tc>
          <w:tcPr>
            <w:tcW w:w="425" w:type="dxa"/>
          </w:tcPr>
          <w:p w:rsidR="00E66070" w:rsidRDefault="00E66070" w:rsidP="00BD1A3A"/>
        </w:tc>
        <w:tc>
          <w:tcPr>
            <w:tcW w:w="621" w:type="dxa"/>
          </w:tcPr>
          <w:p w:rsidR="00E66070" w:rsidRDefault="00E66070" w:rsidP="00BD1A3A"/>
        </w:tc>
        <w:tc>
          <w:tcPr>
            <w:tcW w:w="2054" w:type="dxa"/>
          </w:tcPr>
          <w:p w:rsidR="00E66070" w:rsidRDefault="00E66070" w:rsidP="00BD1A3A">
            <w:r>
              <w:t>12 months</w:t>
            </w:r>
          </w:p>
        </w:tc>
      </w:tr>
      <w:tr w:rsidR="00C22352" w:rsidTr="00BD1A3A">
        <w:tc>
          <w:tcPr>
            <w:tcW w:w="2182" w:type="dxa"/>
          </w:tcPr>
          <w:p w:rsidR="00C22352" w:rsidRPr="00C22352" w:rsidRDefault="00C22352" w:rsidP="00C22352">
            <w:pPr>
              <w:rPr>
                <w:b/>
                <w:bCs/>
              </w:rPr>
            </w:pPr>
            <w:r w:rsidRPr="00C22352">
              <w:rPr>
                <w:b/>
                <w:bCs/>
              </w:rPr>
              <w:t>New Assessment / Test Methods</w:t>
            </w:r>
          </w:p>
          <w:p w:rsidR="00C22352" w:rsidRDefault="00C22352" w:rsidP="00C22352"/>
        </w:tc>
        <w:tc>
          <w:tcPr>
            <w:tcW w:w="2278" w:type="dxa"/>
          </w:tcPr>
          <w:p w:rsidR="00C22352" w:rsidRPr="00C60C1A" w:rsidRDefault="00C22352" w:rsidP="00C22352">
            <w:r>
              <w:t>VMAD</w:t>
            </w:r>
            <w:r w:rsidRPr="00C60C1A">
              <w:t>**</w:t>
            </w:r>
          </w:p>
          <w:p w:rsidR="00C7480F" w:rsidRPr="00C7480F" w:rsidRDefault="00C22352" w:rsidP="00C7480F">
            <w:pPr>
              <w:rPr>
                <w:sz w:val="16"/>
                <w:szCs w:val="16"/>
              </w:rPr>
            </w:pPr>
            <w:r w:rsidRPr="00C60C1A">
              <w:rPr>
                <w:sz w:val="16"/>
                <w:szCs w:val="16"/>
              </w:rPr>
              <w:t xml:space="preserve">(** working under the temporary </w:t>
            </w:r>
            <w:r w:rsidR="00237571">
              <w:rPr>
                <w:sz w:val="16"/>
                <w:szCs w:val="16"/>
              </w:rPr>
              <w:t xml:space="preserve">general </w:t>
            </w:r>
            <w:r w:rsidRPr="00C60C1A">
              <w:rPr>
                <w:sz w:val="16"/>
                <w:szCs w:val="16"/>
              </w:rPr>
              <w:t>mandate pro</w:t>
            </w:r>
            <w:r>
              <w:rPr>
                <w:sz w:val="16"/>
                <w:szCs w:val="16"/>
              </w:rPr>
              <w:t>posed in informal doc GRVA-02-14</w:t>
            </w:r>
            <w:r w:rsidRPr="00C60C1A">
              <w:rPr>
                <w:sz w:val="16"/>
                <w:szCs w:val="16"/>
              </w:rPr>
              <w:t>)</w:t>
            </w:r>
          </w:p>
        </w:tc>
        <w:tc>
          <w:tcPr>
            <w:tcW w:w="437" w:type="dxa"/>
          </w:tcPr>
          <w:p w:rsidR="00C22352" w:rsidRDefault="00C22352" w:rsidP="00C22352"/>
        </w:tc>
        <w:tc>
          <w:tcPr>
            <w:tcW w:w="627" w:type="dxa"/>
          </w:tcPr>
          <w:p w:rsidR="00C22352" w:rsidRDefault="00C22352" w:rsidP="00C22352">
            <w:r>
              <w:t>X</w:t>
            </w:r>
          </w:p>
        </w:tc>
        <w:tc>
          <w:tcPr>
            <w:tcW w:w="425" w:type="dxa"/>
          </w:tcPr>
          <w:p w:rsidR="00C22352" w:rsidRDefault="00C22352" w:rsidP="00C22352"/>
        </w:tc>
        <w:tc>
          <w:tcPr>
            <w:tcW w:w="621" w:type="dxa"/>
          </w:tcPr>
          <w:p w:rsidR="00C22352" w:rsidRDefault="00C22352" w:rsidP="00C22352"/>
        </w:tc>
        <w:tc>
          <w:tcPr>
            <w:tcW w:w="2054" w:type="dxa"/>
          </w:tcPr>
          <w:p w:rsidR="00C22352" w:rsidRDefault="00C22352" w:rsidP="00C22352">
            <w:r>
              <w:t>[December 2020]</w:t>
            </w:r>
          </w:p>
        </w:tc>
      </w:tr>
      <w:tr w:rsidR="00C22352" w:rsidTr="00BD1A3A">
        <w:tc>
          <w:tcPr>
            <w:tcW w:w="2182" w:type="dxa"/>
          </w:tcPr>
          <w:p w:rsidR="00C22352" w:rsidRDefault="00C22352" w:rsidP="00C22352">
            <w:pPr>
              <w:jc w:val="right"/>
            </w:pPr>
            <w:r w:rsidRPr="00DD5438">
              <w:t>Requirements for functional safety</w:t>
            </w:r>
          </w:p>
          <w:p w:rsidR="00C22352" w:rsidRPr="00DD5438" w:rsidRDefault="00C22352" w:rsidP="00C22352">
            <w:pPr>
              <w:jc w:val="right"/>
            </w:pPr>
            <w:r>
              <w:t>“CEL”</w:t>
            </w:r>
          </w:p>
        </w:tc>
        <w:tc>
          <w:tcPr>
            <w:tcW w:w="2278" w:type="dxa"/>
          </w:tcPr>
          <w:p w:rsidR="00C22352" w:rsidRPr="00C60C1A" w:rsidRDefault="00237571" w:rsidP="00C22352">
            <w:r>
              <w:t>VMAD</w:t>
            </w:r>
          </w:p>
          <w:p w:rsidR="00C22352" w:rsidRDefault="00C22352" w:rsidP="00C22352"/>
        </w:tc>
        <w:tc>
          <w:tcPr>
            <w:tcW w:w="437" w:type="dxa"/>
          </w:tcPr>
          <w:p w:rsidR="00C22352" w:rsidRDefault="00C22352" w:rsidP="00C22352"/>
        </w:tc>
        <w:tc>
          <w:tcPr>
            <w:tcW w:w="627" w:type="dxa"/>
          </w:tcPr>
          <w:p w:rsidR="00C22352" w:rsidRDefault="00C22352" w:rsidP="00C22352">
            <w:r>
              <w:t>X</w:t>
            </w:r>
          </w:p>
        </w:tc>
        <w:tc>
          <w:tcPr>
            <w:tcW w:w="425" w:type="dxa"/>
          </w:tcPr>
          <w:p w:rsidR="00C22352" w:rsidRDefault="00C22352" w:rsidP="00C22352"/>
        </w:tc>
        <w:tc>
          <w:tcPr>
            <w:tcW w:w="621" w:type="dxa"/>
          </w:tcPr>
          <w:p w:rsidR="00C22352" w:rsidRDefault="00C22352" w:rsidP="00C22352"/>
        </w:tc>
        <w:tc>
          <w:tcPr>
            <w:tcW w:w="2054" w:type="dxa"/>
          </w:tcPr>
          <w:p w:rsidR="00C22352" w:rsidRDefault="00C22352" w:rsidP="00C22352">
            <w:r>
              <w:t>ALKS: 12 months</w:t>
            </w:r>
          </w:p>
          <w:p w:rsidR="00C22352" w:rsidRDefault="00C22352" w:rsidP="00C22352"/>
          <w:p w:rsidR="00C22352" w:rsidRDefault="00C22352" w:rsidP="00C22352">
            <w:pPr>
              <w:rPr>
                <w:strike/>
              </w:rPr>
            </w:pPr>
          </w:p>
          <w:p w:rsidR="00C22352" w:rsidRPr="00DD5438" w:rsidRDefault="00C22352" w:rsidP="00C22352"/>
        </w:tc>
      </w:tr>
      <w:tr w:rsidR="00C22352" w:rsidTr="00BD1A3A">
        <w:tc>
          <w:tcPr>
            <w:tcW w:w="2182" w:type="dxa"/>
          </w:tcPr>
          <w:p w:rsidR="00237571" w:rsidRPr="00237571" w:rsidRDefault="00C22352" w:rsidP="00237571">
            <w:pPr>
              <w:rPr>
                <w:b/>
                <w:bCs/>
              </w:rPr>
            </w:pPr>
            <w:r w:rsidRPr="00C22352">
              <w:rPr>
                <w:b/>
                <w:bCs/>
              </w:rPr>
              <w:t>Cyber security and (OTA) software updates</w:t>
            </w:r>
          </w:p>
        </w:tc>
        <w:tc>
          <w:tcPr>
            <w:tcW w:w="2278" w:type="dxa"/>
          </w:tcPr>
          <w:p w:rsidR="00C22352" w:rsidRDefault="00C22352" w:rsidP="00C22352">
            <w:r>
              <w:t>CS/OTA***</w:t>
            </w:r>
          </w:p>
          <w:p w:rsidR="00C7480F" w:rsidRPr="00C7480F" w:rsidRDefault="00C22352" w:rsidP="00C7480F">
            <w:pPr>
              <w:rPr>
                <w:sz w:val="16"/>
                <w:szCs w:val="16"/>
              </w:rPr>
            </w:pPr>
            <w:r w:rsidRPr="001D7C6D">
              <w:rPr>
                <w:sz w:val="16"/>
                <w:szCs w:val="16"/>
              </w:rPr>
              <w:t>(*** working under the</w:t>
            </w:r>
            <w:r w:rsidR="00237571">
              <w:rPr>
                <w:sz w:val="16"/>
                <w:szCs w:val="16"/>
              </w:rPr>
              <w:t xml:space="preserve"> current</w:t>
            </w:r>
            <w:r w:rsidRPr="001D7C6D">
              <w:rPr>
                <w:sz w:val="16"/>
                <w:szCs w:val="16"/>
              </w:rPr>
              <w:t xml:space="preserve"> mandate, extended to perform the test phase)</w:t>
            </w:r>
          </w:p>
        </w:tc>
        <w:tc>
          <w:tcPr>
            <w:tcW w:w="437" w:type="dxa"/>
          </w:tcPr>
          <w:p w:rsidR="00C22352" w:rsidRDefault="00C22352" w:rsidP="00C22352"/>
        </w:tc>
        <w:tc>
          <w:tcPr>
            <w:tcW w:w="627" w:type="dxa"/>
          </w:tcPr>
          <w:p w:rsidR="00C22352" w:rsidRDefault="00C22352" w:rsidP="00C22352"/>
        </w:tc>
        <w:tc>
          <w:tcPr>
            <w:tcW w:w="425" w:type="dxa"/>
          </w:tcPr>
          <w:p w:rsidR="00C22352" w:rsidRDefault="00C22352" w:rsidP="00C22352"/>
        </w:tc>
        <w:tc>
          <w:tcPr>
            <w:tcW w:w="621" w:type="dxa"/>
          </w:tcPr>
          <w:p w:rsidR="00C22352" w:rsidRDefault="00C22352" w:rsidP="00C22352"/>
        </w:tc>
        <w:tc>
          <w:tcPr>
            <w:tcW w:w="2054" w:type="dxa"/>
          </w:tcPr>
          <w:p w:rsidR="00C22352" w:rsidRDefault="00C22352" w:rsidP="00C22352">
            <w:r>
              <w:t>12 months</w:t>
            </w:r>
          </w:p>
        </w:tc>
      </w:tr>
      <w:tr w:rsidR="00C22352" w:rsidTr="00BD1A3A">
        <w:tc>
          <w:tcPr>
            <w:tcW w:w="2182" w:type="dxa"/>
          </w:tcPr>
          <w:p w:rsidR="00C22352" w:rsidRDefault="00C22352" w:rsidP="00C22352">
            <w:pPr>
              <w:rPr>
                <w:b/>
                <w:bCs/>
              </w:rPr>
            </w:pPr>
            <w:r w:rsidRPr="00C22352">
              <w:rPr>
                <w:b/>
                <w:bCs/>
              </w:rPr>
              <w:t>DSSAD</w:t>
            </w:r>
          </w:p>
          <w:p w:rsidR="00C22352" w:rsidRPr="00C22352" w:rsidRDefault="00C22352" w:rsidP="00C22352">
            <w:pPr>
              <w:jc w:val="right"/>
            </w:pPr>
            <w:r w:rsidRPr="00C22352">
              <w:t>Specific for ALKS</w:t>
            </w:r>
          </w:p>
          <w:p w:rsidR="00C22352" w:rsidRPr="00C22352" w:rsidRDefault="00C22352" w:rsidP="00C22352">
            <w:pPr>
              <w:jc w:val="right"/>
            </w:pPr>
          </w:p>
          <w:p w:rsidR="00C22352" w:rsidRDefault="00C22352" w:rsidP="00C22352">
            <w:pPr>
              <w:jc w:val="right"/>
            </w:pPr>
          </w:p>
          <w:p w:rsidR="00C22352" w:rsidRPr="00C22352" w:rsidRDefault="00C22352" w:rsidP="00C22352">
            <w:pPr>
              <w:jc w:val="right"/>
              <w:rPr>
                <w:b/>
                <w:bCs/>
              </w:rPr>
            </w:pPr>
          </w:p>
        </w:tc>
        <w:tc>
          <w:tcPr>
            <w:tcW w:w="2278" w:type="dxa"/>
          </w:tcPr>
          <w:p w:rsidR="00237571" w:rsidRDefault="00237571" w:rsidP="00C22352"/>
          <w:p w:rsidR="00C22352" w:rsidRDefault="00747E3B" w:rsidP="00C22352">
            <w:r>
              <w:t>FRVA</w:t>
            </w:r>
            <w:r w:rsidR="00C22352">
              <w:t xml:space="preserve"> (or subgroup)</w:t>
            </w:r>
          </w:p>
          <w:p w:rsidR="00C22352" w:rsidRPr="00C60C1A" w:rsidRDefault="00C22352" w:rsidP="00C22352"/>
        </w:tc>
        <w:tc>
          <w:tcPr>
            <w:tcW w:w="437" w:type="dxa"/>
          </w:tcPr>
          <w:p w:rsidR="00C22352" w:rsidRDefault="00C22352" w:rsidP="00C22352"/>
          <w:p w:rsidR="00C22352" w:rsidRDefault="00C22352" w:rsidP="00C22352">
            <w:r>
              <w:t>X</w:t>
            </w:r>
          </w:p>
        </w:tc>
        <w:tc>
          <w:tcPr>
            <w:tcW w:w="627" w:type="dxa"/>
          </w:tcPr>
          <w:p w:rsidR="00C22352" w:rsidRDefault="00C22352" w:rsidP="00C22352"/>
        </w:tc>
        <w:tc>
          <w:tcPr>
            <w:tcW w:w="425" w:type="dxa"/>
          </w:tcPr>
          <w:p w:rsidR="00C22352" w:rsidRDefault="00C22352" w:rsidP="00C22352"/>
        </w:tc>
        <w:tc>
          <w:tcPr>
            <w:tcW w:w="621" w:type="dxa"/>
          </w:tcPr>
          <w:p w:rsidR="00C22352" w:rsidRDefault="00C22352" w:rsidP="00C22352"/>
        </w:tc>
        <w:tc>
          <w:tcPr>
            <w:tcW w:w="2054" w:type="dxa"/>
          </w:tcPr>
          <w:p w:rsidR="00C22352" w:rsidRDefault="00C22352" w:rsidP="00C22352"/>
          <w:p w:rsidR="00C22352" w:rsidRDefault="00C22352" w:rsidP="00C22352">
            <w:r>
              <w:t xml:space="preserve">DSSAD for ALKS: </w:t>
            </w:r>
          </w:p>
          <w:p w:rsidR="00C22352" w:rsidRDefault="00C22352" w:rsidP="00C22352">
            <w:r>
              <w:t>12 months</w:t>
            </w:r>
          </w:p>
          <w:p w:rsidR="00C22352" w:rsidRPr="001A3C10" w:rsidRDefault="00C22352" w:rsidP="00C22352"/>
        </w:tc>
      </w:tr>
      <w:tr w:rsidR="00C22352" w:rsidTr="00C22352">
        <w:tc>
          <w:tcPr>
            <w:tcW w:w="2182" w:type="dxa"/>
            <w:tcBorders>
              <w:bottom w:val="single" w:sz="12" w:space="0" w:color="auto"/>
            </w:tcBorders>
          </w:tcPr>
          <w:p w:rsidR="00C22352" w:rsidRPr="00C22352" w:rsidRDefault="00237571" w:rsidP="00237571">
            <w:pPr>
              <w:jc w:val="right"/>
              <w:rPr>
                <w:b/>
                <w:bCs/>
              </w:rPr>
            </w:pPr>
            <w:r w:rsidRPr="00C22352">
              <w:t>General</w:t>
            </w:r>
          </w:p>
        </w:tc>
        <w:tc>
          <w:tcPr>
            <w:tcW w:w="2278" w:type="dxa"/>
            <w:tcBorders>
              <w:bottom w:val="single" w:sz="12" w:space="0" w:color="auto"/>
            </w:tcBorders>
          </w:tcPr>
          <w:p w:rsidR="00C22352" w:rsidRDefault="00C22352" w:rsidP="00C22352">
            <w:r w:rsidRPr="00C60C1A">
              <w:t>New group</w:t>
            </w:r>
          </w:p>
        </w:tc>
        <w:tc>
          <w:tcPr>
            <w:tcW w:w="437" w:type="dxa"/>
            <w:tcBorders>
              <w:bottom w:val="single" w:sz="12" w:space="0" w:color="auto"/>
            </w:tcBorders>
          </w:tcPr>
          <w:p w:rsidR="00C22352" w:rsidRDefault="00C22352" w:rsidP="00C22352"/>
        </w:tc>
        <w:tc>
          <w:tcPr>
            <w:tcW w:w="627" w:type="dxa"/>
            <w:tcBorders>
              <w:bottom w:val="single" w:sz="12" w:space="0" w:color="auto"/>
            </w:tcBorders>
          </w:tcPr>
          <w:p w:rsidR="00C22352" w:rsidRDefault="00C22352" w:rsidP="00C22352"/>
        </w:tc>
        <w:tc>
          <w:tcPr>
            <w:tcW w:w="425" w:type="dxa"/>
            <w:tcBorders>
              <w:bottom w:val="single" w:sz="12" w:space="0" w:color="auto"/>
            </w:tcBorders>
          </w:tcPr>
          <w:p w:rsidR="00C22352" w:rsidRDefault="00C22352" w:rsidP="00C22352"/>
        </w:tc>
        <w:tc>
          <w:tcPr>
            <w:tcW w:w="621" w:type="dxa"/>
            <w:tcBorders>
              <w:bottom w:val="single" w:sz="12" w:space="0" w:color="auto"/>
            </w:tcBorders>
          </w:tcPr>
          <w:p w:rsidR="00C22352" w:rsidRDefault="00C22352" w:rsidP="00C22352">
            <w:r>
              <w:t>X</w:t>
            </w:r>
          </w:p>
        </w:tc>
        <w:tc>
          <w:tcPr>
            <w:tcW w:w="2054" w:type="dxa"/>
            <w:tcBorders>
              <w:bottom w:val="single" w:sz="12" w:space="0" w:color="auto"/>
            </w:tcBorders>
          </w:tcPr>
          <w:p w:rsidR="00C22352" w:rsidRDefault="00C22352" w:rsidP="00C22352">
            <w:r>
              <w:t>Review in September 2019</w:t>
            </w:r>
          </w:p>
          <w:p w:rsidR="00C22352" w:rsidRDefault="00C22352" w:rsidP="00C22352">
            <w:r>
              <w:rPr>
                <w:rFonts w:eastAsia="MS PGothic"/>
                <w:bCs/>
                <w:sz w:val="18"/>
                <w:szCs w:val="18"/>
              </w:rPr>
              <w:t>(incl. C</w:t>
            </w:r>
            <w:r w:rsidRPr="001A3C10">
              <w:rPr>
                <w:rFonts w:eastAsia="MS PGothic"/>
                <w:bCs/>
                <w:sz w:val="18"/>
                <w:szCs w:val="18"/>
              </w:rPr>
              <w:t>lear objectives, deadline and the identification of differences with EDR to be determined first before discussion on detailed data information)</w:t>
            </w:r>
          </w:p>
        </w:tc>
      </w:tr>
    </w:tbl>
    <w:p w:rsidR="00747E3B" w:rsidRDefault="00747E3B" w:rsidP="00237571">
      <w:pPr>
        <w:spacing w:after="0" w:line="240" w:lineRule="auto"/>
        <w:rPr>
          <w:sz w:val="20"/>
          <w:szCs w:val="20"/>
        </w:rPr>
      </w:pPr>
      <w:r w:rsidRPr="00747E3B">
        <w:rPr>
          <w:sz w:val="20"/>
          <w:szCs w:val="20"/>
        </w:rPr>
        <w:t>Note:</w:t>
      </w:r>
    </w:p>
    <w:p w:rsidR="00747E3B" w:rsidRPr="00747E3B" w:rsidRDefault="00747E3B" w:rsidP="00237571">
      <w:pPr>
        <w:pStyle w:val="ListParagraph"/>
        <w:numPr>
          <w:ilvl w:val="0"/>
          <w:numId w:val="1"/>
        </w:numPr>
        <w:spacing w:after="0" w:line="240" w:lineRule="auto"/>
        <w:ind w:left="284" w:hanging="283"/>
      </w:pPr>
      <w:r w:rsidRPr="00747E3B">
        <w:rPr>
          <w:sz w:val="18"/>
          <w:szCs w:val="18"/>
        </w:rPr>
        <w:t xml:space="preserve">FRVA is the new Informal </w:t>
      </w:r>
      <w:r>
        <w:rPr>
          <w:sz w:val="18"/>
          <w:szCs w:val="18"/>
        </w:rPr>
        <w:t>Working G</w:t>
      </w:r>
      <w:r w:rsidRPr="00747E3B">
        <w:rPr>
          <w:sz w:val="18"/>
          <w:szCs w:val="18"/>
        </w:rPr>
        <w:t>roup on Functional Requirements for Automated/Autonomous Vehicles</w:t>
      </w:r>
    </w:p>
    <w:p w:rsidR="00237571" w:rsidRDefault="00747E3B" w:rsidP="00BA687B">
      <w:pPr>
        <w:pStyle w:val="ListParagraph"/>
        <w:numPr>
          <w:ilvl w:val="0"/>
          <w:numId w:val="1"/>
        </w:numPr>
        <w:spacing w:after="0" w:line="240" w:lineRule="auto"/>
        <w:ind w:left="284" w:hanging="283"/>
      </w:pPr>
      <w:r>
        <w:rPr>
          <w:sz w:val="18"/>
          <w:szCs w:val="18"/>
        </w:rPr>
        <w:t xml:space="preserve">VMAD is the new </w:t>
      </w:r>
      <w:r w:rsidR="00237571">
        <w:rPr>
          <w:sz w:val="18"/>
          <w:szCs w:val="18"/>
        </w:rPr>
        <w:t>Informal Working Group on</w:t>
      </w:r>
      <w:r w:rsidR="00237571" w:rsidRPr="00237571">
        <w:rPr>
          <w:sz w:val="18"/>
          <w:szCs w:val="18"/>
        </w:rPr>
        <w:t xml:space="preserve"> </w:t>
      </w:r>
      <w:r w:rsidR="00237571">
        <w:rPr>
          <w:sz w:val="18"/>
          <w:szCs w:val="18"/>
        </w:rPr>
        <w:t xml:space="preserve">the </w:t>
      </w:r>
      <w:r w:rsidR="00237571" w:rsidRPr="00237571">
        <w:rPr>
          <w:sz w:val="18"/>
          <w:szCs w:val="18"/>
        </w:rPr>
        <w:t>Validation Met</w:t>
      </w:r>
      <w:r w:rsidR="00237571">
        <w:rPr>
          <w:sz w:val="18"/>
          <w:szCs w:val="18"/>
        </w:rPr>
        <w:t>hod for Automated Driving</w:t>
      </w:r>
    </w:p>
    <w:sectPr w:rsidR="00237571" w:rsidSect="00747E3B">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070" w:rsidRDefault="00E66070" w:rsidP="00E66070">
      <w:pPr>
        <w:spacing w:after="0" w:line="240" w:lineRule="auto"/>
      </w:pPr>
      <w:r>
        <w:separator/>
      </w:r>
    </w:p>
  </w:endnote>
  <w:endnote w:type="continuationSeparator" w:id="0">
    <w:p w:rsidR="00E66070" w:rsidRDefault="00E66070" w:rsidP="00E66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070" w:rsidRDefault="00E66070" w:rsidP="00E66070">
      <w:pPr>
        <w:spacing w:after="0" w:line="240" w:lineRule="auto"/>
      </w:pPr>
      <w:r>
        <w:separator/>
      </w:r>
    </w:p>
  </w:footnote>
  <w:footnote w:type="continuationSeparator" w:id="0">
    <w:p w:rsidR="00E66070" w:rsidRDefault="00E66070" w:rsidP="00E66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66070" w:rsidTr="00E66070">
      <w:tc>
        <w:tcPr>
          <w:tcW w:w="4508" w:type="dxa"/>
        </w:tcPr>
        <w:p w:rsidR="00E66070" w:rsidRDefault="00E66070">
          <w:pPr>
            <w:pStyle w:val="Header"/>
          </w:pPr>
          <w:r>
            <w:t>Note by the secretariat</w:t>
          </w:r>
        </w:p>
      </w:tc>
      <w:tc>
        <w:tcPr>
          <w:tcW w:w="4508" w:type="dxa"/>
        </w:tcPr>
        <w:p w:rsidR="00E66070" w:rsidRDefault="00E66070">
          <w:pPr>
            <w:pStyle w:val="Header"/>
          </w:pPr>
          <w:r w:rsidRPr="00E66070">
            <w:rPr>
              <w:u w:val="single"/>
            </w:rPr>
            <w:t>Informal document</w:t>
          </w:r>
          <w:r>
            <w:t xml:space="preserve"> </w:t>
          </w:r>
          <w:r w:rsidRPr="00E66070">
            <w:rPr>
              <w:b/>
              <w:bCs/>
            </w:rPr>
            <w:t>GRVA-02-44</w:t>
          </w:r>
          <w:r w:rsidR="00BA687B">
            <w:rPr>
              <w:b/>
              <w:bCs/>
            </w:rPr>
            <w:t xml:space="preserve"> (reissued)</w:t>
          </w:r>
          <w:r>
            <w:br/>
            <w:t>2</w:t>
          </w:r>
          <w:r w:rsidRPr="00E66070">
            <w:rPr>
              <w:vertAlign w:val="superscript"/>
            </w:rPr>
            <w:t>nd</w:t>
          </w:r>
          <w:r>
            <w:t xml:space="preserve"> GRVA, 28 January – 1 February 2019</w:t>
          </w:r>
        </w:p>
        <w:p w:rsidR="00E66070" w:rsidRDefault="00E66070">
          <w:pPr>
            <w:pStyle w:val="Header"/>
          </w:pPr>
          <w:r>
            <w:t xml:space="preserve">Agenda item 3 </w:t>
          </w:r>
        </w:p>
      </w:tc>
    </w:tr>
  </w:tbl>
  <w:p w:rsidR="00E66070" w:rsidRDefault="00E660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F4340"/>
    <w:multiLevelType w:val="hybridMultilevel"/>
    <w:tmpl w:val="8546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C6D"/>
    <w:rsid w:val="001A3C10"/>
    <w:rsid w:val="001D7C6D"/>
    <w:rsid w:val="00237571"/>
    <w:rsid w:val="002B0C6F"/>
    <w:rsid w:val="00491FB5"/>
    <w:rsid w:val="0053237F"/>
    <w:rsid w:val="005D3291"/>
    <w:rsid w:val="00636CD9"/>
    <w:rsid w:val="00747E3B"/>
    <w:rsid w:val="00993D88"/>
    <w:rsid w:val="00A61B9D"/>
    <w:rsid w:val="00AB41CE"/>
    <w:rsid w:val="00BA687B"/>
    <w:rsid w:val="00C22352"/>
    <w:rsid w:val="00C60C1A"/>
    <w:rsid w:val="00C7480F"/>
    <w:rsid w:val="00D80322"/>
    <w:rsid w:val="00DD5438"/>
    <w:rsid w:val="00E66070"/>
    <w:rsid w:val="00EC55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037249"/>
  <w15:chartTrackingRefBased/>
  <w15:docId w15:val="{8F861742-7580-4E81-B98D-A645D888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7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C6D"/>
    <w:pPr>
      <w:ind w:left="720"/>
      <w:contextualSpacing/>
    </w:pPr>
  </w:style>
  <w:style w:type="paragraph" w:styleId="Header">
    <w:name w:val="header"/>
    <w:basedOn w:val="Normal"/>
    <w:link w:val="HeaderChar"/>
    <w:uiPriority w:val="99"/>
    <w:unhideWhenUsed/>
    <w:rsid w:val="00E660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070"/>
  </w:style>
  <w:style w:type="paragraph" w:styleId="Footer">
    <w:name w:val="footer"/>
    <w:basedOn w:val="Normal"/>
    <w:link w:val="FooterChar"/>
    <w:uiPriority w:val="99"/>
    <w:unhideWhenUsed/>
    <w:rsid w:val="00E660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1586</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UNOG</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dc:creator>
  <cp:keywords/>
  <dc:description/>
  <cp:lastModifiedBy>Francois Guichard</cp:lastModifiedBy>
  <cp:revision>2</cp:revision>
  <dcterms:created xsi:type="dcterms:W3CDTF">2019-02-21T16:02:00Z</dcterms:created>
  <dcterms:modified xsi:type="dcterms:W3CDTF">2019-02-21T16:02:00Z</dcterms:modified>
</cp:coreProperties>
</file>