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691E" w14:textId="67B21C0B" w:rsidR="004F60A5" w:rsidRPr="00297156" w:rsidRDefault="004F60A5" w:rsidP="003F7EF7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297156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4ECA965C" wp14:editId="4CF7317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156">
        <w:rPr>
          <w:rFonts w:ascii="Arial" w:eastAsia="Arial" w:hAnsi="Arial" w:cs="Arial"/>
          <w:bCs/>
          <w:szCs w:val="24"/>
          <w:lang w:val="en-GB" w:eastAsia="de-DE"/>
        </w:rPr>
        <w:t>CCNR-ZKR/ADN/WP.15/AC.2/20</w:t>
      </w:r>
      <w:r w:rsidR="00182B4D" w:rsidRPr="00297156">
        <w:rPr>
          <w:rFonts w:ascii="Arial" w:eastAsia="Arial" w:hAnsi="Arial" w:cs="Arial"/>
          <w:bCs/>
          <w:szCs w:val="24"/>
          <w:lang w:val="en-GB" w:eastAsia="de-DE"/>
        </w:rPr>
        <w:t>20</w:t>
      </w:r>
      <w:r w:rsidRPr="00297156">
        <w:rPr>
          <w:rFonts w:ascii="Arial" w:eastAsia="Arial" w:hAnsi="Arial" w:cs="Arial"/>
          <w:bCs/>
          <w:szCs w:val="24"/>
          <w:lang w:val="en-GB" w:eastAsia="de-DE"/>
        </w:rPr>
        <w:t>/</w:t>
      </w:r>
      <w:r w:rsidR="00464367" w:rsidRPr="00297156">
        <w:rPr>
          <w:rFonts w:ascii="Arial" w:eastAsia="Arial" w:hAnsi="Arial" w:cs="Arial"/>
          <w:bCs/>
          <w:szCs w:val="24"/>
          <w:lang w:val="en-GB" w:eastAsia="de-DE"/>
        </w:rPr>
        <w:t>12</w:t>
      </w:r>
    </w:p>
    <w:p w14:paraId="2BFC7B0B" w14:textId="77777777" w:rsidR="007363C1" w:rsidRPr="00297156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297156">
        <w:rPr>
          <w:rFonts w:ascii="Arial" w:eastAsia="Arial" w:hAnsi="Arial" w:cs="Arial"/>
          <w:bCs/>
          <w:szCs w:val="24"/>
          <w:lang w:eastAsia="de-DE"/>
        </w:rPr>
        <w:t>Allgemeine Verteilung</w:t>
      </w:r>
    </w:p>
    <w:p w14:paraId="100911FE" w14:textId="649DF91A" w:rsidR="004F60A5" w:rsidRPr="00297156" w:rsidRDefault="00182B4D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297156">
        <w:rPr>
          <w:rFonts w:ascii="Arial" w:eastAsia="Arial" w:hAnsi="Arial" w:cs="Arial"/>
          <w:szCs w:val="24"/>
          <w:lang w:eastAsia="de-DE"/>
        </w:rPr>
        <w:t>1</w:t>
      </w:r>
      <w:r w:rsidR="00464367" w:rsidRPr="00297156">
        <w:rPr>
          <w:rFonts w:ascii="Arial" w:eastAsia="Arial" w:hAnsi="Arial" w:cs="Arial"/>
          <w:szCs w:val="24"/>
          <w:lang w:eastAsia="de-DE"/>
        </w:rPr>
        <w:t>2</w:t>
      </w:r>
      <w:r w:rsidR="004F60A5" w:rsidRPr="00297156">
        <w:rPr>
          <w:rFonts w:ascii="Arial" w:eastAsia="Arial" w:hAnsi="Arial" w:cs="Arial"/>
          <w:szCs w:val="24"/>
          <w:lang w:eastAsia="de-DE"/>
        </w:rPr>
        <w:t xml:space="preserve">. </w:t>
      </w:r>
      <w:r w:rsidRPr="00297156">
        <w:rPr>
          <w:rFonts w:ascii="Arial" w:eastAsia="Arial" w:hAnsi="Arial" w:cs="Arial"/>
          <w:szCs w:val="24"/>
          <w:lang w:eastAsia="de-DE"/>
        </w:rPr>
        <w:t>November</w:t>
      </w:r>
      <w:r w:rsidR="004F60A5" w:rsidRPr="00297156">
        <w:rPr>
          <w:rFonts w:ascii="Arial" w:eastAsia="Arial" w:hAnsi="Arial" w:cs="Arial"/>
          <w:szCs w:val="24"/>
          <w:lang w:eastAsia="de-DE"/>
        </w:rPr>
        <w:t xml:space="preserve"> 201</w:t>
      </w:r>
      <w:r w:rsidR="00C700B9" w:rsidRPr="00297156">
        <w:rPr>
          <w:rFonts w:ascii="Arial" w:eastAsia="Arial" w:hAnsi="Arial" w:cs="Arial"/>
          <w:szCs w:val="24"/>
          <w:lang w:eastAsia="de-DE"/>
        </w:rPr>
        <w:t>9</w:t>
      </w:r>
    </w:p>
    <w:p w14:paraId="4703EB34" w14:textId="77777777" w:rsidR="004F60A5" w:rsidRPr="00297156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r w:rsidRPr="00297156">
        <w:rPr>
          <w:rFonts w:ascii="Arial" w:eastAsia="Arial" w:hAnsi="Arial" w:cs="Arial"/>
          <w:sz w:val="16"/>
          <w:szCs w:val="24"/>
        </w:rPr>
        <w:t xml:space="preserve">Or. </w:t>
      </w:r>
      <w:r w:rsidR="008C1FBC" w:rsidRPr="00297156">
        <w:rPr>
          <w:rFonts w:ascii="Arial" w:eastAsia="Arial" w:hAnsi="Arial" w:cs="Arial"/>
          <w:sz w:val="16"/>
          <w:szCs w:val="24"/>
        </w:rPr>
        <w:t>ENGLISCH</w:t>
      </w:r>
    </w:p>
    <w:p w14:paraId="7C6310FD" w14:textId="77777777" w:rsidR="004F60A5" w:rsidRPr="00297156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F8FB7B6" w14:textId="77777777" w:rsidR="004F60A5" w:rsidRPr="00297156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349B2C7" w14:textId="77777777" w:rsidR="00182B4D" w:rsidRPr="00297156" w:rsidRDefault="00182B4D" w:rsidP="00182B4D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297156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7D5C4BB7" w14:textId="77777777" w:rsidR="00182B4D" w:rsidRPr="00297156" w:rsidRDefault="00182B4D" w:rsidP="00182B4D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297156">
        <w:rPr>
          <w:rFonts w:ascii="Arial" w:hAnsi="Arial"/>
          <w:sz w:val="16"/>
          <w:szCs w:val="24"/>
        </w:rPr>
        <w:t>(36. Tagung, Genf, 27. - 31. Januar 2020)</w:t>
      </w:r>
    </w:p>
    <w:p w14:paraId="58D19A00" w14:textId="77777777" w:rsidR="00182B4D" w:rsidRPr="00297156" w:rsidRDefault="00182B4D" w:rsidP="00182B4D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297156">
        <w:rPr>
          <w:rFonts w:ascii="Arial" w:hAnsi="Arial" w:cs="Arial"/>
          <w:sz w:val="16"/>
          <w:szCs w:val="16"/>
          <w:lang w:eastAsia="en-US"/>
        </w:rPr>
        <w:t>Punkt 5 b) zur vorläufigen Tagesordnung</w:t>
      </w:r>
    </w:p>
    <w:p w14:paraId="7C0DC8D7" w14:textId="77777777" w:rsidR="00182B4D" w:rsidRPr="00297156" w:rsidRDefault="00182B4D" w:rsidP="00182B4D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297156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5BF3586B" w14:textId="77777777" w:rsidR="004F60A5" w:rsidRPr="00297156" w:rsidRDefault="004F60A5" w:rsidP="00C854BD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193DA6A" w14:textId="21992FE5" w:rsidR="006A0CC5" w:rsidRPr="00297156" w:rsidRDefault="008048EC" w:rsidP="00705A72">
      <w:pPr>
        <w:pStyle w:val="HChG"/>
      </w:pPr>
      <w:r w:rsidRPr="00297156">
        <w:rPr>
          <w:lang w:val="de-DE"/>
        </w:rPr>
        <w:tab/>
      </w:r>
      <w:r w:rsidR="006A0CC5" w:rsidRPr="00297156">
        <w:rPr>
          <w:lang w:val="de-DE"/>
        </w:rPr>
        <w:tab/>
      </w:r>
      <w:r w:rsidR="00705A72" w:rsidRPr="00297156">
        <w:rPr>
          <w:lang w:val="de-DE"/>
        </w:rPr>
        <w:t>Übergangsvorschriften für autonome Schutzsysteme</w:t>
      </w:r>
    </w:p>
    <w:p w14:paraId="402ECA4F" w14:textId="719AF363" w:rsidR="006A0CC5" w:rsidRPr="00297156" w:rsidRDefault="006A0CC5" w:rsidP="006A0CC5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  <w:vertAlign w:val="superscript"/>
          <w:lang w:val="en-GB"/>
        </w:rPr>
      </w:pPr>
      <w:r w:rsidRPr="00297156">
        <w:rPr>
          <w:lang w:val="en-GB"/>
        </w:rPr>
        <w:tab/>
      </w:r>
      <w:r w:rsidRPr="00297156">
        <w:rPr>
          <w:b/>
          <w:bCs/>
          <w:sz w:val="28"/>
          <w:szCs w:val="28"/>
          <w:lang w:val="en-GB"/>
        </w:rPr>
        <w:t>Eingereicht von den Niederlanden</w:t>
      </w:r>
      <w:r w:rsidRPr="00297156">
        <w:rPr>
          <w:b/>
          <w:bCs/>
          <w:sz w:val="28"/>
          <w:vertAlign w:val="superscript"/>
          <w:lang w:val="en-GB"/>
        </w:rPr>
        <w:footnoteReference w:customMarkFollows="1" w:id="1"/>
        <w:t>*,</w:t>
      </w:r>
      <w:r w:rsidRPr="00297156">
        <w:rPr>
          <w:b/>
          <w:bCs/>
          <w:sz w:val="28"/>
          <w:vertAlign w:val="superscript"/>
          <w:lang w:val="en-GB"/>
        </w:rPr>
        <w:footnoteReference w:customMarkFollows="1" w:id="2"/>
        <w:t>**</w:t>
      </w:r>
    </w:p>
    <w:p w14:paraId="60781A18" w14:textId="77777777" w:rsidR="00464367" w:rsidRPr="00297156" w:rsidRDefault="00464367" w:rsidP="006A0CC5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  <w:vertAlign w:val="superscript"/>
          <w:lang w:val="en-GB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5953"/>
      </w:tblGrid>
      <w:tr w:rsidR="00464367" w:rsidRPr="00297156" w14:paraId="0372D869" w14:textId="77777777" w:rsidTr="00BB7259">
        <w:trPr>
          <w:jc w:val="center"/>
        </w:trPr>
        <w:tc>
          <w:tcPr>
            <w:tcW w:w="2983" w:type="dxa"/>
            <w:tcBorders>
              <w:top w:val="single" w:sz="4" w:space="0" w:color="auto"/>
            </w:tcBorders>
          </w:tcPr>
          <w:p w14:paraId="2CC23174" w14:textId="457779E5" w:rsidR="00464367" w:rsidRPr="00297156" w:rsidRDefault="00464367" w:rsidP="00464367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i/>
                <w:sz w:val="24"/>
                <w:lang w:val="en-GB"/>
              </w:rPr>
              <w:t>Zusammenfassung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0F00815" w14:textId="77777777" w:rsidR="00464367" w:rsidRPr="00297156" w:rsidRDefault="00464367" w:rsidP="00464367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</w:p>
        </w:tc>
      </w:tr>
      <w:tr w:rsidR="00464367" w:rsidRPr="00297156" w14:paraId="7D3E882F" w14:textId="77777777" w:rsidTr="00BB7259">
        <w:trPr>
          <w:jc w:val="center"/>
        </w:trPr>
        <w:tc>
          <w:tcPr>
            <w:tcW w:w="2983" w:type="dxa"/>
          </w:tcPr>
          <w:p w14:paraId="67E4F242" w14:textId="4FC70361" w:rsidR="00464367" w:rsidRPr="00297156" w:rsidRDefault="00464367" w:rsidP="00464367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b/>
              </w:rPr>
              <w:t>Analytische Zusammenfassung</w:t>
            </w:r>
            <w:r w:rsidRPr="00297156">
              <w:rPr>
                <w:b/>
                <w:lang w:val="en-GB"/>
              </w:rPr>
              <w:t>:</w:t>
            </w:r>
          </w:p>
        </w:tc>
        <w:tc>
          <w:tcPr>
            <w:tcW w:w="5953" w:type="dxa"/>
          </w:tcPr>
          <w:p w14:paraId="552EBE11" w14:textId="2C1FF472" w:rsidR="00464367" w:rsidRPr="00297156" w:rsidRDefault="00705A72" w:rsidP="00BB7259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bCs/>
                <w:szCs w:val="24"/>
              </w:rPr>
              <w:t>Das Dokument enthält eine Reihe von Änderungsvorschlägen zur Lösung des Widerspruchs zwischen dem Multilateralen Abkommen M 018 und den derzeitigen Übergangsvorschriften für autonome Schutzsysteme in der dem ADN beigefügten Verordnung.</w:t>
            </w:r>
            <w:r w:rsidR="00464367" w:rsidRPr="00297156">
              <w:rPr>
                <w:bCs/>
                <w:szCs w:val="24"/>
                <w:lang w:val="en-GB"/>
              </w:rPr>
              <w:t xml:space="preserve"> </w:t>
            </w:r>
            <w:r w:rsidR="000635D2" w:rsidRPr="00297156">
              <w:rPr>
                <w:bCs/>
                <w:szCs w:val="24"/>
              </w:rPr>
              <w:t xml:space="preserve">Es wird vorgeschlagen, die Übergangsvorschriften zu ändern und das Multilaterale Abkommen M 018 anschließend </w:t>
            </w:r>
            <w:r w:rsidR="0074244F" w:rsidRPr="00297156">
              <w:rPr>
                <w:bCs/>
                <w:szCs w:val="24"/>
              </w:rPr>
              <w:t>aufzuheben</w:t>
            </w:r>
            <w:r w:rsidR="000635D2" w:rsidRPr="00297156">
              <w:rPr>
                <w:bCs/>
                <w:szCs w:val="24"/>
              </w:rPr>
              <w:t>.</w:t>
            </w:r>
            <w:r w:rsidR="00464367" w:rsidRPr="00297156">
              <w:rPr>
                <w:bCs/>
                <w:szCs w:val="24"/>
                <w:lang w:val="en-GB"/>
              </w:rPr>
              <w:t xml:space="preserve"> </w:t>
            </w:r>
          </w:p>
        </w:tc>
      </w:tr>
      <w:tr w:rsidR="00464367" w:rsidRPr="00297156" w14:paraId="1C3003AA" w14:textId="77777777" w:rsidTr="00BB7259">
        <w:trPr>
          <w:trHeight w:val="509"/>
          <w:jc w:val="center"/>
        </w:trPr>
        <w:tc>
          <w:tcPr>
            <w:tcW w:w="2983" w:type="dxa"/>
          </w:tcPr>
          <w:p w14:paraId="62FB767F" w14:textId="3400C3B9" w:rsidR="00464367" w:rsidRPr="00297156" w:rsidRDefault="00464367" w:rsidP="00464367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b/>
                <w:lang w:val="en-GB"/>
              </w:rPr>
            </w:pPr>
            <w:r w:rsidRPr="00297156">
              <w:rPr>
                <w:b/>
                <w:lang w:val="en-GB"/>
              </w:rPr>
              <w:t>Zu ergreifende Maßnahme:</w:t>
            </w:r>
          </w:p>
        </w:tc>
        <w:tc>
          <w:tcPr>
            <w:tcW w:w="5953" w:type="dxa"/>
          </w:tcPr>
          <w:p w14:paraId="63FDD70D" w14:textId="0D75A7F0" w:rsidR="00464367" w:rsidRPr="00297156" w:rsidRDefault="000635D2" w:rsidP="00216A51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t>Der Sicherheitsausschuss wird gebeten, die Änderungsvorschläge in Absatz 6 zu prüfen und anzunehmen.</w:t>
            </w:r>
          </w:p>
        </w:tc>
      </w:tr>
      <w:tr w:rsidR="00464367" w:rsidRPr="00297156" w14:paraId="2021891F" w14:textId="77777777" w:rsidTr="00BB7259">
        <w:trPr>
          <w:jc w:val="center"/>
        </w:trPr>
        <w:tc>
          <w:tcPr>
            <w:tcW w:w="2983" w:type="dxa"/>
            <w:tcBorders>
              <w:bottom w:val="single" w:sz="4" w:space="0" w:color="auto"/>
            </w:tcBorders>
          </w:tcPr>
          <w:p w14:paraId="7909407C" w14:textId="43BE8CA1" w:rsidR="00464367" w:rsidRPr="00297156" w:rsidRDefault="00464367" w:rsidP="00464367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b/>
                <w:lang w:val="en-GB"/>
              </w:rPr>
            </w:pPr>
            <w:r w:rsidRPr="00297156">
              <w:rPr>
                <w:b/>
                <w:lang w:val="en-GB" w:eastAsia="en-US"/>
              </w:rPr>
              <w:t>Verbundene Dokumente</w:t>
            </w:r>
            <w:r w:rsidRPr="00297156">
              <w:rPr>
                <w:b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2FBC9EF" w14:textId="6D4D67A9" w:rsidR="00464367" w:rsidRPr="00297156" w:rsidRDefault="00824FF0" w:rsidP="00464367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Informelles Dokument</w:t>
            </w:r>
            <w:r w:rsidR="00464367" w:rsidRPr="00297156">
              <w:rPr>
                <w:lang w:val="en-GB"/>
              </w:rPr>
              <w:t xml:space="preserve"> INF. 4 </w:t>
            </w:r>
            <w:r w:rsidRPr="00297156">
              <w:rPr>
                <w:lang w:val="en-GB"/>
              </w:rPr>
              <w:t>der 34. Sitzung</w:t>
            </w:r>
          </w:p>
          <w:p w14:paraId="407EBD73" w14:textId="1A9A1C4A" w:rsidR="00464367" w:rsidRPr="00297156" w:rsidRDefault="00464367" w:rsidP="00464367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ECE/TRANS/WP.15/AC.2/70 (</w:t>
            </w:r>
            <w:r w:rsidR="00824FF0" w:rsidRPr="00297156">
              <w:rPr>
                <w:lang w:val="en-GB"/>
              </w:rPr>
              <w:t>Nr.</w:t>
            </w:r>
            <w:r w:rsidRPr="00297156">
              <w:rPr>
                <w:lang w:val="en-GB"/>
              </w:rPr>
              <w:t xml:space="preserve"> 29)</w:t>
            </w:r>
          </w:p>
          <w:p w14:paraId="5936C6B5" w14:textId="407B8DC1" w:rsidR="00464367" w:rsidRPr="00297156" w:rsidRDefault="00824FF0" w:rsidP="00464367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Informelles Dokument</w:t>
            </w:r>
            <w:r w:rsidR="00464367" w:rsidRPr="00297156">
              <w:rPr>
                <w:lang w:val="en-GB"/>
              </w:rPr>
              <w:t xml:space="preserve"> INF. 24</w:t>
            </w:r>
            <w:r w:rsidRPr="00297156">
              <w:rPr>
                <w:lang w:val="en-GB"/>
              </w:rPr>
              <w:t xml:space="preserve"> der 35. Sitzung</w:t>
            </w:r>
          </w:p>
          <w:p w14:paraId="2571F71B" w14:textId="1DB3DB59" w:rsidR="00464367" w:rsidRPr="00297156" w:rsidRDefault="00464367" w:rsidP="00464367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ECE/TRANS/WP.15/AC.2/72 (</w:t>
            </w:r>
            <w:r w:rsidR="00824FF0" w:rsidRPr="00297156">
              <w:rPr>
                <w:lang w:val="en-GB"/>
              </w:rPr>
              <w:t>Nr.</w:t>
            </w:r>
            <w:r w:rsidRPr="00297156">
              <w:rPr>
                <w:lang w:val="en-GB"/>
              </w:rPr>
              <w:t xml:space="preserve"> 37)</w:t>
            </w:r>
          </w:p>
        </w:tc>
      </w:tr>
    </w:tbl>
    <w:p w14:paraId="41963A96" w14:textId="28B51ADB" w:rsidR="00464367" w:rsidRPr="00297156" w:rsidRDefault="00464367" w:rsidP="00464367">
      <w:pPr>
        <w:keepLines/>
        <w:pageBreakBefore/>
        <w:widowControl/>
        <w:suppressAutoHyphens/>
        <w:overflowPunct/>
        <w:autoSpaceDE/>
        <w:autoSpaceDN/>
        <w:adjustRightInd/>
        <w:spacing w:before="120" w:after="120" w:line="276" w:lineRule="auto"/>
        <w:ind w:left="567" w:right="1134" w:firstLine="0"/>
        <w:textAlignment w:val="auto"/>
        <w:rPr>
          <w:b/>
          <w:sz w:val="24"/>
          <w:szCs w:val="24"/>
          <w:lang w:val="en-GB"/>
        </w:rPr>
      </w:pPr>
      <w:r w:rsidRPr="00297156">
        <w:rPr>
          <w:b/>
          <w:sz w:val="24"/>
          <w:szCs w:val="24"/>
          <w:lang w:val="en-GB"/>
        </w:rPr>
        <w:lastRenderedPageBreak/>
        <w:tab/>
      </w:r>
      <w:r w:rsidR="00824FF0" w:rsidRPr="00297156">
        <w:rPr>
          <w:b/>
          <w:sz w:val="24"/>
          <w:szCs w:val="24"/>
          <w:lang w:val="en-GB"/>
        </w:rPr>
        <w:t>Einleitung</w:t>
      </w:r>
    </w:p>
    <w:p w14:paraId="3B525B8B" w14:textId="1D90340C" w:rsidR="00464367" w:rsidRPr="00297156" w:rsidRDefault="00464367" w:rsidP="003F7E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1.</w:t>
      </w:r>
      <w:r w:rsidRPr="00297156">
        <w:rPr>
          <w:lang w:val="en-GB"/>
        </w:rPr>
        <w:tab/>
      </w:r>
      <w:r w:rsidR="00D12CE4" w:rsidRPr="00297156">
        <w:t xml:space="preserve">Mit dem ADN 2019 </w:t>
      </w:r>
      <w:r w:rsidR="003F7EF7" w:rsidRPr="00297156">
        <w:t>haben</w:t>
      </w:r>
      <w:r w:rsidR="00D12CE4" w:rsidRPr="00297156">
        <w:t xml:space="preserve"> die Vertragsparteien ein neues Regelwerk zum Explosionsschutz</w:t>
      </w:r>
      <w:r w:rsidR="003F7EF7" w:rsidRPr="00297156">
        <w:t xml:space="preserve"> erlassen</w:t>
      </w:r>
      <w:r w:rsidR="00D12CE4" w:rsidRPr="00297156">
        <w:t>.</w:t>
      </w:r>
      <w:r w:rsidRPr="00297156">
        <w:rPr>
          <w:lang w:val="en-GB"/>
        </w:rPr>
        <w:t xml:space="preserve"> </w:t>
      </w:r>
      <w:r w:rsidR="00D12CE4" w:rsidRPr="00297156">
        <w:t>Dieses Regelwerk enthält auch neue Übergangsvor</w:t>
      </w:r>
      <w:r w:rsidR="003D02CA" w:rsidRPr="00297156">
        <w:softHyphen/>
      </w:r>
      <w:r w:rsidR="00D12CE4" w:rsidRPr="00297156">
        <w:t>schriften für Tankschiffe (1.6.7.2.2.2 ADN), die sich teilweise auf die Explosions(-Unter)gruppe autonome</w:t>
      </w:r>
      <w:r w:rsidR="00C3637A" w:rsidRPr="00297156">
        <w:t>r</w:t>
      </w:r>
      <w:r w:rsidR="00D12CE4" w:rsidRPr="00297156">
        <w:t xml:space="preserve"> Schutzsysteme beziehen (9.3.2.20.4, 9.3.3.20.4, 9.3.2.21.1 g), 9.3.3.21.1 g), 9.3.2.22.4 e), 9.3.3.22.4 d), 9.3.2.26.2 und 9.3.3.26.2</w:t>
      </w:r>
      <w:r w:rsidR="00C3637A" w:rsidRPr="00297156">
        <w:t xml:space="preserve"> </w:t>
      </w:r>
      <w:r w:rsidR="00D12CE4" w:rsidRPr="00297156">
        <w:t>b)</w:t>
      </w:r>
      <w:r w:rsidR="0048333F" w:rsidRPr="00297156">
        <w:t>)</w:t>
      </w:r>
      <w:r w:rsidR="00D12CE4" w:rsidRPr="00297156">
        <w:t>.</w:t>
      </w:r>
      <w:r w:rsidRPr="00297156">
        <w:rPr>
          <w:lang w:val="en-GB"/>
        </w:rPr>
        <w:t xml:space="preserve"> </w:t>
      </w:r>
      <w:r w:rsidR="0048333F" w:rsidRPr="00297156">
        <w:t>Auf bestehenden Schiffen sind diese Untergruppen mit der Erneuerung de</w:t>
      </w:r>
      <w:r w:rsidR="001520EA" w:rsidRPr="00297156">
        <w:t>s</w:t>
      </w:r>
      <w:r w:rsidR="0048333F" w:rsidRPr="00297156">
        <w:t xml:space="preserve"> </w:t>
      </w:r>
      <w:bookmarkStart w:id="1" w:name="_Hlk25829561"/>
      <w:r w:rsidR="001520EA" w:rsidRPr="00297156">
        <w:t>Zulassungszeugnisses</w:t>
      </w:r>
      <w:r w:rsidR="0048333F" w:rsidRPr="00297156">
        <w:t xml:space="preserve"> </w:t>
      </w:r>
      <w:bookmarkEnd w:id="1"/>
      <w:r w:rsidR="0048333F" w:rsidRPr="00297156">
        <w:t>nach dem 31. Dezember 2024 anzuwenden.</w:t>
      </w:r>
    </w:p>
    <w:p w14:paraId="618EAF2C" w14:textId="10C504F3" w:rsidR="00464367" w:rsidRPr="00297156" w:rsidRDefault="00464367" w:rsidP="003F7E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2.</w:t>
      </w:r>
      <w:r w:rsidRPr="00297156">
        <w:rPr>
          <w:lang w:val="en-GB"/>
        </w:rPr>
        <w:tab/>
      </w:r>
      <w:r w:rsidR="001520EA" w:rsidRPr="00297156">
        <w:t>Während der Schaffung der neuen Vorschriften zur Explosionssicherheit haben acht Vertragsparteien 2016 ein multilaterales Abkommen über die Unterteilung der Explosionsgruppe II B (M 018) ausgearbeitet und unterzeichnet.</w:t>
      </w:r>
      <w:r w:rsidRPr="00297156">
        <w:rPr>
          <w:lang w:val="en-GB"/>
        </w:rPr>
        <w:t xml:space="preserve"> </w:t>
      </w:r>
      <w:r w:rsidR="001520EA" w:rsidRPr="00297156">
        <w:t>Dieses multilaterale Abkommen verpflichtet die Schiffseigner, die neue Unterteilung der Explosionsgruppen mit der Erneuerung ihres Zulassungszeugnisses nach dem 31.</w:t>
      </w:r>
      <w:r w:rsidR="003D02CA" w:rsidRPr="00297156">
        <w:t> </w:t>
      </w:r>
      <w:r w:rsidR="001520EA" w:rsidRPr="00297156">
        <w:t>Dezember 2018 anzuwenden.</w:t>
      </w:r>
    </w:p>
    <w:p w14:paraId="39E3165B" w14:textId="2F136265" w:rsidR="00464367" w:rsidRPr="00297156" w:rsidRDefault="00464367" w:rsidP="003F7EF7">
      <w:pPr>
        <w:widowControl/>
        <w:tabs>
          <w:tab w:val="left" w:pos="1701"/>
          <w:tab w:val="left" w:pos="1985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3.</w:t>
      </w:r>
      <w:r w:rsidRPr="00297156">
        <w:rPr>
          <w:lang w:val="en-GB"/>
        </w:rPr>
        <w:tab/>
      </w:r>
      <w:r w:rsidR="001520EA" w:rsidRPr="00297156">
        <w:t>Dieser Widerspruch zwischen M 018 und den erlassenen Übergangs</w:t>
      </w:r>
      <w:r w:rsidR="003D02CA" w:rsidRPr="00297156">
        <w:softHyphen/>
      </w:r>
      <w:r w:rsidR="001520EA" w:rsidRPr="00297156">
        <w:t>vorschriften wurde auf der vierunddreißigsten und fünfunddreißigsten Sitzung des ADN-Sicherheitsausschusses zur Kenntnis genommen und diskutiert.</w:t>
      </w:r>
      <w:r w:rsidRPr="00297156">
        <w:rPr>
          <w:lang w:val="en-GB"/>
        </w:rPr>
        <w:t xml:space="preserve"> </w:t>
      </w:r>
      <w:r w:rsidR="001520EA" w:rsidRPr="00297156">
        <w:t xml:space="preserve">Es wurde festgestellt, dass die </w:t>
      </w:r>
      <w:r w:rsidR="0043065F" w:rsidRPr="00297156">
        <w:t>A</w:t>
      </w:r>
      <w:r w:rsidR="001520EA" w:rsidRPr="00297156">
        <w:t xml:space="preserve">nerkannten Klassifikationsgesellschaften </w:t>
      </w:r>
      <w:r w:rsidR="003D02CA" w:rsidRPr="00297156">
        <w:t>laut</w:t>
      </w:r>
      <w:r w:rsidR="001520EA" w:rsidRPr="00297156">
        <w:t xml:space="preserve"> </w:t>
      </w:r>
      <w:r w:rsidR="003F7EF7" w:rsidRPr="00297156">
        <w:t>eigene</w:t>
      </w:r>
      <w:r w:rsidR="003D02CA" w:rsidRPr="00297156">
        <w:t>r</w:t>
      </w:r>
      <w:r w:rsidR="003F7EF7" w:rsidRPr="00297156">
        <w:t xml:space="preserve"> </w:t>
      </w:r>
      <w:r w:rsidR="001520EA" w:rsidRPr="00297156">
        <w:t xml:space="preserve">Angaben </w:t>
      </w:r>
      <w:r w:rsidR="001E78B9" w:rsidRPr="00297156">
        <w:t xml:space="preserve">derzeit </w:t>
      </w:r>
      <w:r w:rsidR="003F7EF7" w:rsidRPr="00297156">
        <w:t xml:space="preserve">alle </w:t>
      </w:r>
      <w:r w:rsidR="001E78B9" w:rsidRPr="00297156">
        <w:t xml:space="preserve">M 018 </w:t>
      </w:r>
      <w:r w:rsidR="001520EA" w:rsidRPr="00297156">
        <w:t>bei der Erneuerung des Zulassungszeugnisses anwenden.</w:t>
      </w:r>
      <w:r w:rsidRPr="00297156">
        <w:rPr>
          <w:lang w:val="en-GB"/>
        </w:rPr>
        <w:t xml:space="preserve"> </w:t>
      </w:r>
      <w:r w:rsidR="001E78B9" w:rsidRPr="00297156">
        <w:t xml:space="preserve">Auf der Grundlage dieser Informationen hat sich die niederländische Delegation bereit erklärt, eine Lösung für den Widerspruch zwischen M 018 und den Übergangsvorschriften zu erarbeiten, die im Folgenden </w:t>
      </w:r>
      <w:r w:rsidR="003F7EF7" w:rsidRPr="00297156">
        <w:t>dargelegt</w:t>
      </w:r>
      <w:r w:rsidR="001E78B9" w:rsidRPr="00297156">
        <w:t xml:space="preserve"> ist.</w:t>
      </w:r>
    </w:p>
    <w:p w14:paraId="57DD8610" w14:textId="69F74335" w:rsidR="00464367" w:rsidRPr="00297156" w:rsidRDefault="00464367" w:rsidP="003F7EF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297156">
        <w:rPr>
          <w:b/>
          <w:sz w:val="28"/>
          <w:lang w:val="en-GB"/>
        </w:rPr>
        <w:tab/>
        <w:t>I.</w:t>
      </w:r>
      <w:r w:rsidRPr="00297156">
        <w:rPr>
          <w:b/>
          <w:sz w:val="28"/>
          <w:lang w:val="en-GB"/>
        </w:rPr>
        <w:tab/>
      </w:r>
      <w:r w:rsidR="00B1404A" w:rsidRPr="00297156">
        <w:rPr>
          <w:b/>
          <w:sz w:val="28"/>
        </w:rPr>
        <w:t>Zu behandelnde Änderungen</w:t>
      </w:r>
    </w:p>
    <w:p w14:paraId="686CE7F4" w14:textId="7C68B20E" w:rsidR="00464367" w:rsidRPr="00297156" w:rsidRDefault="00464367" w:rsidP="003F7E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4.</w:t>
      </w:r>
      <w:r w:rsidRPr="00297156">
        <w:rPr>
          <w:lang w:val="en-GB"/>
        </w:rPr>
        <w:tab/>
      </w:r>
      <w:r w:rsidR="0065288D" w:rsidRPr="00297156">
        <w:t>Während</w:t>
      </w:r>
      <w:r w:rsidR="00B1404A" w:rsidRPr="00297156">
        <w:t xml:space="preserve"> der ADN-Sicherheitsausschuss zunächst die Verlängerung von M</w:t>
      </w:r>
      <w:r w:rsidR="003D02CA" w:rsidRPr="00297156">
        <w:t> </w:t>
      </w:r>
      <w:r w:rsidR="00B1404A" w:rsidRPr="00297156">
        <w:t>018 und die Streichung der entsprechenden Übergangsvorschriften in Betracht zog, hält es die niederländische Delegation für zweckmäßiger, die Übergangsvorschriften zu ändern und M 018 aufzuheben, da die Übergangsvorschriften im Gegensatz zu multilateralen Abkommen integraler Bestandteil der dem ADN beigefügten Verordnung sind.</w:t>
      </w:r>
    </w:p>
    <w:p w14:paraId="350B7B2B" w14:textId="6C812460" w:rsidR="00464367" w:rsidRPr="00297156" w:rsidRDefault="00464367" w:rsidP="003F7E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5.</w:t>
      </w:r>
      <w:r w:rsidRPr="00297156">
        <w:rPr>
          <w:lang w:val="en-GB"/>
        </w:rPr>
        <w:tab/>
      </w:r>
      <w:r w:rsidR="0065288D" w:rsidRPr="00297156">
        <w:t>Bei der Prüfung der Änderung</w:t>
      </w:r>
      <w:r w:rsidR="0043065F" w:rsidRPr="00297156">
        <w:t>s</w:t>
      </w:r>
      <w:r w:rsidR="0065288D" w:rsidRPr="00297156">
        <w:t>vorschläge wurde deutlich, dass sich M 018 zwar nur auf Flammendurchschlagsicherungen bezieht, die Unterteilung der Explosionsgruppe aber für alle autonomen Schutzsysteme gilt.</w:t>
      </w:r>
      <w:r w:rsidRPr="00297156">
        <w:rPr>
          <w:lang w:val="en-GB"/>
        </w:rPr>
        <w:t xml:space="preserve"> </w:t>
      </w:r>
      <w:r w:rsidR="0065288D" w:rsidRPr="00297156">
        <w:t xml:space="preserve">Nach </w:t>
      </w:r>
      <w:r w:rsidR="002E5673" w:rsidRPr="00297156">
        <w:t>Meinung</w:t>
      </w:r>
      <w:r w:rsidR="0065288D" w:rsidRPr="00297156">
        <w:t xml:space="preserve"> der niederländischen Delegation ist es aus sicherheitstechnischer Sicht nicht wünschenswert, die Einführung der Untergruppen für die verschiedenen autonomen Schutzsysteme zu trennen. Die „Umsetzung“ von M 018 in d</w:t>
      </w:r>
      <w:r w:rsidR="00361398" w:rsidRPr="00297156">
        <w:t>i</w:t>
      </w:r>
      <w:r w:rsidR="0065288D" w:rsidRPr="00297156">
        <w:t xml:space="preserve">e Übergangsvorschriften der dem ADN beigefügten Verordnung </w:t>
      </w:r>
      <w:r w:rsidR="00361398" w:rsidRPr="00297156">
        <w:t>erfordert daher</w:t>
      </w:r>
      <w:r w:rsidR="0065288D" w:rsidRPr="00297156">
        <w:t xml:space="preserve"> </w:t>
      </w:r>
      <w:r w:rsidR="00361398" w:rsidRPr="00297156">
        <w:t>die</w:t>
      </w:r>
      <w:r w:rsidR="0065288D" w:rsidRPr="00297156">
        <w:t xml:space="preserve"> Änderung aller Übergangsvorschriften, die die Explosionsgruppe/Untergruppe autonomer Schutz</w:t>
      </w:r>
      <w:r w:rsidR="003D02CA" w:rsidRPr="00297156">
        <w:softHyphen/>
      </w:r>
      <w:r w:rsidR="0065288D" w:rsidRPr="00297156">
        <w:t>systeme betreffen.</w:t>
      </w:r>
    </w:p>
    <w:p w14:paraId="3A5BB77F" w14:textId="77777777" w:rsidR="00297156" w:rsidRPr="00297156" w:rsidRDefault="00297156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en-GB"/>
        </w:rPr>
      </w:pPr>
      <w:r w:rsidRPr="00297156">
        <w:rPr>
          <w:lang w:val="en-GB"/>
        </w:rPr>
        <w:br w:type="page"/>
      </w:r>
    </w:p>
    <w:p w14:paraId="1481004F" w14:textId="6592588B" w:rsidR="00464367" w:rsidRPr="00297156" w:rsidRDefault="00464367" w:rsidP="003F7E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lastRenderedPageBreak/>
        <w:t>6.</w:t>
      </w:r>
      <w:r w:rsidRPr="00297156">
        <w:rPr>
          <w:lang w:val="en-GB"/>
        </w:rPr>
        <w:tab/>
      </w:r>
      <w:r w:rsidR="002E5673" w:rsidRPr="00297156">
        <w:t>Dieser Ansatz führt zu folgenden Änderungen in Absatz 1.6.7.2.2.2 ADN:</w:t>
      </w:r>
    </w:p>
    <w:p w14:paraId="4358CE19" w14:textId="0B96CE64" w:rsidR="00B55C8F" w:rsidRPr="00297156" w:rsidRDefault="00B55C8F" w:rsidP="00464367">
      <w:pPr>
        <w:widowControl/>
        <w:suppressAutoHyphens/>
        <w:overflowPunct/>
        <w:autoSpaceDE/>
        <w:autoSpaceDN/>
        <w:adjustRightInd/>
        <w:spacing w:before="120" w:line="240" w:lineRule="atLeast"/>
        <w:ind w:left="567" w:firstLine="567"/>
        <w:textAlignment w:val="auto"/>
        <w:rPr>
          <w:strike/>
          <w:lang w:val="en-GB"/>
        </w:rPr>
      </w:pPr>
      <w:r w:rsidRPr="00297156">
        <w:rPr>
          <w:strike/>
          <w:lang w:val="en-GB"/>
        </w:rPr>
        <w:t>Gestrichener Text ist durchgestrichen,</w:t>
      </w:r>
      <w:r w:rsidRPr="00297156">
        <w:rPr>
          <w:lang w:val="en-GB"/>
        </w:rPr>
        <w:t xml:space="preserve"> </w:t>
      </w:r>
      <w:r w:rsidRPr="00297156">
        <w:rPr>
          <w:b/>
          <w:bCs/>
          <w:u w:val="single"/>
          <w:lang w:val="en-GB"/>
        </w:rPr>
        <w:t>neuer Text fettgedruckt und unterstrichen.</w:t>
      </w:r>
    </w:p>
    <w:p w14:paraId="3C213B95" w14:textId="517F2C7B" w:rsidR="00950B0D" w:rsidRPr="00297156" w:rsidRDefault="00950B0D" w:rsidP="00950B0D">
      <w:pPr>
        <w:widowControl/>
        <w:tabs>
          <w:tab w:val="left" w:pos="2835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bCs/>
        </w:rPr>
      </w:pPr>
      <w:r w:rsidRPr="00297156">
        <w:rPr>
          <w:bCs/>
        </w:rPr>
        <w:t>„1.6.7.2.2.2</w:t>
      </w:r>
      <w:r w:rsidRPr="00297156">
        <w:rPr>
          <w:bCs/>
        </w:rPr>
        <w:tab/>
        <w:t>Tabelle der allgemeinen Übergangsvorschriften für Tankschiffe</w:t>
      </w:r>
    </w:p>
    <w:p w14:paraId="6D8094FE" w14:textId="3D7A34E7" w:rsidR="00464367" w:rsidRPr="00297156" w:rsidRDefault="00464367" w:rsidP="00464367">
      <w:pPr>
        <w:widowControl/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</w:p>
    <w:tbl>
      <w:tblPr>
        <w:tblStyle w:val="Grilledutableau1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388"/>
        <w:gridCol w:w="2643"/>
        <w:gridCol w:w="3339"/>
      </w:tblGrid>
      <w:tr w:rsidR="00464367" w:rsidRPr="00297156" w14:paraId="7C1B9D77" w14:textId="77777777" w:rsidTr="006611FF">
        <w:tc>
          <w:tcPr>
            <w:tcW w:w="1388" w:type="dxa"/>
            <w:shd w:val="clear" w:color="auto" w:fill="auto"/>
          </w:tcPr>
          <w:p w14:paraId="78E0BFB8" w14:textId="2CE1AB05" w:rsidR="00464367" w:rsidRPr="00297156" w:rsidRDefault="00950B0D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/>
                <w:iCs/>
                <w:lang w:val="en-GB"/>
              </w:rPr>
            </w:pPr>
            <w:r w:rsidRPr="00297156">
              <w:rPr>
                <w:i/>
                <w:iCs/>
                <w:lang w:val="en-GB"/>
              </w:rPr>
              <w:t>Absatz</w:t>
            </w:r>
          </w:p>
        </w:tc>
        <w:tc>
          <w:tcPr>
            <w:tcW w:w="2643" w:type="dxa"/>
            <w:shd w:val="clear" w:color="auto" w:fill="auto"/>
          </w:tcPr>
          <w:p w14:paraId="6127E1F7" w14:textId="52C34F1F" w:rsidR="00464367" w:rsidRPr="00297156" w:rsidRDefault="00950B0D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/>
                <w:iCs/>
                <w:lang w:val="en-GB"/>
              </w:rPr>
            </w:pPr>
            <w:r w:rsidRPr="00297156">
              <w:rPr>
                <w:i/>
                <w:iCs/>
                <w:lang w:val="en-GB"/>
              </w:rPr>
              <w:t>Inhalt</w:t>
            </w:r>
          </w:p>
        </w:tc>
        <w:tc>
          <w:tcPr>
            <w:tcW w:w="3339" w:type="dxa"/>
            <w:shd w:val="clear" w:color="auto" w:fill="auto"/>
          </w:tcPr>
          <w:p w14:paraId="52149EC4" w14:textId="4E480217" w:rsidR="00464367" w:rsidRPr="00297156" w:rsidRDefault="00950B0D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/>
                <w:iCs/>
                <w:lang w:val="en-GB"/>
              </w:rPr>
            </w:pPr>
            <w:r w:rsidRPr="00297156">
              <w:rPr>
                <w:i/>
                <w:iCs/>
                <w:lang w:val="en-GB"/>
              </w:rPr>
              <w:t>Frist und Nebenbestimmungen</w:t>
            </w:r>
          </w:p>
        </w:tc>
      </w:tr>
      <w:tr w:rsidR="00464367" w:rsidRPr="00297156" w14:paraId="61D352D2" w14:textId="77777777" w:rsidTr="006611FF">
        <w:tc>
          <w:tcPr>
            <w:tcW w:w="1388" w:type="dxa"/>
            <w:shd w:val="clear" w:color="auto" w:fill="auto"/>
          </w:tcPr>
          <w:p w14:paraId="4A74DD62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2643" w:type="dxa"/>
            <w:shd w:val="clear" w:color="auto" w:fill="auto"/>
          </w:tcPr>
          <w:p w14:paraId="005DDBE3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3339" w:type="dxa"/>
            <w:shd w:val="clear" w:color="auto" w:fill="auto"/>
          </w:tcPr>
          <w:p w14:paraId="2BC93A6E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</w:tr>
      <w:tr w:rsidR="00464367" w:rsidRPr="00297156" w14:paraId="33C0BA7D" w14:textId="77777777" w:rsidTr="006611FF">
        <w:tc>
          <w:tcPr>
            <w:tcW w:w="1388" w:type="dxa"/>
            <w:shd w:val="clear" w:color="auto" w:fill="auto"/>
          </w:tcPr>
          <w:p w14:paraId="031D27BF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bookmarkStart w:id="2" w:name="_Hlk25065826"/>
            <w:r w:rsidRPr="00297156">
              <w:rPr>
                <w:lang w:val="en-GB"/>
              </w:rPr>
              <w:t>9.3.2.20.4</w:t>
            </w:r>
          </w:p>
          <w:p w14:paraId="108A7B9E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9.3.3.20.4</w:t>
            </w:r>
          </w:p>
        </w:tc>
        <w:tc>
          <w:tcPr>
            <w:tcW w:w="2643" w:type="dxa"/>
            <w:shd w:val="clear" w:color="auto" w:fill="auto"/>
          </w:tcPr>
          <w:p w14:paraId="2BB51CD7" w14:textId="3612DCEC" w:rsidR="00464367" w:rsidRPr="00297156" w:rsidRDefault="00950B0D" w:rsidP="00464367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Explosionsgruppe/Untergruppe</w:t>
            </w:r>
          </w:p>
        </w:tc>
        <w:tc>
          <w:tcPr>
            <w:tcW w:w="3339" w:type="dxa"/>
            <w:shd w:val="clear" w:color="auto" w:fill="auto"/>
          </w:tcPr>
          <w:p w14:paraId="4EB1D14A" w14:textId="77777777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N.E.U. ab 1. Januar 2019</w:t>
            </w:r>
          </w:p>
          <w:p w14:paraId="14DE6B22" w14:textId="74C6A431" w:rsidR="00464367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 xml:space="preserve">Erneuerung des Zulassungszeugnisses nach dem 31. Dezember </w:t>
            </w:r>
            <w:r w:rsidRPr="00297156">
              <w:rPr>
                <w:strike/>
                <w:lang w:val="en-GB"/>
              </w:rPr>
              <w:t>2024</w:t>
            </w:r>
            <w:r w:rsidRPr="00297156">
              <w:rPr>
                <w:lang w:val="en-GB"/>
              </w:rPr>
              <w:t xml:space="preserve"> </w:t>
            </w:r>
            <w:r w:rsidRPr="00297156">
              <w:rPr>
                <w:b/>
                <w:bCs/>
                <w:u w:val="single"/>
                <w:lang w:val="en-GB"/>
              </w:rPr>
              <w:t>2018</w:t>
            </w:r>
          </w:p>
        </w:tc>
      </w:tr>
      <w:bookmarkEnd w:id="2"/>
      <w:tr w:rsidR="00464367" w:rsidRPr="00297156" w14:paraId="732AE5E5" w14:textId="77777777" w:rsidTr="006611FF">
        <w:tc>
          <w:tcPr>
            <w:tcW w:w="1388" w:type="dxa"/>
            <w:shd w:val="clear" w:color="auto" w:fill="auto"/>
          </w:tcPr>
          <w:p w14:paraId="03BF1DAA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2643" w:type="dxa"/>
            <w:shd w:val="clear" w:color="auto" w:fill="auto"/>
          </w:tcPr>
          <w:p w14:paraId="55E1A479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3339" w:type="dxa"/>
            <w:shd w:val="clear" w:color="auto" w:fill="auto"/>
          </w:tcPr>
          <w:p w14:paraId="4C6FAC1E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</w:tr>
      <w:tr w:rsidR="00950B0D" w:rsidRPr="00297156" w14:paraId="56C9ED5F" w14:textId="77777777" w:rsidTr="006611FF">
        <w:tc>
          <w:tcPr>
            <w:tcW w:w="1388" w:type="dxa"/>
            <w:shd w:val="clear" w:color="auto" w:fill="auto"/>
          </w:tcPr>
          <w:p w14:paraId="4FC26AB7" w14:textId="54B8EF7A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9.3.2.21.1 g)</w:t>
            </w:r>
          </w:p>
          <w:p w14:paraId="7084D74D" w14:textId="55C804AB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9.3.3.21.1 g)</w:t>
            </w:r>
          </w:p>
        </w:tc>
        <w:tc>
          <w:tcPr>
            <w:tcW w:w="2643" w:type="dxa"/>
            <w:shd w:val="clear" w:color="auto" w:fill="auto"/>
          </w:tcPr>
          <w:p w14:paraId="3344A999" w14:textId="0CF09391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Explosionsgruppe/Untergruppe</w:t>
            </w:r>
          </w:p>
        </w:tc>
        <w:tc>
          <w:tcPr>
            <w:tcW w:w="3339" w:type="dxa"/>
            <w:shd w:val="clear" w:color="auto" w:fill="auto"/>
          </w:tcPr>
          <w:p w14:paraId="049B131F" w14:textId="77777777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N.E.U. ab 1. Januar 2019</w:t>
            </w:r>
          </w:p>
          <w:p w14:paraId="4C7F9D7F" w14:textId="4C393A7E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 w:after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 xml:space="preserve">Erneuerung des Zulassungszeugnisses nach dem 31. Dezember </w:t>
            </w:r>
            <w:r w:rsidRPr="00297156">
              <w:rPr>
                <w:strike/>
                <w:lang w:val="en-GB"/>
              </w:rPr>
              <w:t>2024</w:t>
            </w:r>
            <w:r w:rsidRPr="00297156">
              <w:rPr>
                <w:lang w:val="en-GB"/>
              </w:rPr>
              <w:t xml:space="preserve"> </w:t>
            </w:r>
            <w:r w:rsidRPr="00297156">
              <w:rPr>
                <w:b/>
                <w:bCs/>
                <w:u w:val="single"/>
                <w:lang w:val="en-GB"/>
              </w:rPr>
              <w:t>2018</w:t>
            </w:r>
          </w:p>
        </w:tc>
      </w:tr>
      <w:tr w:rsidR="00464367" w:rsidRPr="00297156" w14:paraId="5912A69B" w14:textId="77777777" w:rsidTr="006611FF">
        <w:tc>
          <w:tcPr>
            <w:tcW w:w="1388" w:type="dxa"/>
            <w:shd w:val="clear" w:color="auto" w:fill="auto"/>
          </w:tcPr>
          <w:p w14:paraId="1BA4465B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2643" w:type="dxa"/>
            <w:shd w:val="clear" w:color="auto" w:fill="auto"/>
          </w:tcPr>
          <w:p w14:paraId="082BD9AB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3339" w:type="dxa"/>
            <w:shd w:val="clear" w:color="auto" w:fill="auto"/>
          </w:tcPr>
          <w:p w14:paraId="154A28F9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</w:tr>
      <w:tr w:rsidR="00950B0D" w:rsidRPr="00297156" w14:paraId="405B1993" w14:textId="77777777" w:rsidTr="006611FF">
        <w:tc>
          <w:tcPr>
            <w:tcW w:w="1388" w:type="dxa"/>
            <w:shd w:val="clear" w:color="auto" w:fill="auto"/>
          </w:tcPr>
          <w:p w14:paraId="3B8E7375" w14:textId="4A85D062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9.3.2.22.4 e)</w:t>
            </w:r>
          </w:p>
          <w:p w14:paraId="62F01F9A" w14:textId="0A982CED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9.3.3.22.4 d)</w:t>
            </w:r>
          </w:p>
        </w:tc>
        <w:tc>
          <w:tcPr>
            <w:tcW w:w="2643" w:type="dxa"/>
            <w:shd w:val="clear" w:color="auto" w:fill="auto"/>
          </w:tcPr>
          <w:p w14:paraId="30F93774" w14:textId="23F62C93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Explosionsgruppe/Untergruppe</w:t>
            </w:r>
          </w:p>
        </w:tc>
        <w:tc>
          <w:tcPr>
            <w:tcW w:w="3339" w:type="dxa"/>
            <w:shd w:val="clear" w:color="auto" w:fill="auto"/>
          </w:tcPr>
          <w:p w14:paraId="70F55BD3" w14:textId="77777777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N.E.U. ab 1. Januar 2019</w:t>
            </w:r>
          </w:p>
          <w:p w14:paraId="6BF20FF5" w14:textId="0FD0A5B1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 w:after="60"/>
              <w:ind w:left="0" w:firstLine="0"/>
              <w:jc w:val="left"/>
              <w:textAlignment w:val="auto"/>
              <w:rPr>
                <w:b/>
                <w:u w:val="single"/>
                <w:lang w:val="en-GB"/>
              </w:rPr>
            </w:pPr>
            <w:r w:rsidRPr="00297156">
              <w:rPr>
                <w:lang w:val="en-GB"/>
              </w:rPr>
              <w:t xml:space="preserve">Erneuerung des Zulassungszeugnisses nach dem 31. Dezember </w:t>
            </w:r>
            <w:r w:rsidRPr="00297156">
              <w:rPr>
                <w:strike/>
                <w:lang w:val="en-GB"/>
              </w:rPr>
              <w:t>2024</w:t>
            </w:r>
            <w:r w:rsidRPr="00297156">
              <w:rPr>
                <w:lang w:val="en-GB"/>
              </w:rPr>
              <w:t xml:space="preserve"> </w:t>
            </w:r>
            <w:r w:rsidRPr="00297156">
              <w:rPr>
                <w:b/>
                <w:bCs/>
                <w:u w:val="single"/>
                <w:lang w:val="en-GB"/>
              </w:rPr>
              <w:t>2018</w:t>
            </w:r>
          </w:p>
        </w:tc>
      </w:tr>
      <w:tr w:rsidR="00464367" w:rsidRPr="00297156" w14:paraId="75AEBA41" w14:textId="77777777" w:rsidTr="006611FF">
        <w:tc>
          <w:tcPr>
            <w:tcW w:w="1388" w:type="dxa"/>
            <w:shd w:val="clear" w:color="auto" w:fill="auto"/>
          </w:tcPr>
          <w:p w14:paraId="01F0E1B7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...</w:t>
            </w:r>
          </w:p>
        </w:tc>
        <w:tc>
          <w:tcPr>
            <w:tcW w:w="2643" w:type="dxa"/>
            <w:shd w:val="clear" w:color="auto" w:fill="auto"/>
          </w:tcPr>
          <w:p w14:paraId="110FDDA2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3339" w:type="dxa"/>
            <w:shd w:val="clear" w:color="auto" w:fill="auto"/>
          </w:tcPr>
          <w:p w14:paraId="28B65384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</w:tr>
      <w:tr w:rsidR="00950B0D" w:rsidRPr="00297156" w14:paraId="5953C9E3" w14:textId="77777777" w:rsidTr="006611FF">
        <w:tc>
          <w:tcPr>
            <w:tcW w:w="1388" w:type="dxa"/>
            <w:shd w:val="clear" w:color="auto" w:fill="auto"/>
          </w:tcPr>
          <w:p w14:paraId="4B2C3E82" w14:textId="77777777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9.3.2.26.2</w:t>
            </w:r>
          </w:p>
          <w:p w14:paraId="7B66D478" w14:textId="0B00341A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9.3.3.26.2 b)</w:t>
            </w:r>
          </w:p>
        </w:tc>
        <w:tc>
          <w:tcPr>
            <w:tcW w:w="2643" w:type="dxa"/>
            <w:shd w:val="clear" w:color="auto" w:fill="auto"/>
          </w:tcPr>
          <w:p w14:paraId="32F1F83B" w14:textId="4433A79C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Explosionsgruppe/Untergruppe</w:t>
            </w:r>
          </w:p>
        </w:tc>
        <w:tc>
          <w:tcPr>
            <w:tcW w:w="3339" w:type="dxa"/>
            <w:shd w:val="clear" w:color="auto" w:fill="auto"/>
          </w:tcPr>
          <w:p w14:paraId="1FAD650A" w14:textId="77777777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N.E.U. ab 1. Januar 2019</w:t>
            </w:r>
          </w:p>
          <w:p w14:paraId="5321F8D4" w14:textId="5A09FC62" w:rsidR="00950B0D" w:rsidRPr="00297156" w:rsidRDefault="00950B0D" w:rsidP="00950B0D">
            <w:pPr>
              <w:widowControl/>
              <w:overflowPunct/>
              <w:autoSpaceDE/>
              <w:autoSpaceDN/>
              <w:adjustRightInd/>
              <w:spacing w:before="60" w:after="60"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 xml:space="preserve">Erneuerung des Zulassungszeugnisses nach dem 31. Dezember </w:t>
            </w:r>
            <w:r w:rsidRPr="00297156">
              <w:rPr>
                <w:strike/>
                <w:lang w:val="en-GB"/>
              </w:rPr>
              <w:t>2024</w:t>
            </w:r>
            <w:r w:rsidRPr="00297156">
              <w:rPr>
                <w:lang w:val="en-GB"/>
              </w:rPr>
              <w:t xml:space="preserve"> </w:t>
            </w:r>
            <w:r w:rsidRPr="00297156">
              <w:rPr>
                <w:b/>
                <w:bCs/>
                <w:u w:val="single"/>
                <w:lang w:val="en-GB"/>
              </w:rPr>
              <w:t>2018</w:t>
            </w:r>
          </w:p>
        </w:tc>
      </w:tr>
      <w:tr w:rsidR="00464367" w:rsidRPr="00297156" w14:paraId="20B74417" w14:textId="77777777" w:rsidTr="006611FF">
        <w:tc>
          <w:tcPr>
            <w:tcW w:w="1388" w:type="dxa"/>
            <w:shd w:val="clear" w:color="auto" w:fill="auto"/>
          </w:tcPr>
          <w:p w14:paraId="7E74E061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2643" w:type="dxa"/>
            <w:shd w:val="clear" w:color="auto" w:fill="auto"/>
          </w:tcPr>
          <w:p w14:paraId="64D0DE0D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  <w:tc>
          <w:tcPr>
            <w:tcW w:w="3339" w:type="dxa"/>
            <w:shd w:val="clear" w:color="auto" w:fill="auto"/>
          </w:tcPr>
          <w:p w14:paraId="3BE37975" w14:textId="77777777" w:rsidR="00464367" w:rsidRPr="00297156" w:rsidRDefault="00464367" w:rsidP="00464367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  <w:r w:rsidRPr="00297156">
              <w:rPr>
                <w:lang w:val="en-GB"/>
              </w:rPr>
              <w:t>…</w:t>
            </w:r>
          </w:p>
        </w:tc>
      </w:tr>
    </w:tbl>
    <w:p w14:paraId="31BBDDE1" w14:textId="57D7A6F5" w:rsidR="00464367" w:rsidRPr="00297156" w:rsidRDefault="00464367" w:rsidP="005B1AA8">
      <w:pPr>
        <w:widowControl/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jc w:val="right"/>
        <w:textAlignment w:val="auto"/>
        <w:rPr>
          <w:lang w:val="en-GB"/>
        </w:rPr>
      </w:pPr>
      <w:r w:rsidRPr="00297156">
        <w:rPr>
          <w:lang w:val="en-GB"/>
        </w:rPr>
        <w:t>”</w:t>
      </w:r>
      <w:r w:rsidR="005B1AA8">
        <w:rPr>
          <w:lang w:val="en-GB"/>
        </w:rPr>
        <w:t>.</w:t>
      </w:r>
    </w:p>
    <w:p w14:paraId="0F3BCB12" w14:textId="4451672D" w:rsidR="00464367" w:rsidRPr="00297156" w:rsidRDefault="00464367" w:rsidP="003F7E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7.</w:t>
      </w:r>
      <w:r w:rsidRPr="00297156">
        <w:rPr>
          <w:lang w:val="en-GB"/>
        </w:rPr>
        <w:tab/>
      </w:r>
      <w:r w:rsidR="002E5673" w:rsidRPr="00297156">
        <w:t xml:space="preserve">Die Übergangsvorschriften im derzeitigen ADN enthalten zwei weitere </w:t>
      </w:r>
      <w:r w:rsidR="00361398" w:rsidRPr="00297156">
        <w:t>Vorschriften</w:t>
      </w:r>
      <w:r w:rsidR="002E5673" w:rsidRPr="00297156">
        <w:t xml:space="preserve"> zur Explosion</w:t>
      </w:r>
      <w:r w:rsidR="00361398" w:rsidRPr="00297156">
        <w:t>s</w:t>
      </w:r>
      <w:r w:rsidR="002E5673" w:rsidRPr="00297156">
        <w:t>(-Unter)gruppe.</w:t>
      </w:r>
      <w:r w:rsidRPr="00297156">
        <w:rPr>
          <w:lang w:val="en-GB"/>
        </w:rPr>
        <w:t xml:space="preserve"> </w:t>
      </w:r>
      <w:r w:rsidR="002E5673" w:rsidRPr="00297156">
        <w:t>Diese beziehen sich auf nicht-elektrische und elektrische Anlagen und Geräte (9.3.X.53.1).</w:t>
      </w:r>
      <w:r w:rsidRPr="00297156">
        <w:rPr>
          <w:lang w:val="en-GB"/>
        </w:rPr>
        <w:t xml:space="preserve"> </w:t>
      </w:r>
      <w:r w:rsidR="002E5673" w:rsidRPr="00297156">
        <w:t>Wenn autonome Schutzsysteme als nicht</w:t>
      </w:r>
      <w:r w:rsidR="00361398" w:rsidRPr="00297156">
        <w:t>-</w:t>
      </w:r>
      <w:r w:rsidR="002E5673" w:rsidRPr="00297156">
        <w:t xml:space="preserve">elektrische Anlagen </w:t>
      </w:r>
      <w:r w:rsidR="00361398" w:rsidRPr="00297156">
        <w:t>angesehen</w:t>
      </w:r>
      <w:r w:rsidR="002E5673" w:rsidRPr="00297156">
        <w:t xml:space="preserve"> werden sollen, sollte diese Übergangsvorschrift in Absatz 1.6.7.2.2.2 der dem ADN beigefügten Verordnung präzisiert werden.</w:t>
      </w:r>
      <w:r w:rsidRPr="00297156">
        <w:rPr>
          <w:lang w:val="en-GB"/>
        </w:rPr>
        <w:t xml:space="preserve"> </w:t>
      </w:r>
      <w:r w:rsidR="002E5673" w:rsidRPr="00297156">
        <w:t>Nach Ansicht der niederländischen Delegation ist es wichtig, die in Absatz 6 genannten Übergangsvorschriften als spezifischere Übergangsvorschriften zu betrachten, die Vorrang vor der allgemeineren Übergangsvorschrift für nicht-elektrische Anlagen und Geräte haben sollten (9.3.X.53.1).</w:t>
      </w:r>
    </w:p>
    <w:p w14:paraId="03EA2C36" w14:textId="439DB0F3" w:rsidR="00464367" w:rsidRPr="00297156" w:rsidRDefault="00464367" w:rsidP="003F7EF7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297156">
        <w:rPr>
          <w:b/>
          <w:sz w:val="28"/>
          <w:lang w:val="en-GB"/>
        </w:rPr>
        <w:tab/>
      </w:r>
      <w:r w:rsidR="003F7EF7" w:rsidRPr="00297156">
        <w:rPr>
          <w:b/>
          <w:sz w:val="28"/>
        </w:rPr>
        <w:t>II.</w:t>
      </w:r>
      <w:r w:rsidRPr="00297156">
        <w:rPr>
          <w:b/>
          <w:sz w:val="28"/>
          <w:lang w:val="en-GB"/>
        </w:rPr>
        <w:tab/>
        <w:t>M 018</w:t>
      </w:r>
    </w:p>
    <w:p w14:paraId="49AECFB6" w14:textId="25015D31" w:rsidR="00464367" w:rsidRPr="00297156" w:rsidRDefault="00464367" w:rsidP="00CD76B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8.</w:t>
      </w:r>
      <w:r w:rsidRPr="00297156">
        <w:rPr>
          <w:lang w:val="en-GB"/>
        </w:rPr>
        <w:tab/>
      </w:r>
      <w:r w:rsidR="003D50C8" w:rsidRPr="00297156">
        <w:t>Sollten</w:t>
      </w:r>
      <w:r w:rsidR="002E5673" w:rsidRPr="00297156">
        <w:t xml:space="preserve"> die in Absatz 6 vorgeschlagenen Änderungen angenommen</w:t>
      </w:r>
      <w:r w:rsidR="003D50C8" w:rsidRPr="00297156">
        <w:t xml:space="preserve"> werden</w:t>
      </w:r>
      <w:r w:rsidR="002E5673" w:rsidRPr="00297156">
        <w:t>, w</w:t>
      </w:r>
      <w:r w:rsidR="003D50C8" w:rsidRPr="00297156">
        <w:t>ü</w:t>
      </w:r>
      <w:r w:rsidR="002E5673" w:rsidRPr="00297156">
        <w:t>rd</w:t>
      </w:r>
      <w:r w:rsidR="003D50C8" w:rsidRPr="00297156">
        <w:t>e</w:t>
      </w:r>
      <w:r w:rsidR="002E5673" w:rsidRPr="00297156">
        <w:t xml:space="preserve"> M</w:t>
      </w:r>
      <w:r w:rsidR="003D50C8" w:rsidRPr="00297156">
        <w:t> </w:t>
      </w:r>
      <w:r w:rsidR="002E5673" w:rsidRPr="00297156">
        <w:t>018 ab dem 1. Januar 2021 hinfällig. Die acht unterzeichnenden Vertragsparteien sollten in diesem Fall die Aufhebung von M 018 ab diesem Zeitpunkt vorbereiten.</w:t>
      </w:r>
    </w:p>
    <w:p w14:paraId="52634684" w14:textId="0450A737" w:rsidR="00464367" w:rsidRPr="00297156" w:rsidRDefault="00464367" w:rsidP="00464367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297156">
        <w:rPr>
          <w:b/>
          <w:sz w:val="28"/>
          <w:lang w:val="en-GB"/>
        </w:rPr>
        <w:tab/>
        <w:t>III.</w:t>
      </w:r>
      <w:r w:rsidRPr="00297156">
        <w:rPr>
          <w:b/>
          <w:sz w:val="28"/>
          <w:lang w:val="en-GB"/>
        </w:rPr>
        <w:tab/>
      </w:r>
      <w:r w:rsidR="00B55C8F" w:rsidRPr="00297156">
        <w:rPr>
          <w:b/>
          <w:sz w:val="28"/>
        </w:rPr>
        <w:t>Schlussfolgerung</w:t>
      </w:r>
    </w:p>
    <w:p w14:paraId="45952825" w14:textId="695D1FAB" w:rsidR="00464367" w:rsidRPr="00297156" w:rsidRDefault="00464367" w:rsidP="00CD76B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  <w:r w:rsidRPr="00297156">
        <w:rPr>
          <w:lang w:val="en-GB"/>
        </w:rPr>
        <w:t>9.</w:t>
      </w:r>
      <w:r w:rsidRPr="00297156">
        <w:rPr>
          <w:lang w:val="en-GB"/>
        </w:rPr>
        <w:tab/>
      </w:r>
      <w:r w:rsidR="009318EF" w:rsidRPr="00297156">
        <w:t>Die niederländische Delegation ersucht den Sicherheitsausschuss, die in Absatz 6 vorgeschlagenen Änderungen zu erörtern und anzunehmen</w:t>
      </w:r>
      <w:r w:rsidR="00CD76B1" w:rsidRPr="00297156">
        <w:t>, und</w:t>
      </w:r>
      <w:r w:rsidR="009318EF" w:rsidRPr="00297156">
        <w:t xml:space="preserve"> </w:t>
      </w:r>
      <w:r w:rsidR="00CD76B1" w:rsidRPr="00297156">
        <w:t>bittet</w:t>
      </w:r>
      <w:r w:rsidR="009318EF" w:rsidRPr="00297156">
        <w:t xml:space="preserve"> die beteiligten Vertragsparteien</w:t>
      </w:r>
      <w:r w:rsidR="00CD76B1" w:rsidRPr="00297156">
        <w:t xml:space="preserve"> anschließend</w:t>
      </w:r>
      <w:r w:rsidR="009318EF" w:rsidRPr="00297156">
        <w:t>, ihre Unterstützung für M 018 zum 1.</w:t>
      </w:r>
      <w:r w:rsidR="00FB5D1D" w:rsidRPr="00297156">
        <w:t> </w:t>
      </w:r>
      <w:r w:rsidR="009318EF" w:rsidRPr="00297156">
        <w:t>Januar 2021 zurückzuziehen.</w:t>
      </w:r>
    </w:p>
    <w:p w14:paraId="5819F8A2" w14:textId="77777777" w:rsidR="00464367" w:rsidRPr="00297156" w:rsidRDefault="00464367" w:rsidP="00464367">
      <w:pPr>
        <w:tabs>
          <w:tab w:val="left" w:pos="1701"/>
        </w:tabs>
        <w:rPr>
          <w:lang w:eastAsia="en-US"/>
        </w:rPr>
      </w:pPr>
    </w:p>
    <w:p w14:paraId="44781BAD" w14:textId="77777777" w:rsidR="00CE5EB3" w:rsidRPr="00114DBA" w:rsidRDefault="004F60A5" w:rsidP="00464367">
      <w:pPr>
        <w:tabs>
          <w:tab w:val="left" w:pos="1701"/>
        </w:tabs>
        <w:spacing w:before="120"/>
        <w:ind w:left="0" w:firstLine="0"/>
        <w:jc w:val="center"/>
        <w:rPr>
          <w:lang w:eastAsia="en-US"/>
        </w:rPr>
      </w:pPr>
      <w:r w:rsidRPr="00297156">
        <w:rPr>
          <w:lang w:eastAsia="en-US"/>
        </w:rPr>
        <w:t>***</w:t>
      </w:r>
    </w:p>
    <w:sectPr w:rsidR="00CE5EB3" w:rsidRPr="00114DBA" w:rsidSect="0005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67D3" w14:textId="77777777" w:rsidR="004221FE" w:rsidRDefault="004221FE" w:rsidP="004221FE">
      <w:r>
        <w:separator/>
      </w:r>
    </w:p>
  </w:endnote>
  <w:endnote w:type="continuationSeparator" w:id="0">
    <w:p w14:paraId="1F337C4B" w14:textId="77777777"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48F8" w14:textId="45FCAD46" w:rsidR="00114DBA" w:rsidRPr="007644EE" w:rsidRDefault="007644EE" w:rsidP="0032490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7644EE">
      <w:rPr>
        <w:rFonts w:ascii="Arial" w:hAnsi="Arial"/>
        <w:noProof/>
        <w:snapToGrid w:val="0"/>
        <w:sz w:val="12"/>
        <w:szCs w:val="24"/>
        <w:lang w:val="fr-FR"/>
      </w:rPr>
      <w:t>m</w:t>
    </w:r>
    <w:r w:rsidR="00036B3F" w:rsidRPr="007644EE">
      <w:rPr>
        <w:rFonts w:ascii="Arial" w:hAnsi="Arial"/>
        <w:noProof/>
        <w:snapToGrid w:val="0"/>
        <w:sz w:val="12"/>
        <w:szCs w:val="24"/>
        <w:lang w:val="fr-FR"/>
      </w:rPr>
      <w:t>m</w:t>
    </w:r>
    <w:r w:rsidRPr="007644EE">
      <w:rPr>
        <w:rFonts w:ascii="Arial" w:hAnsi="Arial"/>
        <w:noProof/>
        <w:snapToGrid w:val="0"/>
        <w:sz w:val="12"/>
        <w:szCs w:val="24"/>
        <w:lang w:val="fr-FR"/>
      </w:rPr>
      <w:t>_ba</w:t>
    </w:r>
    <w:r w:rsidR="00036B3F" w:rsidRPr="007644EE">
      <w:rPr>
        <w:rFonts w:ascii="Arial" w:hAnsi="Arial"/>
        <w:noProof/>
        <w:snapToGrid w:val="0"/>
        <w:sz w:val="12"/>
        <w:szCs w:val="24"/>
        <w:lang w:val="fr-FR"/>
      </w:rPr>
      <w:t>/adn_wp15_ac2_20</w:t>
    </w:r>
    <w:r w:rsidR="00324905">
      <w:rPr>
        <w:rFonts w:ascii="Arial" w:hAnsi="Arial"/>
        <w:noProof/>
        <w:snapToGrid w:val="0"/>
        <w:sz w:val="12"/>
        <w:szCs w:val="24"/>
        <w:lang w:val="fr-FR"/>
      </w:rPr>
      <w:t>20</w:t>
    </w:r>
    <w:r w:rsidR="00036B3F" w:rsidRPr="007644EE">
      <w:rPr>
        <w:rFonts w:ascii="Arial" w:hAnsi="Arial"/>
        <w:noProof/>
        <w:snapToGrid w:val="0"/>
        <w:sz w:val="12"/>
        <w:szCs w:val="24"/>
        <w:lang w:val="fr-FR"/>
      </w:rPr>
      <w:t>_</w:t>
    </w:r>
    <w:r w:rsidR="00464367">
      <w:rPr>
        <w:rFonts w:ascii="Arial" w:hAnsi="Arial"/>
        <w:noProof/>
        <w:snapToGrid w:val="0"/>
        <w:sz w:val="12"/>
        <w:szCs w:val="24"/>
        <w:lang w:val="fr-FR"/>
      </w:rPr>
      <w:t>12</w:t>
    </w:r>
    <w:r w:rsidRPr="007644EE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66B0" w14:textId="30E2B9A0" w:rsidR="004221FE" w:rsidRPr="004F60A5" w:rsidRDefault="004221FE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4F60A5">
      <w:rPr>
        <w:rFonts w:ascii="Arial" w:hAnsi="Arial"/>
        <w:noProof/>
        <w:snapToGrid w:val="0"/>
        <w:sz w:val="12"/>
        <w:szCs w:val="24"/>
        <w:lang w:val="en-US"/>
      </w:rPr>
      <w:t>mm/adn_wp15_ac2_20</w:t>
    </w:r>
    <w:r w:rsidR="00464367"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464367">
      <w:rPr>
        <w:rFonts w:ascii="Arial" w:hAnsi="Arial"/>
        <w:noProof/>
        <w:snapToGrid w:val="0"/>
        <w:sz w:val="12"/>
        <w:szCs w:val="24"/>
        <w:lang w:val="en-US"/>
      </w:rPr>
      <w:t>12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E2E9" w14:textId="77777777" w:rsidR="003D02CA" w:rsidRDefault="003D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BD14" w14:textId="77777777" w:rsidR="004221FE" w:rsidRDefault="004221FE" w:rsidP="004221FE">
      <w:r>
        <w:separator/>
      </w:r>
    </w:p>
  </w:footnote>
  <w:footnote w:type="continuationSeparator" w:id="0">
    <w:p w14:paraId="3F99E5B5" w14:textId="77777777" w:rsidR="004221FE" w:rsidRDefault="004221FE" w:rsidP="004221FE">
      <w:r>
        <w:continuationSeparator/>
      </w:r>
    </w:p>
  </w:footnote>
  <w:footnote w:id="1">
    <w:p w14:paraId="7A2DFAA4" w14:textId="139FF26D" w:rsidR="006A0CC5" w:rsidRPr="00F51E33" w:rsidRDefault="006A0CC5" w:rsidP="006A0CC5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51E33">
        <w:rPr>
          <w:rStyle w:val="FootnoteReference"/>
          <w:sz w:val="16"/>
          <w:szCs w:val="16"/>
        </w:rPr>
        <w:t>*</w:t>
      </w:r>
      <w:r w:rsidRPr="00F51E33">
        <w:rPr>
          <w:sz w:val="16"/>
          <w:szCs w:val="16"/>
        </w:rPr>
        <w:tab/>
      </w:r>
      <w:r w:rsidRPr="00F51E33">
        <w:rPr>
          <w:rFonts w:ascii="Times New Roman" w:hAnsi="Times New Roman" w:cs="Times New Roman"/>
          <w:sz w:val="16"/>
          <w:szCs w:val="16"/>
        </w:rPr>
        <w:t xml:space="preserve">Von der UN-ECE in Englisch, Französisch und Russisch unter dem Aktenzeichen </w:t>
      </w:r>
      <w:r w:rsidR="00F51E33" w:rsidRPr="00F51E33">
        <w:rPr>
          <w:rFonts w:ascii="Times New Roman" w:hAnsi="Times New Roman" w:cs="Times New Roman"/>
          <w:sz w:val="16"/>
          <w:szCs w:val="16"/>
        </w:rPr>
        <w:t>ECE/TRANS</w:t>
      </w:r>
      <w:r w:rsidRPr="00F51E33">
        <w:rPr>
          <w:rFonts w:ascii="Times New Roman" w:hAnsi="Times New Roman" w:cs="Times New Roman"/>
          <w:sz w:val="16"/>
          <w:szCs w:val="16"/>
        </w:rPr>
        <w:t>/WP.15/AC.2/20</w:t>
      </w:r>
      <w:r w:rsidR="00182B4D">
        <w:rPr>
          <w:rFonts w:ascii="Times New Roman" w:hAnsi="Times New Roman" w:cs="Times New Roman"/>
          <w:sz w:val="16"/>
          <w:szCs w:val="16"/>
        </w:rPr>
        <w:t>20</w:t>
      </w:r>
      <w:r w:rsidRPr="00F51E33">
        <w:rPr>
          <w:rFonts w:ascii="Times New Roman" w:hAnsi="Times New Roman" w:cs="Times New Roman"/>
          <w:sz w:val="16"/>
          <w:szCs w:val="16"/>
        </w:rPr>
        <w:t>/</w:t>
      </w:r>
      <w:r w:rsidR="00464367">
        <w:rPr>
          <w:rFonts w:ascii="Times New Roman" w:hAnsi="Times New Roman" w:cs="Times New Roman"/>
          <w:sz w:val="16"/>
          <w:szCs w:val="16"/>
        </w:rPr>
        <w:t>12</w:t>
      </w:r>
      <w:r w:rsidRPr="00F51E33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14:paraId="50F558BE" w14:textId="77777777" w:rsidR="006A0CC5" w:rsidRPr="007C13F7" w:rsidRDefault="006A0CC5" w:rsidP="006A0CC5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51E33">
        <w:rPr>
          <w:rStyle w:val="FootnoteReference"/>
          <w:rFonts w:ascii="Arial" w:hAnsi="Arial" w:cs="Arial"/>
          <w:sz w:val="16"/>
          <w:szCs w:val="16"/>
        </w:rPr>
        <w:t>**</w:t>
      </w:r>
      <w:r w:rsidRPr="00F51E33">
        <w:rPr>
          <w:sz w:val="16"/>
          <w:szCs w:val="16"/>
        </w:rPr>
        <w:tab/>
      </w:r>
      <w:r w:rsidRPr="00F51E33">
        <w:rPr>
          <w:rFonts w:ascii="Times New Roman" w:hAnsi="Times New Roman" w:cs="Times New Roman"/>
          <w:sz w:val="16"/>
          <w:szCs w:val="16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EF78" w14:textId="320E3916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</w:t>
    </w:r>
    <w:r w:rsidR="00B2351A">
      <w:rPr>
        <w:rFonts w:ascii="Arial" w:hAnsi="Arial" w:cs="Arial"/>
        <w:sz w:val="16"/>
        <w:szCs w:val="16"/>
        <w:lang w:val="en-GB" w:eastAsia="en-US"/>
      </w:rPr>
      <w:t>20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CC7648">
      <w:rPr>
        <w:rFonts w:ascii="Arial" w:hAnsi="Arial" w:cs="Arial"/>
        <w:sz w:val="16"/>
        <w:szCs w:val="16"/>
        <w:lang w:val="en-GB" w:eastAsia="en-US"/>
      </w:rPr>
      <w:t>12</w:t>
    </w:r>
  </w:p>
  <w:p w14:paraId="3CD588D0" w14:textId="77777777" w:rsidR="004F60A5" w:rsidRDefault="007C13F7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r>
      <w:rPr>
        <w:rFonts w:ascii="Arial" w:hAnsi="Arial" w:cs="Arial"/>
        <w:sz w:val="16"/>
        <w:szCs w:val="16"/>
        <w:lang w:val="en-GB" w:eastAsia="en-US"/>
      </w:rPr>
      <w:t>Seite</w:t>
    </w:r>
    <w:r w:rsidR="004F60A5"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="004F60A5"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14:paraId="66EE7292" w14:textId="77777777"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0834" w14:textId="491B502E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</w:t>
    </w:r>
    <w:r w:rsidR="00202054">
      <w:rPr>
        <w:rFonts w:ascii="Arial" w:hAnsi="Arial" w:cs="Arial"/>
        <w:sz w:val="16"/>
        <w:szCs w:val="16"/>
        <w:lang w:val="en-GB" w:eastAsia="en-US"/>
      </w:rPr>
      <w:t>20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464367">
      <w:rPr>
        <w:rFonts w:ascii="Arial" w:hAnsi="Arial" w:cs="Arial"/>
        <w:sz w:val="16"/>
        <w:szCs w:val="16"/>
        <w:lang w:val="en-GB" w:eastAsia="en-US"/>
      </w:rPr>
      <w:t>12</w:t>
    </w:r>
  </w:p>
  <w:p w14:paraId="01C4749B" w14:textId="77777777"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r w:rsidRPr="004F60A5">
      <w:rPr>
        <w:rFonts w:ascii="Arial" w:hAnsi="Arial" w:cs="Arial"/>
        <w:sz w:val="16"/>
        <w:szCs w:val="16"/>
        <w:lang w:val="en-GB" w:eastAsia="en-US"/>
      </w:rPr>
      <w:t xml:space="preserve">Seite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D6BB" w14:textId="77777777" w:rsidR="003D02CA" w:rsidRDefault="003D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6665"/>
    <w:multiLevelType w:val="hybridMultilevel"/>
    <w:tmpl w:val="EAB842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07D61"/>
    <w:rsid w:val="00036B3F"/>
    <w:rsid w:val="000556AA"/>
    <w:rsid w:val="000635D2"/>
    <w:rsid w:val="0009215A"/>
    <w:rsid w:val="000A100D"/>
    <w:rsid w:val="000A2596"/>
    <w:rsid w:val="000A65D7"/>
    <w:rsid w:val="000C6E63"/>
    <w:rsid w:val="000D3317"/>
    <w:rsid w:val="000E0682"/>
    <w:rsid w:val="001048FB"/>
    <w:rsid w:val="00114DBA"/>
    <w:rsid w:val="00116299"/>
    <w:rsid w:val="00116533"/>
    <w:rsid w:val="00117A9C"/>
    <w:rsid w:val="00125963"/>
    <w:rsid w:val="00135EED"/>
    <w:rsid w:val="001520EA"/>
    <w:rsid w:val="001765A8"/>
    <w:rsid w:val="00180BFC"/>
    <w:rsid w:val="00182B4D"/>
    <w:rsid w:val="00193A9C"/>
    <w:rsid w:val="001A0D13"/>
    <w:rsid w:val="001C1D5A"/>
    <w:rsid w:val="001C2BD2"/>
    <w:rsid w:val="001D04CD"/>
    <w:rsid w:val="001D3C53"/>
    <w:rsid w:val="001D4EA7"/>
    <w:rsid w:val="001E1FCE"/>
    <w:rsid w:val="001E6012"/>
    <w:rsid w:val="001E78B9"/>
    <w:rsid w:val="00202054"/>
    <w:rsid w:val="002036D6"/>
    <w:rsid w:val="00216A51"/>
    <w:rsid w:val="0025176E"/>
    <w:rsid w:val="002804FD"/>
    <w:rsid w:val="00297156"/>
    <w:rsid w:val="002E5673"/>
    <w:rsid w:val="003000BA"/>
    <w:rsid w:val="00301096"/>
    <w:rsid w:val="00324905"/>
    <w:rsid w:val="00355EC0"/>
    <w:rsid w:val="00361398"/>
    <w:rsid w:val="0037218D"/>
    <w:rsid w:val="00376917"/>
    <w:rsid w:val="00381F75"/>
    <w:rsid w:val="003A6EE4"/>
    <w:rsid w:val="003D02CA"/>
    <w:rsid w:val="003D50C8"/>
    <w:rsid w:val="003F2B8D"/>
    <w:rsid w:val="003F7EF7"/>
    <w:rsid w:val="00403268"/>
    <w:rsid w:val="004142F9"/>
    <w:rsid w:val="004221FE"/>
    <w:rsid w:val="0043065F"/>
    <w:rsid w:val="00451B35"/>
    <w:rsid w:val="00464367"/>
    <w:rsid w:val="00476034"/>
    <w:rsid w:val="0048333F"/>
    <w:rsid w:val="00497849"/>
    <w:rsid w:val="004B2F7A"/>
    <w:rsid w:val="004D5B60"/>
    <w:rsid w:val="004E5109"/>
    <w:rsid w:val="004E60AF"/>
    <w:rsid w:val="004E6457"/>
    <w:rsid w:val="004F3526"/>
    <w:rsid w:val="004F60A5"/>
    <w:rsid w:val="00517DB1"/>
    <w:rsid w:val="00520494"/>
    <w:rsid w:val="00533BB3"/>
    <w:rsid w:val="0058057D"/>
    <w:rsid w:val="00591A7D"/>
    <w:rsid w:val="005A4D75"/>
    <w:rsid w:val="005B1AA8"/>
    <w:rsid w:val="005E00E2"/>
    <w:rsid w:val="005F5CAD"/>
    <w:rsid w:val="006145DC"/>
    <w:rsid w:val="006309DA"/>
    <w:rsid w:val="00640D42"/>
    <w:rsid w:val="00643AEA"/>
    <w:rsid w:val="0065288D"/>
    <w:rsid w:val="00654B8D"/>
    <w:rsid w:val="006A0CC5"/>
    <w:rsid w:val="006C134B"/>
    <w:rsid w:val="00704907"/>
    <w:rsid w:val="00705A72"/>
    <w:rsid w:val="00726FF7"/>
    <w:rsid w:val="007363C1"/>
    <w:rsid w:val="0074244F"/>
    <w:rsid w:val="00751575"/>
    <w:rsid w:val="007644EE"/>
    <w:rsid w:val="00766F2D"/>
    <w:rsid w:val="007A0E7A"/>
    <w:rsid w:val="007C13F7"/>
    <w:rsid w:val="007D0396"/>
    <w:rsid w:val="007F4763"/>
    <w:rsid w:val="008048EC"/>
    <w:rsid w:val="0080642F"/>
    <w:rsid w:val="00824FF0"/>
    <w:rsid w:val="00845690"/>
    <w:rsid w:val="00875D76"/>
    <w:rsid w:val="00897993"/>
    <w:rsid w:val="008A34F6"/>
    <w:rsid w:val="008A57A1"/>
    <w:rsid w:val="008C1FBC"/>
    <w:rsid w:val="0090054D"/>
    <w:rsid w:val="009078F3"/>
    <w:rsid w:val="009318EF"/>
    <w:rsid w:val="00950B0D"/>
    <w:rsid w:val="009647DB"/>
    <w:rsid w:val="00983F93"/>
    <w:rsid w:val="009B25AB"/>
    <w:rsid w:val="009B6C19"/>
    <w:rsid w:val="009C0C97"/>
    <w:rsid w:val="009C616D"/>
    <w:rsid w:val="009D396C"/>
    <w:rsid w:val="00A30734"/>
    <w:rsid w:val="00A41413"/>
    <w:rsid w:val="00A600E3"/>
    <w:rsid w:val="00A76D20"/>
    <w:rsid w:val="00A8353C"/>
    <w:rsid w:val="00A933F3"/>
    <w:rsid w:val="00AA714D"/>
    <w:rsid w:val="00AD6795"/>
    <w:rsid w:val="00B1404A"/>
    <w:rsid w:val="00B2351A"/>
    <w:rsid w:val="00B4533C"/>
    <w:rsid w:val="00B55C8F"/>
    <w:rsid w:val="00B81DA4"/>
    <w:rsid w:val="00B922F4"/>
    <w:rsid w:val="00BB7259"/>
    <w:rsid w:val="00BE32D8"/>
    <w:rsid w:val="00BE6AC8"/>
    <w:rsid w:val="00C13835"/>
    <w:rsid w:val="00C24EA0"/>
    <w:rsid w:val="00C33BD8"/>
    <w:rsid w:val="00C3637A"/>
    <w:rsid w:val="00C616E5"/>
    <w:rsid w:val="00C700B9"/>
    <w:rsid w:val="00C854BD"/>
    <w:rsid w:val="00CA7730"/>
    <w:rsid w:val="00CC7648"/>
    <w:rsid w:val="00CD3754"/>
    <w:rsid w:val="00CD76B1"/>
    <w:rsid w:val="00CE5EB3"/>
    <w:rsid w:val="00D12CE4"/>
    <w:rsid w:val="00D1569D"/>
    <w:rsid w:val="00D53DC3"/>
    <w:rsid w:val="00D54645"/>
    <w:rsid w:val="00D72886"/>
    <w:rsid w:val="00DB57E7"/>
    <w:rsid w:val="00DC3843"/>
    <w:rsid w:val="00DD5FF2"/>
    <w:rsid w:val="00DE7A06"/>
    <w:rsid w:val="00DF22B9"/>
    <w:rsid w:val="00E45CFC"/>
    <w:rsid w:val="00EB6449"/>
    <w:rsid w:val="00ED557F"/>
    <w:rsid w:val="00F341D9"/>
    <w:rsid w:val="00F51E33"/>
    <w:rsid w:val="00F546AD"/>
    <w:rsid w:val="00F72CCF"/>
    <w:rsid w:val="00F771F3"/>
    <w:rsid w:val="00F87030"/>
    <w:rsid w:val="00F87D08"/>
    <w:rsid w:val="00F904E1"/>
    <w:rsid w:val="00FA3E52"/>
    <w:rsid w:val="00FB5D1D"/>
    <w:rsid w:val="00FB7678"/>
    <w:rsid w:val="00FE4D6D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16BC5F1E"/>
  <w15:docId w15:val="{AC26D101-1CFD-4202-8DAB-2EF5656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5176E"/>
    <w:pPr>
      <w:spacing w:after="0" w:line="240" w:lineRule="auto"/>
      <w:ind w:right="0"/>
      <w:jc w:val="left"/>
      <w:outlineLvl w:val="0"/>
    </w:pPr>
    <w:rPr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qFormat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qFormat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qFormat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5176E"/>
    <w:rPr>
      <w:lang w:val="en-GB" w:eastAsia="fr-FR"/>
    </w:rPr>
  </w:style>
  <w:style w:type="paragraph" w:customStyle="1" w:styleId="Default">
    <w:name w:val="Default"/>
    <w:uiPriority w:val="99"/>
    <w:rsid w:val="002517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Normal"/>
    <w:next w:val="TableGrid"/>
    <w:rsid w:val="0046436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5255</Characters>
  <Application>Microsoft Office Word</Application>
  <DocSecurity>4</DocSecurity>
  <Lines>43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2019-06-21T12:39:00Z</cp:lastPrinted>
  <dcterms:created xsi:type="dcterms:W3CDTF">2019-12-03T07:38:00Z</dcterms:created>
  <dcterms:modified xsi:type="dcterms:W3CDTF">2019-12-03T07:38:00Z</dcterms:modified>
</cp:coreProperties>
</file>