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DC6945" w14:textId="77777777" w:rsidTr="00B20551">
        <w:trPr>
          <w:cantSplit/>
          <w:trHeight w:hRule="exact" w:val="851"/>
        </w:trPr>
        <w:tc>
          <w:tcPr>
            <w:tcW w:w="1276" w:type="dxa"/>
            <w:tcBorders>
              <w:bottom w:val="single" w:sz="4" w:space="0" w:color="auto"/>
            </w:tcBorders>
            <w:vAlign w:val="bottom"/>
          </w:tcPr>
          <w:p w14:paraId="3C3BE161" w14:textId="77777777" w:rsidR="009E6CB7" w:rsidRDefault="009E6CB7" w:rsidP="00B20551">
            <w:pPr>
              <w:spacing w:after="80"/>
            </w:pPr>
          </w:p>
        </w:tc>
        <w:tc>
          <w:tcPr>
            <w:tcW w:w="2268" w:type="dxa"/>
            <w:tcBorders>
              <w:bottom w:val="single" w:sz="4" w:space="0" w:color="auto"/>
            </w:tcBorders>
            <w:vAlign w:val="bottom"/>
          </w:tcPr>
          <w:p w14:paraId="60422A9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67DED4" w14:textId="77777777" w:rsidR="009E6CB7" w:rsidRPr="00D47EEA" w:rsidRDefault="00DB17BD" w:rsidP="00DB17BD">
            <w:pPr>
              <w:jc w:val="right"/>
            </w:pPr>
            <w:r w:rsidRPr="00DB17BD">
              <w:rPr>
                <w:sz w:val="40"/>
              </w:rPr>
              <w:t>ECE</w:t>
            </w:r>
            <w:r>
              <w:t>/TRANS/WP.15/AC.2/2020/1</w:t>
            </w:r>
            <w:r w:rsidR="00AC27D5">
              <w:t>6</w:t>
            </w:r>
          </w:p>
        </w:tc>
      </w:tr>
      <w:tr w:rsidR="009E6CB7" w14:paraId="7183B112" w14:textId="77777777" w:rsidTr="00B20551">
        <w:trPr>
          <w:cantSplit/>
          <w:trHeight w:hRule="exact" w:val="2835"/>
        </w:trPr>
        <w:tc>
          <w:tcPr>
            <w:tcW w:w="1276" w:type="dxa"/>
            <w:tcBorders>
              <w:top w:val="single" w:sz="4" w:space="0" w:color="auto"/>
              <w:bottom w:val="single" w:sz="12" w:space="0" w:color="auto"/>
            </w:tcBorders>
          </w:tcPr>
          <w:p w14:paraId="0EBF5862" w14:textId="77777777" w:rsidR="009E6CB7" w:rsidRDefault="00686A48" w:rsidP="00B20551">
            <w:pPr>
              <w:spacing w:before="120"/>
            </w:pPr>
            <w:r>
              <w:rPr>
                <w:noProof/>
                <w:lang w:val="fr-CH" w:eastAsia="fr-CH"/>
              </w:rPr>
              <w:drawing>
                <wp:inline distT="0" distB="0" distL="0" distR="0" wp14:anchorId="72A90412" wp14:editId="590E1B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AE52A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3A6EE6D" w14:textId="77777777" w:rsidR="009E6CB7" w:rsidRDefault="00DB17BD" w:rsidP="00DB17BD">
            <w:pPr>
              <w:spacing w:before="240" w:line="240" w:lineRule="exact"/>
            </w:pPr>
            <w:r>
              <w:t xml:space="preserve">Distr.: </w:t>
            </w:r>
            <w:r w:rsidR="00E873D1">
              <w:t>General</w:t>
            </w:r>
          </w:p>
          <w:p w14:paraId="36157FD3" w14:textId="682DAA81" w:rsidR="00DB17BD" w:rsidRDefault="001B3190" w:rsidP="00DB17BD">
            <w:pPr>
              <w:spacing w:line="240" w:lineRule="exact"/>
            </w:pPr>
            <w:r>
              <w:t>1</w:t>
            </w:r>
            <w:r w:rsidR="005E200E">
              <w:t>3</w:t>
            </w:r>
            <w:r>
              <w:t xml:space="preserve"> </w:t>
            </w:r>
            <w:r w:rsidR="00DB17BD">
              <w:t>November 2019</w:t>
            </w:r>
          </w:p>
          <w:p w14:paraId="71D58C47" w14:textId="77777777" w:rsidR="00DB17BD" w:rsidRDefault="00DB17BD" w:rsidP="00DB17BD">
            <w:pPr>
              <w:spacing w:line="240" w:lineRule="exact"/>
            </w:pPr>
          </w:p>
          <w:p w14:paraId="28737CB3" w14:textId="77777777" w:rsidR="00DB17BD" w:rsidRDefault="00DB17BD" w:rsidP="00DB17BD">
            <w:pPr>
              <w:spacing w:line="240" w:lineRule="exact"/>
            </w:pPr>
            <w:r>
              <w:t>Original: English</w:t>
            </w:r>
          </w:p>
        </w:tc>
      </w:tr>
    </w:tbl>
    <w:p w14:paraId="642CFBC5" w14:textId="77777777" w:rsidR="00055A70" w:rsidRPr="003134DF" w:rsidRDefault="00055A70" w:rsidP="00C411EB">
      <w:pPr>
        <w:spacing w:before="120"/>
        <w:rPr>
          <w:b/>
          <w:sz w:val="28"/>
          <w:szCs w:val="28"/>
        </w:rPr>
      </w:pPr>
      <w:r w:rsidRPr="003134DF">
        <w:rPr>
          <w:b/>
          <w:sz w:val="28"/>
          <w:szCs w:val="28"/>
        </w:rPr>
        <w:t>Economic Commission for Europe</w:t>
      </w:r>
    </w:p>
    <w:p w14:paraId="2CC394B3" w14:textId="77777777" w:rsidR="00055A70" w:rsidRPr="003134DF" w:rsidRDefault="00055A70" w:rsidP="00C411EB">
      <w:pPr>
        <w:spacing w:before="120"/>
        <w:rPr>
          <w:sz w:val="28"/>
          <w:szCs w:val="28"/>
        </w:rPr>
      </w:pPr>
      <w:r w:rsidRPr="003134DF">
        <w:rPr>
          <w:sz w:val="28"/>
          <w:szCs w:val="28"/>
        </w:rPr>
        <w:t>Inland Transport Committee</w:t>
      </w:r>
    </w:p>
    <w:p w14:paraId="662C7296" w14:textId="77777777" w:rsidR="00055A70" w:rsidRPr="003134DF" w:rsidRDefault="00055A70" w:rsidP="00C411EB">
      <w:pPr>
        <w:spacing w:before="120"/>
        <w:rPr>
          <w:b/>
          <w:sz w:val="24"/>
          <w:szCs w:val="24"/>
        </w:rPr>
      </w:pPr>
      <w:r w:rsidRPr="003134DF">
        <w:rPr>
          <w:b/>
          <w:sz w:val="24"/>
          <w:szCs w:val="24"/>
        </w:rPr>
        <w:t>Working Party on the Transport of Dangerous Goods</w:t>
      </w:r>
    </w:p>
    <w:p w14:paraId="5234E358" w14:textId="77777777" w:rsidR="00055A70" w:rsidRPr="003134DF" w:rsidRDefault="00055A70"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520294AA" w14:textId="77777777" w:rsidR="00055A70" w:rsidRPr="003134DF" w:rsidRDefault="00055A70" w:rsidP="00C411EB">
      <w:pPr>
        <w:spacing w:before="120"/>
        <w:rPr>
          <w:b/>
        </w:rPr>
      </w:pPr>
      <w:r>
        <w:rPr>
          <w:b/>
        </w:rPr>
        <w:t xml:space="preserve">Thirty-sixth </w:t>
      </w:r>
      <w:r w:rsidRPr="003134DF">
        <w:rPr>
          <w:b/>
        </w:rPr>
        <w:t>session</w:t>
      </w:r>
    </w:p>
    <w:p w14:paraId="480E1499" w14:textId="77777777" w:rsidR="00055A70" w:rsidRDefault="00055A70" w:rsidP="00C411EB">
      <w:r w:rsidRPr="003134DF">
        <w:t xml:space="preserve">Geneva, </w:t>
      </w:r>
      <w:r>
        <w:t>27-31 January 2020</w:t>
      </w:r>
    </w:p>
    <w:p w14:paraId="5F391F6D" w14:textId="77777777" w:rsidR="00055A70" w:rsidRDefault="00055A70" w:rsidP="00C411EB">
      <w:r>
        <w:t xml:space="preserve">Item </w:t>
      </w:r>
      <w:r w:rsidR="00CE33B5">
        <w:t xml:space="preserve">5 (b) </w:t>
      </w:r>
      <w:r w:rsidRPr="003134DF">
        <w:t>of the provisional agenda</w:t>
      </w:r>
    </w:p>
    <w:p w14:paraId="2D777D61" w14:textId="77777777" w:rsidR="00CE33B5" w:rsidRPr="00CE33B5" w:rsidRDefault="00CE33B5" w:rsidP="00CE33B5">
      <w:pPr>
        <w:pStyle w:val="SingleTxtG"/>
        <w:spacing w:after="0"/>
        <w:ind w:left="0"/>
        <w:rPr>
          <w:b/>
          <w:bCs/>
        </w:rPr>
      </w:pPr>
      <w:r w:rsidRPr="00CE33B5">
        <w:rPr>
          <w:b/>
          <w:bCs/>
        </w:rPr>
        <w:t>Proposals for amendments to the Regulations annexed to ADN:</w:t>
      </w:r>
    </w:p>
    <w:p w14:paraId="5C11B17A" w14:textId="77777777" w:rsidR="00CE33B5" w:rsidRPr="00CE33B5" w:rsidRDefault="00E873D1" w:rsidP="00CE33B5">
      <w:pPr>
        <w:pStyle w:val="SingleTxtG"/>
        <w:ind w:left="0"/>
        <w:rPr>
          <w:b/>
          <w:bCs/>
        </w:rPr>
      </w:pPr>
      <w:r>
        <w:rPr>
          <w:b/>
          <w:bCs/>
        </w:rPr>
        <w:t>o</w:t>
      </w:r>
      <w:r w:rsidR="00CE33B5" w:rsidRPr="00CE33B5">
        <w:rPr>
          <w:b/>
          <w:bCs/>
        </w:rPr>
        <w:t>ther proposals</w:t>
      </w:r>
    </w:p>
    <w:p w14:paraId="2DD27AD9" w14:textId="77777777" w:rsidR="00055A70" w:rsidRDefault="00055A70" w:rsidP="00055A70">
      <w:pPr>
        <w:pStyle w:val="HChG"/>
      </w:pPr>
      <w:r>
        <w:tab/>
      </w:r>
      <w:r>
        <w:tab/>
        <w:t>9.3.3.13.4</w:t>
      </w:r>
      <w:r w:rsidR="000C0314">
        <w:t xml:space="preserve"> of ADN</w:t>
      </w:r>
    </w:p>
    <w:p w14:paraId="7EBFB563" w14:textId="77777777" w:rsidR="00055A70" w:rsidRDefault="00055A70" w:rsidP="00055A70">
      <w:pPr>
        <w:pStyle w:val="H1G"/>
        <w:rPr>
          <w:lang w:val="en-US"/>
        </w:rPr>
      </w:pPr>
      <w:r w:rsidRPr="00EA42BD">
        <w:tab/>
      </w:r>
      <w:r w:rsidRPr="00EA42BD">
        <w:tab/>
      </w:r>
      <w:r w:rsidRPr="00ED1F24">
        <w:t xml:space="preserve">Transmitted by the </w:t>
      </w:r>
      <w:r w:rsidRPr="001847F6">
        <w:rPr>
          <w:lang w:val="en-US"/>
        </w:rPr>
        <w:t>Recommended ADN Classification Societies</w:t>
      </w:r>
      <w:r w:rsidR="008D0D89" w:rsidRPr="004D45CD">
        <w:rPr>
          <w:rStyle w:val="FootnoteReference"/>
          <w:b w:val="0"/>
          <w:bCs/>
          <w:sz w:val="20"/>
        </w:rPr>
        <w:footnoteReference w:customMarkFollows="1" w:id="2"/>
        <w:t>*</w:t>
      </w:r>
      <w:r w:rsidR="008D0D89" w:rsidRPr="004D45CD">
        <w:rPr>
          <w:b w:val="0"/>
          <w:bCs/>
          <w:sz w:val="20"/>
          <w:vertAlign w:val="superscript"/>
        </w:rPr>
        <w:t>,</w:t>
      </w:r>
      <w:r w:rsidR="008D0D89" w:rsidRPr="004D45CD">
        <w:rPr>
          <w:sz w:val="20"/>
          <w:vertAlign w:val="superscript"/>
        </w:rPr>
        <w:t xml:space="preserve"> </w:t>
      </w:r>
      <w:r w:rsidR="008D0D89" w:rsidRPr="004D45CD">
        <w:rPr>
          <w:rStyle w:val="FootnoteReference"/>
          <w:b w:val="0"/>
          <w:bCs/>
          <w:sz w:val="20"/>
        </w:rPr>
        <w:footnoteReference w:customMarkFollows="1" w:id="3"/>
        <w:t>**</w:t>
      </w:r>
    </w:p>
    <w:p w14:paraId="1B9EA003" w14:textId="77777777" w:rsidR="00055A70" w:rsidRPr="00D920B4" w:rsidRDefault="00055A70" w:rsidP="00055A70">
      <w:pPr>
        <w:pStyle w:val="HChG"/>
        <w:rPr>
          <w:lang w:val="en-US" w:eastAsia="en-US"/>
        </w:rPr>
      </w:pPr>
      <w:r>
        <w:rPr>
          <w:lang w:val="en-US" w:eastAsia="en-US"/>
        </w:rPr>
        <w:tab/>
      </w:r>
      <w:r>
        <w:rPr>
          <w:lang w:val="en-US" w:eastAsia="en-US"/>
        </w:rPr>
        <w:tab/>
      </w:r>
      <w:r w:rsidRPr="00D920B4">
        <w:rPr>
          <w:lang w:val="en-US" w:eastAsia="en-US"/>
        </w:rPr>
        <w:t>Introduction</w:t>
      </w:r>
    </w:p>
    <w:p w14:paraId="2F6D4F1C" w14:textId="305BBFF0" w:rsidR="00055A70" w:rsidRPr="007036CF" w:rsidRDefault="005E200E" w:rsidP="00055A70">
      <w:pPr>
        <w:pStyle w:val="SingleTxtG"/>
      </w:pPr>
      <w:r>
        <w:t>1.</w:t>
      </w:r>
      <w:r>
        <w:tab/>
      </w:r>
      <w:r w:rsidR="00055A70" w:rsidRPr="007036CF">
        <w:t xml:space="preserve">A major modification </w:t>
      </w:r>
      <w:r w:rsidR="000356B5">
        <w:t>to</w:t>
      </w:r>
      <w:r w:rsidR="00055A70" w:rsidRPr="007036CF">
        <w:t xml:space="preserve"> the </w:t>
      </w:r>
      <w:r w:rsidR="000356B5">
        <w:t xml:space="preserve">Regulations for the Carriage of Dangerous Goods in the Rhine (ADNR) </w:t>
      </w:r>
      <w:r w:rsidR="00055A70" w:rsidRPr="007036CF">
        <w:t>article 9.3.3.13.3 has been made in 2007, implementing new damage stability requirements for type N double hull / with independent tanks. For this purpose, a second paragraph has been added.</w:t>
      </w:r>
    </w:p>
    <w:p w14:paraId="0F80AB9C" w14:textId="46475E56" w:rsidR="00055A70" w:rsidRPr="007036CF" w:rsidRDefault="000356B5" w:rsidP="00055A70">
      <w:pPr>
        <w:pStyle w:val="SingleTxtG"/>
      </w:pPr>
      <w:r>
        <w:t>2.</w:t>
      </w:r>
      <w:r>
        <w:tab/>
      </w:r>
      <w:r w:rsidR="00055A70" w:rsidRPr="007036CF">
        <w:t>The second paragraph</w:t>
      </w:r>
      <w:r w:rsidR="00D81C78">
        <w:t xml:space="preserve"> of </w:t>
      </w:r>
      <w:r w:rsidR="00D81C78" w:rsidRPr="007036CF">
        <w:t xml:space="preserve">article 9.3.3.13.3 </w:t>
      </w:r>
      <w:r w:rsidR="00D81C78">
        <w:t xml:space="preserve">specifies </w:t>
      </w:r>
      <w:r w:rsidR="00055A70" w:rsidRPr="007036CF">
        <w:t>that damage stability calculation is requested</w:t>
      </w:r>
      <w:r w:rsidR="00055A70">
        <w:t>.</w:t>
      </w:r>
    </w:p>
    <w:p w14:paraId="56442942" w14:textId="6F8D668C" w:rsidR="00055A70" w:rsidRPr="007036CF" w:rsidRDefault="000356B5" w:rsidP="00055A70">
      <w:pPr>
        <w:pStyle w:val="SingleTxtG"/>
      </w:pPr>
      <w:r>
        <w:t>3.</w:t>
      </w:r>
      <w:r>
        <w:tab/>
      </w:r>
      <w:r w:rsidR="006939E3">
        <w:t>A</w:t>
      </w:r>
      <w:r w:rsidR="00055A70" w:rsidRPr="007036CF">
        <w:t>rticle 9.3.3.15 gives the criteria to be considered</w:t>
      </w:r>
      <w:r w:rsidR="00055A70">
        <w:t>.</w:t>
      </w:r>
    </w:p>
    <w:p w14:paraId="0FEF9B8D" w14:textId="5402946D" w:rsidR="00055A70" w:rsidRPr="007036CF" w:rsidRDefault="000356B5" w:rsidP="00055A70">
      <w:pPr>
        <w:pStyle w:val="SingleTxtG"/>
      </w:pPr>
      <w:r>
        <w:t>4.</w:t>
      </w:r>
      <w:r>
        <w:tab/>
      </w:r>
      <w:r w:rsidR="00055A70" w:rsidRPr="007036CF">
        <w:t xml:space="preserve">With the next revisions of the ADNR and ADN, the </w:t>
      </w:r>
      <w:r w:rsidR="006939E3" w:rsidRPr="007036CF">
        <w:t xml:space="preserve">second paragraph </w:t>
      </w:r>
      <w:r w:rsidR="006939E3">
        <w:t xml:space="preserve">of </w:t>
      </w:r>
      <w:r w:rsidR="00055A70" w:rsidRPr="007036CF">
        <w:t>article 9.3.3.13.3 has been modified several times, but the aim of this paragraph remains</w:t>
      </w:r>
      <w:r>
        <w:t xml:space="preserve"> the same</w:t>
      </w:r>
      <w:r w:rsidR="00055A70" w:rsidRPr="007036CF">
        <w:t>: request</w:t>
      </w:r>
      <w:r>
        <w:t>ing</w:t>
      </w:r>
      <w:r w:rsidR="00055A70" w:rsidRPr="007036CF">
        <w:t xml:space="preserve"> to have damage stability for double hull / independent tanks.</w:t>
      </w:r>
    </w:p>
    <w:p w14:paraId="762F2A24" w14:textId="4EA97392" w:rsidR="00055A70" w:rsidRPr="007036CF" w:rsidRDefault="000356B5" w:rsidP="00055A70">
      <w:pPr>
        <w:pStyle w:val="SingleTxtG"/>
      </w:pPr>
      <w:r>
        <w:t>5.</w:t>
      </w:r>
      <w:r>
        <w:tab/>
      </w:r>
      <w:r w:rsidR="00055A70" w:rsidRPr="007036CF">
        <w:t xml:space="preserve">For existing vessels built before 2007, the transitional provision should remain as it is mentioned in ADN, otherwise these vessels </w:t>
      </w:r>
      <w:r w:rsidR="006939E3">
        <w:t>would</w:t>
      </w:r>
      <w:r w:rsidR="00055A70" w:rsidRPr="007036CF">
        <w:t xml:space="preserve"> need </w:t>
      </w:r>
      <w:r w:rsidR="006939E3">
        <w:t xml:space="preserve">to </w:t>
      </w:r>
      <w:r w:rsidR="00055A70" w:rsidRPr="007036CF">
        <w:t>comply with damage stability requirements and most of them are not designed for this</w:t>
      </w:r>
      <w:r w:rsidR="00055A70">
        <w:t>.</w:t>
      </w:r>
    </w:p>
    <w:p w14:paraId="0A709095" w14:textId="5260D7BA" w:rsidR="00055A70" w:rsidRDefault="000356B5" w:rsidP="00055A70">
      <w:pPr>
        <w:pStyle w:val="SingleTxtG"/>
        <w:rPr>
          <w:b/>
          <w:color w:val="000000" w:themeColor="text1"/>
          <w:u w:val="single"/>
        </w:rPr>
      </w:pPr>
      <w:r>
        <w:t>6.</w:t>
      </w:r>
      <w:r>
        <w:tab/>
        <w:t>E</w:t>
      </w:r>
      <w:r w:rsidRPr="007036CF">
        <w:t>xtracts of ADN showin</w:t>
      </w:r>
      <w:r>
        <w:t xml:space="preserve">g evolutions of the regulations are presented below for </w:t>
      </w:r>
      <w:r w:rsidR="00055A70" w:rsidRPr="007036CF">
        <w:t>information</w:t>
      </w:r>
      <w:r>
        <w:t>.</w:t>
      </w:r>
      <w:r w:rsidR="00055A70" w:rsidRPr="007036CF">
        <w:t xml:space="preserve"> </w:t>
      </w:r>
    </w:p>
    <w:p w14:paraId="1B674E04" w14:textId="31E620E3" w:rsidR="00055A70" w:rsidRPr="00D920B4" w:rsidRDefault="00055A70" w:rsidP="00541B26">
      <w:pPr>
        <w:pStyle w:val="H23G"/>
        <w:jc w:val="both"/>
      </w:pPr>
      <w:r>
        <w:lastRenderedPageBreak/>
        <w:tab/>
      </w:r>
      <w:r>
        <w:tab/>
        <w:t>1.</w:t>
      </w:r>
      <w:r>
        <w:tab/>
      </w:r>
      <w:r w:rsidRPr="00D920B4">
        <w:t xml:space="preserve">ADN 2011 </w:t>
      </w:r>
      <w:r>
        <w:t xml:space="preserve">(damage stability required in 9.9.9.13.3, paragraph 2 with transitional </w:t>
      </w:r>
      <w:r>
        <w:tab/>
        <w:t>provisions)</w:t>
      </w:r>
    </w:p>
    <w:p w14:paraId="6528B788" w14:textId="08F16F41" w:rsidR="00055A70" w:rsidRPr="00055A70" w:rsidRDefault="00515F99" w:rsidP="00055A70">
      <w:pPr>
        <w:pStyle w:val="SingleTxtG"/>
        <w:tabs>
          <w:tab w:val="left" w:pos="2127"/>
        </w:tabs>
        <w:rPr>
          <w:b/>
          <w:bCs/>
          <w:lang w:val="en-US"/>
        </w:rPr>
      </w:pPr>
      <w:r>
        <w:rPr>
          <w:b/>
          <w:bCs/>
          <w:lang w:val="en-US"/>
        </w:rPr>
        <w:t>“</w:t>
      </w:r>
      <w:r w:rsidR="00055A70" w:rsidRPr="00055A70">
        <w:rPr>
          <w:b/>
          <w:bCs/>
          <w:lang w:val="en-US"/>
        </w:rPr>
        <w:t>9.3.3.13</w:t>
      </w:r>
      <w:r w:rsidR="00055A70">
        <w:rPr>
          <w:b/>
          <w:bCs/>
          <w:lang w:val="en-US"/>
        </w:rPr>
        <w:tab/>
      </w:r>
      <w:r w:rsidR="00055A70" w:rsidRPr="00055A70">
        <w:rPr>
          <w:b/>
          <w:bCs/>
          <w:i/>
          <w:iCs/>
          <w:lang w:val="en-US"/>
        </w:rPr>
        <w:t>Stability (general)</w:t>
      </w:r>
    </w:p>
    <w:p w14:paraId="6615D291" w14:textId="77777777" w:rsidR="00055A70" w:rsidRPr="007036CF" w:rsidRDefault="00055A70" w:rsidP="00CE33B5">
      <w:pPr>
        <w:pStyle w:val="SingleTxtG"/>
        <w:tabs>
          <w:tab w:val="left" w:pos="2127"/>
        </w:tabs>
        <w:rPr>
          <w:lang w:val="en-US"/>
        </w:rPr>
      </w:pPr>
      <w:r w:rsidRPr="007036CF">
        <w:rPr>
          <w:lang w:val="en-US"/>
        </w:rPr>
        <w:t>9.3.3.13.1</w:t>
      </w:r>
      <w:r>
        <w:rPr>
          <w:lang w:val="en-US"/>
        </w:rPr>
        <w:tab/>
      </w:r>
      <w:r w:rsidRPr="007036CF">
        <w:rPr>
          <w:lang w:val="en-US"/>
        </w:rPr>
        <w:t xml:space="preserve">Proof of </w:t>
      </w:r>
      <w:proofErr w:type="gramStart"/>
      <w:r w:rsidRPr="007036CF">
        <w:rPr>
          <w:lang w:val="en-US"/>
        </w:rPr>
        <w:t>sufficient</w:t>
      </w:r>
      <w:proofErr w:type="gramEnd"/>
      <w:r w:rsidRPr="007036CF">
        <w:rPr>
          <w:lang w:val="en-US"/>
        </w:rPr>
        <w:t xml:space="preserve"> stability shall be furnished. This proof is not required for single hull</w:t>
      </w:r>
      <w:r>
        <w:rPr>
          <w:lang w:val="en-US"/>
        </w:rPr>
        <w:t xml:space="preserve"> </w:t>
      </w:r>
      <w:r w:rsidRPr="007036CF">
        <w:rPr>
          <w:lang w:val="en-US"/>
        </w:rPr>
        <w:t>vessels with cargo tanks the width of which is not more than 0.70 B.</w:t>
      </w:r>
    </w:p>
    <w:p w14:paraId="6E3BEFAC" w14:textId="77777777" w:rsidR="00055A70" w:rsidRDefault="00055A70" w:rsidP="00CE33B5">
      <w:pPr>
        <w:pStyle w:val="SingleTxtG"/>
        <w:tabs>
          <w:tab w:val="left" w:pos="2127"/>
        </w:tabs>
        <w:rPr>
          <w:lang w:val="en-US"/>
        </w:rPr>
      </w:pPr>
      <w:r w:rsidRPr="007036CF">
        <w:rPr>
          <w:lang w:val="en-US"/>
        </w:rPr>
        <w:t>9.3.3.13.2</w:t>
      </w:r>
      <w:r w:rsidR="00CE33B5">
        <w:rPr>
          <w:lang w:val="en-US"/>
        </w:rPr>
        <w:tab/>
      </w:r>
      <w:r w:rsidRPr="007036CF">
        <w:rPr>
          <w:lang w:val="en-US"/>
        </w:rPr>
        <w:t>The basic values for the stability calculation - the vessel’s lightweight and location of the</w:t>
      </w:r>
      <w:r>
        <w:rPr>
          <w:lang w:val="en-US"/>
        </w:rPr>
        <w:t xml:space="preserve"> </w:t>
      </w:r>
      <w:r w:rsidRPr="00E873D1">
        <w:t>centre</w:t>
      </w:r>
      <w:r w:rsidRPr="007036CF">
        <w:rPr>
          <w:lang w:val="en-US"/>
        </w:rPr>
        <w:t xml:space="preserve"> of gravity - shall be determined either by means of an inclining experiment or by</w:t>
      </w:r>
      <w:r w:rsidR="00CE33B5">
        <w:rPr>
          <w:lang w:val="en-US"/>
        </w:rPr>
        <w:t xml:space="preserve"> </w:t>
      </w:r>
      <w:r w:rsidRPr="007036CF">
        <w:rPr>
          <w:lang w:val="en-US"/>
        </w:rPr>
        <w:t>detailed mass and moment calculation. In the latter case the lightweight of the vessel shall be</w:t>
      </w:r>
      <w:r w:rsidR="00CE33B5">
        <w:rPr>
          <w:lang w:val="en-US"/>
        </w:rPr>
        <w:t xml:space="preserve"> </w:t>
      </w:r>
      <w:r w:rsidRPr="007036CF">
        <w:rPr>
          <w:lang w:val="en-US"/>
        </w:rPr>
        <w:t>checked by means of a lightweight test with a tolerance limit of ± 5% between the mass</w:t>
      </w:r>
      <w:r w:rsidR="00CE33B5">
        <w:rPr>
          <w:lang w:val="en-US"/>
        </w:rPr>
        <w:t xml:space="preserve"> </w:t>
      </w:r>
      <w:r w:rsidRPr="007036CF">
        <w:rPr>
          <w:lang w:val="en-US"/>
        </w:rPr>
        <w:t>determined by calculation and the displacement determined by the draught readings.</w:t>
      </w:r>
    </w:p>
    <w:p w14:paraId="0C668203" w14:textId="77777777" w:rsidR="00CE33B5" w:rsidRPr="007036CF" w:rsidRDefault="00CE33B5" w:rsidP="00CE33B5">
      <w:pPr>
        <w:pStyle w:val="SingleTxtG"/>
        <w:tabs>
          <w:tab w:val="left" w:pos="2127"/>
        </w:tabs>
        <w:rPr>
          <w:lang w:val="en-US"/>
        </w:rPr>
      </w:pPr>
      <w:r w:rsidRPr="00CE33B5">
        <w:rPr>
          <w:rStyle w:val="SingleTxtGChar"/>
        </w:rPr>
        <w:t>9.3.3.13.3</w:t>
      </w:r>
      <w:r>
        <w:rPr>
          <w:rStyle w:val="SingleTxtGChar"/>
        </w:rPr>
        <w:tab/>
      </w:r>
      <w:r w:rsidRPr="00CE33B5">
        <w:rPr>
          <w:rStyle w:val="SingleTxtGChar"/>
        </w:rPr>
        <w:t>Proof of sufficient intact stability shall be furnished for all stages of loading and unloading and for the final loading condition</w:t>
      </w:r>
      <w:r w:rsidRPr="007036CF">
        <w:rPr>
          <w:lang w:val="en-US"/>
        </w:rPr>
        <w:t>.</w:t>
      </w:r>
    </w:p>
    <w:p w14:paraId="53966F8D" w14:textId="77777777" w:rsidR="00CE33B5" w:rsidRPr="00CE33B5" w:rsidRDefault="00CE33B5" w:rsidP="00CE33B5">
      <w:pPr>
        <w:pStyle w:val="SingleTxtG"/>
        <w:rPr>
          <w:b/>
          <w:bCs/>
          <w:lang w:val="en-US"/>
        </w:rPr>
      </w:pPr>
      <w:r w:rsidRPr="00CE33B5">
        <w:rPr>
          <w:b/>
          <w:bCs/>
          <w:lang w:val="en-US"/>
        </w:rPr>
        <w:t xml:space="preserve">For vessels with independent cargo tanks and for double-hull constructions with cargo tanks integrated in the frames of the vessel, floatability after damage shall be proved for the most </w:t>
      </w:r>
      <w:r w:rsidR="000C0314" w:rsidRPr="00CE33B5">
        <w:rPr>
          <w:b/>
          <w:bCs/>
          <w:lang w:val="en-US"/>
        </w:rPr>
        <w:t>unfavorable</w:t>
      </w:r>
      <w:r w:rsidRPr="00CE33B5">
        <w:rPr>
          <w:b/>
          <w:bCs/>
          <w:lang w:val="en-US"/>
        </w:rPr>
        <w:t xml:space="preserve"> loading condition.</w:t>
      </w:r>
    </w:p>
    <w:p w14:paraId="4D42527B" w14:textId="1C722E2D" w:rsidR="00541B26" w:rsidRPr="007036CF" w:rsidRDefault="00541B26" w:rsidP="00541B26">
      <w:pPr>
        <w:pStyle w:val="SingleTxtG"/>
      </w:pPr>
      <w:r w:rsidRPr="007036CF">
        <w:rPr>
          <w:lang w:val="en-US"/>
        </w:rPr>
        <w:t>For this purpose, calculated proof of sufficient stability</w:t>
      </w:r>
      <w:r>
        <w:rPr>
          <w:lang w:val="en-US"/>
        </w:rPr>
        <w:t xml:space="preserve"> </w:t>
      </w:r>
      <w:r w:rsidRPr="007036CF">
        <w:rPr>
          <w:lang w:val="en-US"/>
        </w:rPr>
        <w:t>shall be established for critical intermediate stages of flooding and for the final stage of</w:t>
      </w:r>
      <w:r>
        <w:rPr>
          <w:lang w:val="en-US"/>
        </w:rPr>
        <w:t xml:space="preserve"> </w:t>
      </w:r>
      <w:r w:rsidRPr="007036CF">
        <w:rPr>
          <w:lang w:val="en-US"/>
        </w:rPr>
        <w:t>flooding. Negative values of stability in intermediate stages of flooding may be accepted</w:t>
      </w:r>
      <w:r>
        <w:rPr>
          <w:lang w:val="en-US"/>
        </w:rPr>
        <w:t xml:space="preserve"> </w:t>
      </w:r>
      <w:r w:rsidRPr="007036CF">
        <w:rPr>
          <w:lang w:val="en-US"/>
        </w:rPr>
        <w:t>only if the continued range of curve of the righting lever in damaged condition indicates</w:t>
      </w:r>
      <w:r>
        <w:rPr>
          <w:lang w:val="en-US"/>
        </w:rPr>
        <w:t xml:space="preserve"> </w:t>
      </w:r>
      <w:r w:rsidRPr="007036CF">
        <w:rPr>
          <w:lang w:val="en-US"/>
        </w:rPr>
        <w:t>adequate positive values of stability.</w:t>
      </w:r>
      <w:r w:rsidR="00515F99">
        <w:rPr>
          <w:lang w:val="en-US"/>
        </w:rPr>
        <w:t>”.</w:t>
      </w:r>
    </w:p>
    <w:p w14:paraId="046325DC" w14:textId="77777777" w:rsidR="00541B26" w:rsidRPr="007036CF" w:rsidRDefault="00541B26" w:rsidP="007001BD">
      <w:pPr>
        <w:pStyle w:val="SingleTxtG"/>
        <w:spacing w:before="120" w:after="240"/>
        <w:rPr>
          <w:lang w:val="en-US"/>
        </w:rPr>
      </w:pPr>
      <w:r w:rsidRPr="007036CF">
        <w:rPr>
          <w:lang w:val="en-US"/>
        </w:rPr>
        <w:t xml:space="preserve">1.6.7.2.2.2 Table of general </w:t>
      </w:r>
      <w:r w:rsidRPr="00E82375">
        <w:rPr>
          <w:b/>
          <w:u w:val="single"/>
          <w:lang w:val="en-US"/>
        </w:rPr>
        <w:t>transitional provisions</w:t>
      </w:r>
      <w:r w:rsidRPr="007036CF">
        <w:rPr>
          <w:lang w:val="en-US"/>
        </w:rPr>
        <w:t>: Tank vessels</w:t>
      </w:r>
    </w:p>
    <w:tbl>
      <w:tblPr>
        <w:tblW w:w="7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9"/>
        <w:gridCol w:w="2037"/>
        <w:gridCol w:w="3754"/>
      </w:tblGrid>
      <w:tr w:rsidR="000356B5" w:rsidRPr="006939E3" w14:paraId="4CB636B1" w14:textId="77777777" w:rsidTr="007001BD">
        <w:trPr>
          <w:cantSplit/>
          <w:jc w:val="center"/>
        </w:trPr>
        <w:tc>
          <w:tcPr>
            <w:tcW w:w="1808" w:type="dxa"/>
            <w:tcBorders>
              <w:top w:val="single" w:sz="6" w:space="0" w:color="auto"/>
              <w:left w:val="single" w:sz="6" w:space="0" w:color="auto"/>
              <w:bottom w:val="single" w:sz="6" w:space="0" w:color="auto"/>
              <w:right w:val="single" w:sz="6" w:space="0" w:color="auto"/>
            </w:tcBorders>
            <w:hideMark/>
          </w:tcPr>
          <w:p w14:paraId="1CBB820B" w14:textId="77777777" w:rsidR="000356B5" w:rsidRPr="006939E3" w:rsidRDefault="000356B5">
            <w:pPr>
              <w:adjustRightInd w:val="0"/>
              <w:snapToGrid w:val="0"/>
              <w:spacing w:before="40" w:after="40"/>
              <w:rPr>
                <w:snapToGrid w:val="0"/>
              </w:rPr>
            </w:pPr>
            <w:r w:rsidRPr="006939E3">
              <w:rPr>
                <w:snapToGrid w:val="0"/>
              </w:rPr>
              <w:t>9.3.1.13</w:t>
            </w:r>
          </w:p>
          <w:p w14:paraId="60789040" w14:textId="77777777" w:rsidR="000356B5" w:rsidRPr="006939E3" w:rsidRDefault="000356B5">
            <w:pPr>
              <w:adjustRightInd w:val="0"/>
              <w:snapToGrid w:val="0"/>
              <w:spacing w:before="40" w:after="40"/>
              <w:rPr>
                <w:snapToGrid w:val="0"/>
              </w:rPr>
            </w:pPr>
            <w:r w:rsidRPr="006939E3">
              <w:rPr>
                <w:snapToGrid w:val="0"/>
              </w:rPr>
              <w:t>9.3.3.13</w:t>
            </w:r>
          </w:p>
        </w:tc>
        <w:tc>
          <w:tcPr>
            <w:tcW w:w="2343" w:type="dxa"/>
            <w:tcBorders>
              <w:top w:val="single" w:sz="6" w:space="0" w:color="auto"/>
              <w:left w:val="single" w:sz="6" w:space="0" w:color="auto"/>
              <w:bottom w:val="single" w:sz="6" w:space="0" w:color="auto"/>
              <w:right w:val="single" w:sz="6" w:space="0" w:color="auto"/>
            </w:tcBorders>
            <w:hideMark/>
          </w:tcPr>
          <w:p w14:paraId="0C42C032" w14:textId="77777777" w:rsidR="000356B5" w:rsidRPr="006939E3" w:rsidRDefault="000356B5">
            <w:pPr>
              <w:adjustRightInd w:val="0"/>
              <w:snapToGrid w:val="0"/>
              <w:spacing w:before="40" w:after="40"/>
              <w:rPr>
                <w:snapToGrid w:val="0"/>
              </w:rPr>
            </w:pPr>
            <w:r w:rsidRPr="006939E3">
              <w:rPr>
                <w:snapToGrid w:val="0"/>
              </w:rPr>
              <w:t>Stability (general)</w:t>
            </w:r>
          </w:p>
        </w:tc>
        <w:tc>
          <w:tcPr>
            <w:tcW w:w="4353" w:type="dxa"/>
            <w:tcBorders>
              <w:top w:val="single" w:sz="6" w:space="0" w:color="auto"/>
              <w:left w:val="single" w:sz="6" w:space="0" w:color="auto"/>
              <w:bottom w:val="single" w:sz="6" w:space="0" w:color="auto"/>
              <w:right w:val="single" w:sz="6" w:space="0" w:color="auto"/>
            </w:tcBorders>
            <w:hideMark/>
          </w:tcPr>
          <w:p w14:paraId="77D3E293" w14:textId="77777777" w:rsidR="000356B5" w:rsidRPr="006939E3" w:rsidRDefault="000356B5">
            <w:pPr>
              <w:adjustRightInd w:val="0"/>
              <w:snapToGrid w:val="0"/>
              <w:spacing w:before="40" w:after="40"/>
              <w:jc w:val="center"/>
              <w:rPr>
                <w:snapToGrid w:val="0"/>
              </w:rPr>
            </w:pPr>
            <w:r w:rsidRPr="006939E3">
              <w:rPr>
                <w:snapToGrid w:val="0"/>
              </w:rPr>
              <w:t>N.R.M.</w:t>
            </w:r>
          </w:p>
          <w:p w14:paraId="16A82C3F" w14:textId="77777777" w:rsidR="000356B5" w:rsidRPr="006939E3" w:rsidRDefault="000356B5">
            <w:pPr>
              <w:adjustRightInd w:val="0"/>
              <w:snapToGrid w:val="0"/>
              <w:spacing w:before="40" w:after="40"/>
              <w:jc w:val="center"/>
              <w:rPr>
                <w:snapToGrid w:val="0"/>
              </w:rPr>
            </w:pPr>
            <w:r w:rsidRPr="006939E3">
              <w:rPr>
                <w:snapToGrid w:val="0"/>
              </w:rPr>
              <w:t xml:space="preserve">Renewal of the certificate of approval after </w:t>
            </w:r>
            <w:r w:rsidRPr="006939E3">
              <w:rPr>
                <w:snapToGrid w:val="0"/>
              </w:rPr>
              <w:br/>
              <w:t>31 December 2044</w:t>
            </w:r>
          </w:p>
        </w:tc>
      </w:tr>
      <w:tr w:rsidR="000356B5" w:rsidRPr="006939E3" w14:paraId="04FC194D" w14:textId="77777777" w:rsidTr="007001BD">
        <w:trPr>
          <w:cantSplit/>
          <w:jc w:val="center"/>
        </w:trPr>
        <w:tc>
          <w:tcPr>
            <w:tcW w:w="1808" w:type="dxa"/>
            <w:tcBorders>
              <w:top w:val="single" w:sz="6" w:space="0" w:color="auto"/>
              <w:left w:val="single" w:sz="6" w:space="0" w:color="auto"/>
              <w:bottom w:val="single" w:sz="6" w:space="0" w:color="auto"/>
              <w:right w:val="single" w:sz="6" w:space="0" w:color="auto"/>
            </w:tcBorders>
            <w:hideMark/>
          </w:tcPr>
          <w:p w14:paraId="055CFAEC" w14:textId="77777777" w:rsidR="000356B5" w:rsidRPr="006939E3" w:rsidRDefault="000356B5">
            <w:pPr>
              <w:adjustRightInd w:val="0"/>
              <w:snapToGrid w:val="0"/>
              <w:spacing w:before="40" w:after="40"/>
              <w:rPr>
                <w:snapToGrid w:val="0"/>
              </w:rPr>
            </w:pPr>
            <w:r w:rsidRPr="006939E3">
              <w:rPr>
                <w:snapToGrid w:val="0"/>
              </w:rPr>
              <w:t>9.3.3.13.3 paragraph 2</w:t>
            </w:r>
          </w:p>
        </w:tc>
        <w:tc>
          <w:tcPr>
            <w:tcW w:w="2343" w:type="dxa"/>
            <w:tcBorders>
              <w:top w:val="single" w:sz="6" w:space="0" w:color="auto"/>
              <w:left w:val="single" w:sz="6" w:space="0" w:color="auto"/>
              <w:bottom w:val="single" w:sz="6" w:space="0" w:color="auto"/>
              <w:right w:val="single" w:sz="6" w:space="0" w:color="auto"/>
            </w:tcBorders>
            <w:hideMark/>
          </w:tcPr>
          <w:p w14:paraId="5B12E24F" w14:textId="77777777" w:rsidR="000356B5" w:rsidRPr="006939E3" w:rsidRDefault="000356B5">
            <w:pPr>
              <w:adjustRightInd w:val="0"/>
              <w:snapToGrid w:val="0"/>
              <w:spacing w:before="40" w:after="40"/>
              <w:rPr>
                <w:snapToGrid w:val="0"/>
              </w:rPr>
            </w:pPr>
            <w:r w:rsidRPr="006939E3">
              <w:rPr>
                <w:snapToGrid w:val="0"/>
              </w:rPr>
              <w:t>Stability (general)</w:t>
            </w:r>
          </w:p>
        </w:tc>
        <w:tc>
          <w:tcPr>
            <w:tcW w:w="4353" w:type="dxa"/>
            <w:tcBorders>
              <w:top w:val="single" w:sz="6" w:space="0" w:color="auto"/>
              <w:left w:val="single" w:sz="6" w:space="0" w:color="auto"/>
              <w:bottom w:val="single" w:sz="6" w:space="0" w:color="auto"/>
              <w:right w:val="single" w:sz="6" w:space="0" w:color="auto"/>
            </w:tcBorders>
            <w:hideMark/>
          </w:tcPr>
          <w:p w14:paraId="7E80E1D6" w14:textId="77777777" w:rsidR="000356B5" w:rsidRPr="006939E3" w:rsidRDefault="000356B5">
            <w:pPr>
              <w:adjustRightInd w:val="0"/>
              <w:snapToGrid w:val="0"/>
              <w:spacing w:before="40" w:after="40"/>
              <w:jc w:val="center"/>
              <w:rPr>
                <w:snapToGrid w:val="0"/>
              </w:rPr>
            </w:pPr>
            <w:r w:rsidRPr="006939E3">
              <w:rPr>
                <w:snapToGrid w:val="0"/>
              </w:rPr>
              <w:t>N.R.M. from 1 January 2007</w:t>
            </w:r>
          </w:p>
          <w:p w14:paraId="3164D996" w14:textId="77777777" w:rsidR="000356B5" w:rsidRPr="006939E3" w:rsidRDefault="000356B5">
            <w:pPr>
              <w:adjustRightInd w:val="0"/>
              <w:snapToGrid w:val="0"/>
              <w:spacing w:before="40" w:after="40"/>
              <w:jc w:val="center"/>
              <w:rPr>
                <w:snapToGrid w:val="0"/>
              </w:rPr>
            </w:pPr>
            <w:r w:rsidRPr="006939E3">
              <w:rPr>
                <w:snapToGrid w:val="0"/>
              </w:rPr>
              <w:t xml:space="preserve">Renewal of the certificate of approval after </w:t>
            </w:r>
            <w:r w:rsidRPr="006939E3">
              <w:rPr>
                <w:snapToGrid w:val="0"/>
              </w:rPr>
              <w:br/>
              <w:t>31 December 2044</w:t>
            </w:r>
          </w:p>
        </w:tc>
      </w:tr>
    </w:tbl>
    <w:p w14:paraId="7F3BBDDF" w14:textId="35D56880" w:rsidR="00541B26" w:rsidRDefault="00541B26" w:rsidP="00541B26">
      <w:pPr>
        <w:pStyle w:val="H23G"/>
      </w:pPr>
      <w:r>
        <w:tab/>
      </w:r>
      <w:r>
        <w:tab/>
        <w:t>2.</w:t>
      </w:r>
      <w:r>
        <w:tab/>
      </w:r>
      <w:r w:rsidRPr="00D920B4">
        <w:t>ADN 2013 (</w:t>
      </w:r>
      <w:r w:rsidR="000356B5">
        <w:t>paragraph 2 of</w:t>
      </w:r>
      <w:r>
        <w:t xml:space="preserve"> 9.9.9.13.3</w:t>
      </w:r>
      <w:r w:rsidR="000356B5">
        <w:t xml:space="preserve"> </w:t>
      </w:r>
      <w:r>
        <w:t>of ADN</w:t>
      </w:r>
      <w:r w:rsidR="000356B5">
        <w:t xml:space="preserve"> </w:t>
      </w:r>
      <w:r>
        <w:t>2011 has been removed</w:t>
      </w:r>
      <w:r w:rsidRPr="00D920B4">
        <w:t>)</w:t>
      </w:r>
    </w:p>
    <w:p w14:paraId="55DB5B43" w14:textId="31D8B45F" w:rsidR="001C1AFD" w:rsidRPr="001C1AFD" w:rsidRDefault="00515F99" w:rsidP="001C1AFD">
      <w:pPr>
        <w:pStyle w:val="SingleTxtG"/>
        <w:tabs>
          <w:tab w:val="left" w:pos="2127"/>
        </w:tabs>
        <w:rPr>
          <w:b/>
          <w:bCs/>
          <w:i/>
          <w:iCs/>
          <w:lang w:val="en-US"/>
        </w:rPr>
      </w:pPr>
      <w:r>
        <w:rPr>
          <w:b/>
          <w:bCs/>
          <w:lang w:val="en-US"/>
        </w:rPr>
        <w:t>“</w:t>
      </w:r>
      <w:r w:rsidR="001C1AFD" w:rsidRPr="001C1AFD">
        <w:rPr>
          <w:b/>
          <w:bCs/>
          <w:lang w:val="en-US"/>
        </w:rPr>
        <w:t>9.3.3.13</w:t>
      </w:r>
      <w:r w:rsidR="001C1AFD">
        <w:rPr>
          <w:b/>
          <w:bCs/>
          <w:lang w:val="en-US"/>
        </w:rPr>
        <w:tab/>
      </w:r>
      <w:r w:rsidR="001C1AFD" w:rsidRPr="001C1AFD">
        <w:rPr>
          <w:b/>
          <w:bCs/>
          <w:i/>
          <w:iCs/>
          <w:lang w:val="en-US"/>
        </w:rPr>
        <w:t>Stability (general)</w:t>
      </w:r>
    </w:p>
    <w:p w14:paraId="5B48F56D" w14:textId="77777777" w:rsidR="001C1AFD" w:rsidRDefault="001C1AFD" w:rsidP="001C1AFD">
      <w:pPr>
        <w:pStyle w:val="SingleTxtG"/>
      </w:pPr>
      <w:r>
        <w:t>9.3.3.13.1</w:t>
      </w:r>
      <w:r>
        <w:tab/>
        <w:t>Proof of sufficient stability shall be furnished. This proof is not required for single hull vessels with cargo tanks the width of which is not more than 0.70 B.</w:t>
      </w:r>
    </w:p>
    <w:p w14:paraId="18FC3981" w14:textId="77777777" w:rsidR="001C1AFD" w:rsidRDefault="001C1AFD" w:rsidP="001C1AFD">
      <w:pPr>
        <w:pStyle w:val="SingleTxtG"/>
      </w:pPr>
      <w:r>
        <w:t>9.3.3.13.2</w:t>
      </w:r>
      <w:r>
        <w:tab/>
        <w:t>The basic values for the stability calculation - the vessel’s lightweight and location of the centre of gravity - shall be determined either by means of an inclining experiment or by detailed mass and moment calculation. In the latter case the lightweight of the vessel shall be checked by means of a lightweight test with a tolerance limit of ± 5% between the mass determined by calculation and the displacement determined by the draught readings.</w:t>
      </w:r>
    </w:p>
    <w:p w14:paraId="1F36DAB7" w14:textId="77777777" w:rsidR="001C1AFD" w:rsidRDefault="001C1AFD" w:rsidP="001C1AFD">
      <w:pPr>
        <w:pStyle w:val="SingleTxtG"/>
      </w:pPr>
      <w:r>
        <w:t>9.3.3.13.3</w:t>
      </w:r>
      <w:r>
        <w:tab/>
        <w:t>Proof of sufficient intact stability shall be furnished for all stages of loading and unloading and for the final loading condition for all the relative densities of the substances transported contained in the vessel substance list according to 1.16.1.2.5.</w:t>
      </w:r>
    </w:p>
    <w:p w14:paraId="16715196" w14:textId="77777777" w:rsidR="001C1AFD" w:rsidRDefault="001C1AFD" w:rsidP="001C1AFD">
      <w:pPr>
        <w:pStyle w:val="SingleTxtG"/>
      </w:pPr>
      <w:r>
        <w:t>For every loading operation, taking account of the actual fillings and floating position of cargo tanks, ballast tanks and compartments, drinking water and sewage tanks and tanks containing products for the operation of the vessel, the vessel shall comply with the intact and damage stability requirements.</w:t>
      </w:r>
    </w:p>
    <w:p w14:paraId="14539653" w14:textId="77777777" w:rsidR="001C1AFD" w:rsidRDefault="001C1AFD" w:rsidP="001C1AFD">
      <w:pPr>
        <w:pStyle w:val="SingleTxtG"/>
      </w:pPr>
      <w:r>
        <w:t>Intermediate stages during operations shall also be taken into consideration.</w:t>
      </w:r>
    </w:p>
    <w:p w14:paraId="65BAB5C8" w14:textId="77777777" w:rsidR="001C1AFD" w:rsidRDefault="001C1AFD" w:rsidP="001C1AFD">
      <w:pPr>
        <w:pStyle w:val="SingleTxtG"/>
      </w:pPr>
      <w:r>
        <w:t xml:space="preserve">The proof of sufficient stability shall be shown for every operating, loading and ballast condition in the stability booklet, to be approved by the relevant classification society, which classes the vessel. If it is unpractical to pre-calculate the operating, loading and ballast conditions, a loading instrument approved by the recognized classification society which </w:t>
      </w:r>
      <w:r>
        <w:lastRenderedPageBreak/>
        <w:t>classes the vessel shall be installed and used which contains the contents of the stability booklet.</w:t>
      </w:r>
    </w:p>
    <w:p w14:paraId="5716D2BC" w14:textId="4BFD67B1" w:rsidR="001C1AFD" w:rsidRPr="001C1AFD" w:rsidRDefault="001C1AFD" w:rsidP="001C1AFD">
      <w:pPr>
        <w:pStyle w:val="SingleTxtG"/>
        <w:rPr>
          <w:b/>
          <w:bCs/>
          <w:i/>
          <w:iCs/>
        </w:rPr>
      </w:pPr>
      <w:r w:rsidRPr="001C1AFD">
        <w:rPr>
          <w:b/>
          <w:bCs/>
          <w:i/>
          <w:iCs/>
        </w:rPr>
        <w:t xml:space="preserve">NOTE: </w:t>
      </w:r>
      <w:r w:rsidRPr="001C1AFD">
        <w:rPr>
          <w:i/>
          <w:iCs/>
        </w:rPr>
        <w:t>…</w:t>
      </w:r>
      <w:r w:rsidR="00515F99" w:rsidRPr="007C73C8">
        <w:t>”</w:t>
      </w:r>
      <w:r w:rsidR="007C73C8">
        <w:t>.</w:t>
      </w:r>
    </w:p>
    <w:p w14:paraId="6094875A" w14:textId="77777777" w:rsidR="00976545" w:rsidRDefault="00976545" w:rsidP="00976545">
      <w:pPr>
        <w:pStyle w:val="SingleTxtG"/>
      </w:pPr>
      <w:r w:rsidRPr="007036CF">
        <w:rPr>
          <w:lang w:val="en-US"/>
        </w:rPr>
        <w:t>1.6.7.2.2.2</w:t>
      </w:r>
      <w:r>
        <w:rPr>
          <w:lang w:val="en-US"/>
        </w:rPr>
        <w:tab/>
      </w:r>
      <w:r w:rsidRPr="007036CF">
        <w:rPr>
          <w:lang w:val="en-US"/>
        </w:rPr>
        <w:t>Table of general transitional provisions: Tank vessels</w:t>
      </w:r>
    </w:p>
    <w:tbl>
      <w:tblPr>
        <w:tblW w:w="7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7"/>
        <w:gridCol w:w="2004"/>
        <w:gridCol w:w="3809"/>
      </w:tblGrid>
      <w:tr w:rsidR="007C73C8" w:rsidRPr="006939E3" w14:paraId="487C5703" w14:textId="77777777" w:rsidTr="007001BD">
        <w:trPr>
          <w:cantSplit/>
          <w:jc w:val="center"/>
        </w:trPr>
        <w:tc>
          <w:tcPr>
            <w:tcW w:w="1836" w:type="dxa"/>
          </w:tcPr>
          <w:p w14:paraId="57F4DC46" w14:textId="77777777" w:rsidR="007C73C8" w:rsidRPr="006939E3" w:rsidRDefault="007C73C8" w:rsidP="00B11793">
            <w:pPr>
              <w:adjustRightInd w:val="0"/>
              <w:snapToGrid w:val="0"/>
              <w:spacing w:before="40" w:after="40"/>
              <w:rPr>
                <w:snapToGrid w:val="0"/>
              </w:rPr>
            </w:pPr>
            <w:r w:rsidRPr="006939E3">
              <w:rPr>
                <w:snapToGrid w:val="0"/>
              </w:rPr>
              <w:t>9.3.1.13</w:t>
            </w:r>
          </w:p>
          <w:p w14:paraId="67B34E6E" w14:textId="77777777" w:rsidR="007C73C8" w:rsidRPr="006939E3" w:rsidRDefault="007C73C8" w:rsidP="00B11793">
            <w:pPr>
              <w:adjustRightInd w:val="0"/>
              <w:snapToGrid w:val="0"/>
              <w:spacing w:before="40" w:after="40"/>
              <w:rPr>
                <w:snapToGrid w:val="0"/>
              </w:rPr>
            </w:pPr>
            <w:r w:rsidRPr="006939E3">
              <w:rPr>
                <w:snapToGrid w:val="0"/>
              </w:rPr>
              <w:t>9.3.3.13</w:t>
            </w:r>
          </w:p>
        </w:tc>
        <w:tc>
          <w:tcPr>
            <w:tcW w:w="2379" w:type="dxa"/>
          </w:tcPr>
          <w:p w14:paraId="64D4CC77" w14:textId="77777777" w:rsidR="007C73C8" w:rsidRPr="006939E3" w:rsidRDefault="007C73C8" w:rsidP="00B11793">
            <w:pPr>
              <w:adjustRightInd w:val="0"/>
              <w:snapToGrid w:val="0"/>
              <w:spacing w:before="40" w:after="40"/>
              <w:rPr>
                <w:snapToGrid w:val="0"/>
              </w:rPr>
            </w:pPr>
            <w:r w:rsidRPr="006939E3">
              <w:rPr>
                <w:snapToGrid w:val="0"/>
              </w:rPr>
              <w:t>Stability (general)</w:t>
            </w:r>
          </w:p>
        </w:tc>
        <w:tc>
          <w:tcPr>
            <w:tcW w:w="4566" w:type="dxa"/>
          </w:tcPr>
          <w:p w14:paraId="52B4F0C2" w14:textId="77777777" w:rsidR="007C73C8" w:rsidRPr="006939E3" w:rsidRDefault="007C73C8" w:rsidP="00B11793">
            <w:pPr>
              <w:adjustRightInd w:val="0"/>
              <w:snapToGrid w:val="0"/>
              <w:spacing w:before="40" w:after="40"/>
              <w:jc w:val="center"/>
              <w:rPr>
                <w:snapToGrid w:val="0"/>
              </w:rPr>
            </w:pPr>
            <w:r w:rsidRPr="006939E3">
              <w:rPr>
                <w:snapToGrid w:val="0"/>
              </w:rPr>
              <w:t>N.R.M.</w:t>
            </w:r>
          </w:p>
          <w:p w14:paraId="0285222A" w14:textId="77777777" w:rsidR="007C73C8" w:rsidRPr="006939E3" w:rsidRDefault="007C73C8" w:rsidP="00B11793">
            <w:pPr>
              <w:adjustRightInd w:val="0"/>
              <w:snapToGrid w:val="0"/>
              <w:spacing w:before="40" w:after="40"/>
              <w:jc w:val="center"/>
              <w:rPr>
                <w:snapToGrid w:val="0"/>
              </w:rPr>
            </w:pPr>
            <w:r w:rsidRPr="006939E3">
              <w:rPr>
                <w:snapToGrid w:val="0"/>
              </w:rPr>
              <w:t xml:space="preserve">Renewal of the certificate of approval after </w:t>
            </w:r>
            <w:r w:rsidRPr="006939E3">
              <w:rPr>
                <w:snapToGrid w:val="0"/>
              </w:rPr>
              <w:br/>
              <w:t>31 December 2044</w:t>
            </w:r>
          </w:p>
        </w:tc>
      </w:tr>
      <w:tr w:rsidR="007C73C8" w:rsidRPr="006939E3" w14:paraId="48C05674" w14:textId="77777777" w:rsidTr="007001BD">
        <w:trPr>
          <w:cantSplit/>
          <w:jc w:val="center"/>
        </w:trPr>
        <w:tc>
          <w:tcPr>
            <w:tcW w:w="1836" w:type="dxa"/>
          </w:tcPr>
          <w:p w14:paraId="6522D8F2" w14:textId="77777777" w:rsidR="007C73C8" w:rsidRPr="006939E3" w:rsidRDefault="007C73C8" w:rsidP="00B11793">
            <w:pPr>
              <w:adjustRightInd w:val="0"/>
              <w:snapToGrid w:val="0"/>
              <w:spacing w:before="40" w:after="40"/>
              <w:rPr>
                <w:snapToGrid w:val="0"/>
              </w:rPr>
            </w:pPr>
            <w:r w:rsidRPr="006939E3">
              <w:rPr>
                <w:snapToGrid w:val="0"/>
              </w:rPr>
              <w:t>9.3.3.13.3 paragraph 2</w:t>
            </w:r>
          </w:p>
        </w:tc>
        <w:tc>
          <w:tcPr>
            <w:tcW w:w="2379" w:type="dxa"/>
          </w:tcPr>
          <w:p w14:paraId="04E99801" w14:textId="77777777" w:rsidR="007C73C8" w:rsidRPr="006939E3" w:rsidRDefault="007C73C8" w:rsidP="00B11793">
            <w:pPr>
              <w:adjustRightInd w:val="0"/>
              <w:snapToGrid w:val="0"/>
              <w:spacing w:before="40" w:after="40"/>
              <w:rPr>
                <w:snapToGrid w:val="0"/>
              </w:rPr>
            </w:pPr>
            <w:r w:rsidRPr="006939E3">
              <w:rPr>
                <w:snapToGrid w:val="0"/>
              </w:rPr>
              <w:t>Stability (general)</w:t>
            </w:r>
          </w:p>
        </w:tc>
        <w:tc>
          <w:tcPr>
            <w:tcW w:w="4566" w:type="dxa"/>
          </w:tcPr>
          <w:p w14:paraId="10791AE9" w14:textId="77777777" w:rsidR="007C73C8" w:rsidRPr="006939E3" w:rsidRDefault="007C73C8" w:rsidP="00B11793">
            <w:pPr>
              <w:adjustRightInd w:val="0"/>
              <w:snapToGrid w:val="0"/>
              <w:spacing w:before="40" w:after="40"/>
              <w:jc w:val="center"/>
              <w:rPr>
                <w:snapToGrid w:val="0"/>
              </w:rPr>
            </w:pPr>
            <w:r w:rsidRPr="006939E3">
              <w:rPr>
                <w:snapToGrid w:val="0"/>
              </w:rPr>
              <w:t>N.R.M. from 1 January 2007</w:t>
            </w:r>
          </w:p>
          <w:p w14:paraId="110A0722" w14:textId="77777777" w:rsidR="007C73C8" w:rsidRPr="006939E3" w:rsidRDefault="007C73C8" w:rsidP="00B11793">
            <w:pPr>
              <w:adjustRightInd w:val="0"/>
              <w:snapToGrid w:val="0"/>
              <w:spacing w:before="40" w:after="40"/>
              <w:jc w:val="center"/>
              <w:rPr>
                <w:snapToGrid w:val="0"/>
              </w:rPr>
            </w:pPr>
            <w:r w:rsidRPr="006939E3">
              <w:rPr>
                <w:snapToGrid w:val="0"/>
              </w:rPr>
              <w:t xml:space="preserve">Renewal of the certificate of approval after </w:t>
            </w:r>
            <w:r w:rsidRPr="006939E3">
              <w:rPr>
                <w:snapToGrid w:val="0"/>
              </w:rPr>
              <w:br/>
              <w:t>31 December 2044</w:t>
            </w:r>
          </w:p>
        </w:tc>
      </w:tr>
    </w:tbl>
    <w:p w14:paraId="1C14AFBD" w14:textId="3AFAEEFF" w:rsidR="004B6A7B" w:rsidRDefault="004B6A7B" w:rsidP="004B6A7B">
      <w:pPr>
        <w:pStyle w:val="SingleTxtG"/>
        <w:spacing w:before="120"/>
        <w:rPr>
          <w:lang w:val="en-US"/>
        </w:rPr>
      </w:pPr>
      <w:r>
        <w:rPr>
          <w:lang w:val="en-US"/>
        </w:rPr>
        <w:t>“</w:t>
      </w:r>
      <w:r w:rsidRPr="007036CF">
        <w:rPr>
          <w:lang w:val="en-US"/>
        </w:rPr>
        <w:t>1.6.7.2.2.4</w:t>
      </w:r>
      <w:r>
        <w:rPr>
          <w:lang w:val="en-US"/>
        </w:rPr>
        <w:tab/>
      </w:r>
      <w:r w:rsidRPr="007036CF">
        <w:rPr>
          <w:lang w:val="en-US"/>
        </w:rPr>
        <w:t>Paragraphs 9.3.1.13.3, 9.3.2.13.3 and 9.3.3.13.3 may be applied until 31</w:t>
      </w:r>
      <w:r>
        <w:rPr>
          <w:lang w:val="en-US"/>
        </w:rPr>
        <w:t> </w:t>
      </w:r>
      <w:r w:rsidRPr="007036CF">
        <w:rPr>
          <w:lang w:val="en-US"/>
        </w:rPr>
        <w:t>December 2014 in</w:t>
      </w:r>
      <w:r>
        <w:rPr>
          <w:lang w:val="en-US"/>
        </w:rPr>
        <w:t xml:space="preserve"> </w:t>
      </w:r>
      <w:r w:rsidRPr="007036CF">
        <w:rPr>
          <w:lang w:val="en-US"/>
        </w:rPr>
        <w:t>the version applicable on 31 December 2012.</w:t>
      </w:r>
      <w:r>
        <w:rPr>
          <w:lang w:val="en-US"/>
        </w:rPr>
        <w:t>”.</w:t>
      </w:r>
    </w:p>
    <w:p w14:paraId="144C1916" w14:textId="53F4A9E4" w:rsidR="00976545" w:rsidRDefault="00976545" w:rsidP="00976545">
      <w:pPr>
        <w:pStyle w:val="H23G"/>
      </w:pPr>
      <w:r>
        <w:tab/>
      </w:r>
      <w:r>
        <w:tab/>
        <w:t>3.</w:t>
      </w:r>
      <w:r>
        <w:tab/>
      </w:r>
      <w:r w:rsidRPr="00D920B4">
        <w:t>ADN 2015: same as ADN 2013</w:t>
      </w:r>
    </w:p>
    <w:p w14:paraId="466B2B9F" w14:textId="77777777" w:rsidR="00976545" w:rsidRDefault="00976545" w:rsidP="00976545">
      <w:pPr>
        <w:pStyle w:val="H23G"/>
      </w:pPr>
      <w:r>
        <w:tab/>
      </w:r>
      <w:r>
        <w:tab/>
        <w:t>4.</w:t>
      </w:r>
      <w:r>
        <w:tab/>
      </w:r>
      <w:r w:rsidRPr="00D920B4">
        <w:t xml:space="preserve">ADN 2017: </w:t>
      </w:r>
      <w:r>
        <w:t xml:space="preserve">addition of </w:t>
      </w:r>
      <w:r w:rsidRPr="00D920B4">
        <w:t>9.3.3.13.4</w:t>
      </w:r>
    </w:p>
    <w:p w14:paraId="7803A50B" w14:textId="75B0D418" w:rsidR="007C73C8" w:rsidRPr="007C73C8" w:rsidRDefault="007C73C8" w:rsidP="007C73C8">
      <w:pPr>
        <w:pStyle w:val="SingleTxtG"/>
        <w:keepNext/>
        <w:spacing w:before="120"/>
        <w:rPr>
          <w:b/>
          <w:bCs/>
          <w:i/>
          <w:iCs/>
          <w:lang w:val="en-US"/>
        </w:rPr>
      </w:pPr>
      <w:r>
        <w:rPr>
          <w:b/>
          <w:bCs/>
          <w:lang w:val="en-US"/>
        </w:rPr>
        <w:t>“</w:t>
      </w:r>
      <w:r w:rsidRPr="007C73C8">
        <w:rPr>
          <w:b/>
          <w:bCs/>
          <w:lang w:val="en-US"/>
        </w:rPr>
        <w:t xml:space="preserve">9.3.3.13 </w:t>
      </w:r>
      <w:r>
        <w:rPr>
          <w:b/>
          <w:bCs/>
          <w:lang w:val="en-US"/>
        </w:rPr>
        <w:tab/>
      </w:r>
      <w:r w:rsidRPr="007C73C8">
        <w:rPr>
          <w:b/>
          <w:bCs/>
          <w:i/>
          <w:iCs/>
          <w:lang w:val="en-US"/>
        </w:rPr>
        <w:t>Stability (general)</w:t>
      </w:r>
    </w:p>
    <w:p w14:paraId="3EDF96D3" w14:textId="77777777" w:rsidR="007C73C8" w:rsidRPr="007C73C8" w:rsidRDefault="007C73C8" w:rsidP="007C73C8">
      <w:pPr>
        <w:pStyle w:val="SingleTxtG"/>
        <w:keepNext/>
        <w:spacing w:before="120"/>
        <w:rPr>
          <w:lang w:val="en-US"/>
        </w:rPr>
      </w:pPr>
      <w:r w:rsidRPr="007C73C8">
        <w:rPr>
          <w:lang w:val="en-US"/>
        </w:rPr>
        <w:t>9.3.3.13.1</w:t>
      </w:r>
      <w:r w:rsidRPr="007C73C8">
        <w:rPr>
          <w:lang w:val="en-US"/>
        </w:rPr>
        <w:tab/>
        <w:t xml:space="preserve">Proof of </w:t>
      </w:r>
      <w:proofErr w:type="gramStart"/>
      <w:r w:rsidRPr="007C73C8">
        <w:rPr>
          <w:lang w:val="en-US"/>
        </w:rPr>
        <w:t>sufficient</w:t>
      </w:r>
      <w:proofErr w:type="gramEnd"/>
      <w:r w:rsidRPr="007C73C8">
        <w:rPr>
          <w:lang w:val="en-US"/>
        </w:rPr>
        <w:t xml:space="preserve"> stability shall be furnished. This proof is not required for single hull vessels with cargo tanks the width of which is not more than 0.70 B.</w:t>
      </w:r>
    </w:p>
    <w:p w14:paraId="22A9F1FF" w14:textId="77777777" w:rsidR="007C73C8" w:rsidRPr="007C73C8" w:rsidRDefault="007C73C8" w:rsidP="007C73C8">
      <w:pPr>
        <w:pStyle w:val="SingleTxtG"/>
        <w:keepNext/>
        <w:spacing w:before="120"/>
        <w:rPr>
          <w:lang w:val="en-US"/>
        </w:rPr>
      </w:pPr>
      <w:r w:rsidRPr="007C73C8">
        <w:rPr>
          <w:lang w:val="en-US"/>
        </w:rPr>
        <w:t xml:space="preserve">9.3.3.13.2 The basic values for the stability calculation – the vessel’s lightweight and location of the </w:t>
      </w:r>
      <w:proofErr w:type="spellStart"/>
      <w:r w:rsidRPr="007C73C8">
        <w:rPr>
          <w:lang w:val="en-US"/>
        </w:rPr>
        <w:t>centre</w:t>
      </w:r>
      <w:proofErr w:type="spellEnd"/>
      <w:r w:rsidRPr="007C73C8">
        <w:rPr>
          <w:lang w:val="en-US"/>
        </w:rPr>
        <w:t xml:space="preserve"> of gravity – shall be determined either by means of an inclining experiment or by detailed mass and moment calculation. In the latter case the lightweight of the vessel shall be checked by means of a lightweight test with a tolerance limit of ± 5 % between the mass determined by calculation and the displacement determined by the draught readings.</w:t>
      </w:r>
    </w:p>
    <w:p w14:paraId="6CB59934" w14:textId="77777777" w:rsidR="007C73C8" w:rsidRPr="007C73C8" w:rsidRDefault="007C73C8" w:rsidP="007C73C8">
      <w:pPr>
        <w:pStyle w:val="SingleTxtG"/>
        <w:keepNext/>
        <w:spacing w:before="120"/>
        <w:rPr>
          <w:lang w:val="en-US"/>
        </w:rPr>
      </w:pPr>
      <w:r w:rsidRPr="007C73C8">
        <w:rPr>
          <w:lang w:val="en-US"/>
        </w:rPr>
        <w:t>9.3.3.13.3</w:t>
      </w:r>
      <w:r w:rsidRPr="007C73C8">
        <w:rPr>
          <w:lang w:val="en-US"/>
        </w:rPr>
        <w:tab/>
        <w:t xml:space="preserve">Proof of </w:t>
      </w:r>
      <w:proofErr w:type="gramStart"/>
      <w:r w:rsidRPr="007C73C8">
        <w:rPr>
          <w:lang w:val="en-US"/>
        </w:rPr>
        <w:t>sufficient</w:t>
      </w:r>
      <w:proofErr w:type="gramEnd"/>
      <w:r w:rsidRPr="007C73C8">
        <w:rPr>
          <w:lang w:val="en-US"/>
        </w:rPr>
        <w:t xml:space="preserve"> intact stability shall be furnished for all stages of loading and unloading and for the final loading condition for all the relative densities of the substances transported contained in the vessel substance list according to 1.16.1.2.5.</w:t>
      </w:r>
    </w:p>
    <w:p w14:paraId="0DC34A5E" w14:textId="77777777" w:rsidR="007C73C8" w:rsidRPr="007C73C8" w:rsidRDefault="007C73C8" w:rsidP="007C73C8">
      <w:pPr>
        <w:pStyle w:val="SingleTxtG"/>
        <w:keepNext/>
        <w:spacing w:before="120"/>
        <w:rPr>
          <w:lang w:val="en-US"/>
        </w:rPr>
      </w:pPr>
      <w:r w:rsidRPr="007C73C8">
        <w:rPr>
          <w:lang w:val="en-US"/>
        </w:rPr>
        <w:t>For every loading operation, taking account of the actual fillings and floating position of cargo tanks, ballast tanks and compartments, drinking water and sewage tanks and tanks containing products for the operation of the vessel, the vessel shall comply with the intact and damage stability requirements.</w:t>
      </w:r>
    </w:p>
    <w:p w14:paraId="1808AFF9" w14:textId="77777777" w:rsidR="007C73C8" w:rsidRPr="007C73C8" w:rsidRDefault="007C73C8" w:rsidP="007C73C8">
      <w:pPr>
        <w:pStyle w:val="SingleTxtG"/>
        <w:keepNext/>
        <w:spacing w:before="120"/>
        <w:rPr>
          <w:lang w:val="en-US"/>
        </w:rPr>
      </w:pPr>
      <w:r w:rsidRPr="007C73C8">
        <w:rPr>
          <w:lang w:val="en-US"/>
        </w:rPr>
        <w:t>Intermediate stages during operations shall also be taken into consideration.</w:t>
      </w:r>
    </w:p>
    <w:p w14:paraId="2053A34C" w14:textId="77777777" w:rsidR="007C73C8" w:rsidRPr="007C73C8" w:rsidRDefault="007C73C8" w:rsidP="007C73C8">
      <w:pPr>
        <w:pStyle w:val="SingleTxtG"/>
        <w:spacing w:before="120"/>
        <w:rPr>
          <w:lang w:val="en-US"/>
        </w:rPr>
      </w:pPr>
      <w:r w:rsidRPr="007C73C8">
        <w:rPr>
          <w:lang w:val="en-US"/>
        </w:rPr>
        <w:t xml:space="preserve">The proof of </w:t>
      </w:r>
      <w:proofErr w:type="gramStart"/>
      <w:r w:rsidRPr="007C73C8">
        <w:rPr>
          <w:lang w:val="en-US"/>
        </w:rPr>
        <w:t>sufficient</w:t>
      </w:r>
      <w:proofErr w:type="gramEnd"/>
      <w:r w:rsidRPr="007C73C8">
        <w:rPr>
          <w:lang w:val="en-US"/>
        </w:rPr>
        <w:t xml:space="preserve"> stability shall be shown for every operating, loading and ballast condition in the stability booklet, to be approved by the recognized classification society, which classes the vessel. If it is unpractical to pre-calculate the operating, loading and ballast conditions, a loading instrument approved by the recognized classification society which classes the vessel shall be installed and used which contains the contents of the stability booklet.</w:t>
      </w:r>
    </w:p>
    <w:p w14:paraId="43AC6B28" w14:textId="47AF79BD" w:rsidR="007C73C8" w:rsidRPr="007C73C8" w:rsidRDefault="007C73C8" w:rsidP="007C73C8">
      <w:pPr>
        <w:pStyle w:val="SingleTxtG"/>
        <w:spacing w:before="120"/>
        <w:rPr>
          <w:lang w:val="en-US"/>
        </w:rPr>
      </w:pPr>
      <w:r w:rsidRPr="007C73C8">
        <w:rPr>
          <w:b/>
          <w:bCs/>
          <w:i/>
          <w:iCs/>
          <w:lang w:val="en-US"/>
        </w:rPr>
        <w:t>NOTE:</w:t>
      </w:r>
      <w:r w:rsidRPr="007C73C8">
        <w:rPr>
          <w:lang w:val="en-US"/>
        </w:rPr>
        <w:t xml:space="preserve"> …</w:t>
      </w:r>
    </w:p>
    <w:p w14:paraId="00E697BB" w14:textId="51669E6A" w:rsidR="007C73C8" w:rsidRPr="007C73C8" w:rsidRDefault="007C73C8" w:rsidP="007C73C8">
      <w:pPr>
        <w:pStyle w:val="SingleTxtG"/>
        <w:spacing w:before="120"/>
        <w:rPr>
          <w:lang w:val="en-US"/>
        </w:rPr>
      </w:pPr>
      <w:r w:rsidRPr="007C73C8">
        <w:rPr>
          <w:lang w:val="en-US"/>
        </w:rPr>
        <w:t>9.3.3.13.4</w:t>
      </w:r>
      <w:r>
        <w:rPr>
          <w:lang w:val="en-US"/>
        </w:rPr>
        <w:tab/>
      </w:r>
      <w:r w:rsidRPr="007C73C8">
        <w:rPr>
          <w:lang w:val="en-US"/>
        </w:rPr>
        <w:t xml:space="preserve">Floatability after damage shall be proved for the most </w:t>
      </w:r>
      <w:proofErr w:type="spellStart"/>
      <w:r w:rsidRPr="007C73C8">
        <w:rPr>
          <w:lang w:val="en-US"/>
        </w:rPr>
        <w:t>unfavourable</w:t>
      </w:r>
      <w:proofErr w:type="spellEnd"/>
      <w:r w:rsidRPr="007C73C8">
        <w:rPr>
          <w:lang w:val="en-US"/>
        </w:rPr>
        <w:t xml:space="preserve"> loading condition. For this purpose, calculated proof of sufficient stability shall be established for critical intermediate stages of flooding and for the final stage of flooding.</w:t>
      </w:r>
      <w:r>
        <w:rPr>
          <w:lang w:val="en-US"/>
        </w:rPr>
        <w:t>”.</w:t>
      </w:r>
      <w:bookmarkStart w:id="0" w:name="_GoBack"/>
      <w:bookmarkEnd w:id="0"/>
    </w:p>
    <w:p w14:paraId="25E06EC4" w14:textId="14BC540E" w:rsidR="00976545" w:rsidRDefault="00CC543C" w:rsidP="00CC543C">
      <w:pPr>
        <w:pStyle w:val="SingleTxtG"/>
        <w:keepNext/>
        <w:spacing w:before="120"/>
        <w:rPr>
          <w:lang w:val="en-US"/>
        </w:rPr>
      </w:pPr>
      <w:r w:rsidRPr="007036CF">
        <w:rPr>
          <w:lang w:val="en-US"/>
        </w:rPr>
        <w:t>1.6.7.2.2.2</w:t>
      </w:r>
      <w:r>
        <w:rPr>
          <w:lang w:val="en-US"/>
        </w:rPr>
        <w:tab/>
      </w:r>
      <w:r w:rsidRPr="007036CF">
        <w:rPr>
          <w:lang w:val="en-US"/>
        </w:rPr>
        <w:t>Table of general transitional provisions: Tank vessels</w:t>
      </w:r>
    </w:p>
    <w:tbl>
      <w:tblPr>
        <w:tblW w:w="7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7"/>
        <w:gridCol w:w="2004"/>
        <w:gridCol w:w="3809"/>
      </w:tblGrid>
      <w:tr w:rsidR="00AC2E29" w:rsidRPr="006939E3" w14:paraId="4E325204" w14:textId="77777777" w:rsidTr="007001BD">
        <w:trPr>
          <w:cantSplit/>
          <w:jc w:val="center"/>
        </w:trPr>
        <w:tc>
          <w:tcPr>
            <w:tcW w:w="1836" w:type="dxa"/>
          </w:tcPr>
          <w:p w14:paraId="23D1425A" w14:textId="77777777" w:rsidR="00AC2E29" w:rsidRPr="006939E3" w:rsidRDefault="00AC2E29" w:rsidP="00B11793">
            <w:pPr>
              <w:adjustRightInd w:val="0"/>
              <w:snapToGrid w:val="0"/>
              <w:spacing w:before="40" w:after="40"/>
              <w:rPr>
                <w:snapToGrid w:val="0"/>
              </w:rPr>
            </w:pPr>
            <w:r w:rsidRPr="006939E3">
              <w:rPr>
                <w:snapToGrid w:val="0"/>
              </w:rPr>
              <w:t>9.3.1.13</w:t>
            </w:r>
          </w:p>
          <w:p w14:paraId="2DEB4D2A" w14:textId="77777777" w:rsidR="00AC2E29" w:rsidRPr="006939E3" w:rsidRDefault="00AC2E29" w:rsidP="00B11793">
            <w:pPr>
              <w:adjustRightInd w:val="0"/>
              <w:snapToGrid w:val="0"/>
              <w:spacing w:before="40" w:after="40"/>
              <w:rPr>
                <w:snapToGrid w:val="0"/>
              </w:rPr>
            </w:pPr>
            <w:r w:rsidRPr="006939E3">
              <w:rPr>
                <w:snapToGrid w:val="0"/>
              </w:rPr>
              <w:t>9.3.3.13</w:t>
            </w:r>
          </w:p>
        </w:tc>
        <w:tc>
          <w:tcPr>
            <w:tcW w:w="2379" w:type="dxa"/>
          </w:tcPr>
          <w:p w14:paraId="36FC0F43" w14:textId="77777777" w:rsidR="00AC2E29" w:rsidRPr="006939E3" w:rsidRDefault="00AC2E29" w:rsidP="00B11793">
            <w:pPr>
              <w:adjustRightInd w:val="0"/>
              <w:snapToGrid w:val="0"/>
              <w:spacing w:before="40" w:after="40"/>
              <w:rPr>
                <w:snapToGrid w:val="0"/>
              </w:rPr>
            </w:pPr>
            <w:r w:rsidRPr="006939E3">
              <w:rPr>
                <w:snapToGrid w:val="0"/>
              </w:rPr>
              <w:t>Stability (general)</w:t>
            </w:r>
          </w:p>
        </w:tc>
        <w:tc>
          <w:tcPr>
            <w:tcW w:w="4566" w:type="dxa"/>
          </w:tcPr>
          <w:p w14:paraId="7EE2505B" w14:textId="77777777" w:rsidR="00AC2E29" w:rsidRPr="006939E3" w:rsidRDefault="00AC2E29" w:rsidP="00B11793">
            <w:pPr>
              <w:adjustRightInd w:val="0"/>
              <w:snapToGrid w:val="0"/>
              <w:spacing w:before="40" w:after="40"/>
              <w:jc w:val="center"/>
              <w:rPr>
                <w:snapToGrid w:val="0"/>
              </w:rPr>
            </w:pPr>
            <w:r w:rsidRPr="006939E3">
              <w:rPr>
                <w:snapToGrid w:val="0"/>
              </w:rPr>
              <w:t>N.R.M.</w:t>
            </w:r>
          </w:p>
          <w:p w14:paraId="4B31BD27" w14:textId="77777777" w:rsidR="00AC2E29" w:rsidRPr="006939E3" w:rsidRDefault="00AC2E29" w:rsidP="00B11793">
            <w:pPr>
              <w:adjustRightInd w:val="0"/>
              <w:snapToGrid w:val="0"/>
              <w:spacing w:before="40" w:after="40"/>
              <w:jc w:val="center"/>
              <w:rPr>
                <w:snapToGrid w:val="0"/>
              </w:rPr>
            </w:pPr>
            <w:r w:rsidRPr="006939E3">
              <w:rPr>
                <w:snapToGrid w:val="0"/>
              </w:rPr>
              <w:t xml:space="preserve">Renewal of the certificate of approval after </w:t>
            </w:r>
            <w:r w:rsidRPr="006939E3">
              <w:rPr>
                <w:snapToGrid w:val="0"/>
              </w:rPr>
              <w:br/>
              <w:t>31 December 2044</w:t>
            </w:r>
          </w:p>
        </w:tc>
      </w:tr>
      <w:tr w:rsidR="00AC2E29" w:rsidRPr="006939E3" w14:paraId="1882BAFA" w14:textId="77777777" w:rsidTr="007001BD">
        <w:trPr>
          <w:cantSplit/>
          <w:jc w:val="center"/>
        </w:trPr>
        <w:tc>
          <w:tcPr>
            <w:tcW w:w="1836" w:type="dxa"/>
          </w:tcPr>
          <w:p w14:paraId="7B813CEA" w14:textId="77777777" w:rsidR="00AC2E29" w:rsidRPr="006939E3" w:rsidRDefault="00AC2E29" w:rsidP="00B11793">
            <w:pPr>
              <w:adjustRightInd w:val="0"/>
              <w:snapToGrid w:val="0"/>
              <w:spacing w:before="40" w:after="40"/>
              <w:rPr>
                <w:snapToGrid w:val="0"/>
              </w:rPr>
            </w:pPr>
            <w:r w:rsidRPr="006939E3">
              <w:rPr>
                <w:snapToGrid w:val="0"/>
              </w:rPr>
              <w:t>9.3.3.13.3 paragraph 2</w:t>
            </w:r>
          </w:p>
        </w:tc>
        <w:tc>
          <w:tcPr>
            <w:tcW w:w="2379" w:type="dxa"/>
          </w:tcPr>
          <w:p w14:paraId="280AD891" w14:textId="77777777" w:rsidR="00AC2E29" w:rsidRPr="006939E3" w:rsidRDefault="00AC2E29" w:rsidP="00B11793">
            <w:pPr>
              <w:adjustRightInd w:val="0"/>
              <w:snapToGrid w:val="0"/>
              <w:spacing w:before="40" w:after="40"/>
              <w:rPr>
                <w:snapToGrid w:val="0"/>
              </w:rPr>
            </w:pPr>
            <w:r w:rsidRPr="006939E3">
              <w:rPr>
                <w:snapToGrid w:val="0"/>
              </w:rPr>
              <w:t>Stability (general)</w:t>
            </w:r>
          </w:p>
        </w:tc>
        <w:tc>
          <w:tcPr>
            <w:tcW w:w="4566" w:type="dxa"/>
          </w:tcPr>
          <w:p w14:paraId="4322FA62" w14:textId="77777777" w:rsidR="00AC2E29" w:rsidRPr="006939E3" w:rsidRDefault="00AC2E29" w:rsidP="00B11793">
            <w:pPr>
              <w:adjustRightInd w:val="0"/>
              <w:snapToGrid w:val="0"/>
              <w:spacing w:before="40" w:after="40"/>
              <w:jc w:val="center"/>
              <w:rPr>
                <w:snapToGrid w:val="0"/>
              </w:rPr>
            </w:pPr>
            <w:r w:rsidRPr="006939E3">
              <w:rPr>
                <w:snapToGrid w:val="0"/>
              </w:rPr>
              <w:t>N.R.M. from 1 January 2007</w:t>
            </w:r>
          </w:p>
          <w:p w14:paraId="2FEC54EC" w14:textId="77777777" w:rsidR="00AC2E29" w:rsidRPr="006939E3" w:rsidRDefault="00AC2E29" w:rsidP="00B11793">
            <w:pPr>
              <w:adjustRightInd w:val="0"/>
              <w:snapToGrid w:val="0"/>
              <w:spacing w:before="40" w:after="40"/>
              <w:jc w:val="center"/>
              <w:rPr>
                <w:snapToGrid w:val="0"/>
              </w:rPr>
            </w:pPr>
            <w:r w:rsidRPr="006939E3">
              <w:rPr>
                <w:snapToGrid w:val="0"/>
              </w:rPr>
              <w:t xml:space="preserve">Renewal of the certificate of approval after </w:t>
            </w:r>
            <w:r w:rsidRPr="006939E3">
              <w:rPr>
                <w:snapToGrid w:val="0"/>
              </w:rPr>
              <w:br/>
              <w:t>31 December 2044</w:t>
            </w:r>
          </w:p>
        </w:tc>
      </w:tr>
    </w:tbl>
    <w:p w14:paraId="392305E6" w14:textId="77777777" w:rsidR="00CC543C" w:rsidRDefault="00CC543C" w:rsidP="00CC543C">
      <w:pPr>
        <w:pStyle w:val="H23G"/>
      </w:pPr>
      <w:r>
        <w:lastRenderedPageBreak/>
        <w:tab/>
      </w:r>
      <w:r>
        <w:tab/>
        <w:t>5.</w:t>
      </w:r>
      <w:r>
        <w:tab/>
        <w:t>Proposal</w:t>
      </w:r>
    </w:p>
    <w:p w14:paraId="0FA62997" w14:textId="168BBA71" w:rsidR="00CC543C" w:rsidRPr="00CC543C" w:rsidRDefault="00AC2E29" w:rsidP="00CC543C">
      <w:pPr>
        <w:pStyle w:val="SingleTxtG"/>
      </w:pPr>
      <w:r w:rsidRPr="001A2CAC">
        <w:t>9.3.3.13.</w:t>
      </w:r>
      <w:r>
        <w:t>4</w:t>
      </w:r>
      <w:r w:rsidR="00CC543C" w:rsidRPr="001A2CAC">
        <w:t xml:space="preserve"> should have been reintroduced together with a transitional provision as in </w:t>
      </w:r>
      <w:r w:rsidR="00BB379C">
        <w:t>ADN</w:t>
      </w:r>
      <w:r w:rsidR="00CC543C">
        <w:t xml:space="preserve"> </w:t>
      </w:r>
      <w:r w:rsidR="00CC543C" w:rsidRPr="001A2CAC">
        <w:t>2011.</w:t>
      </w:r>
    </w:p>
    <w:p w14:paraId="749641F2" w14:textId="77777777" w:rsidR="00CC543C" w:rsidRDefault="00CC543C" w:rsidP="00CC543C">
      <w:pPr>
        <w:pStyle w:val="SingleTxtG"/>
      </w:pPr>
      <w:r>
        <w:t xml:space="preserve">The proposal is: </w:t>
      </w:r>
    </w:p>
    <w:p w14:paraId="436CD4AE" w14:textId="77777777" w:rsidR="00CC543C" w:rsidRDefault="00CC543C" w:rsidP="00CC543C">
      <w:pPr>
        <w:pStyle w:val="SingleTxtG"/>
      </w:pPr>
      <w:r w:rsidRPr="001A2CAC">
        <w:t>Add the following entry in the table 1.6.7.2.2.2:</w:t>
      </w:r>
    </w:p>
    <w:tbl>
      <w:tblPr>
        <w:tblStyle w:val="TableGrid"/>
        <w:tblW w:w="0" w:type="auto"/>
        <w:tblInd w:w="1129" w:type="dxa"/>
        <w:tblLook w:val="04A0" w:firstRow="1" w:lastRow="0" w:firstColumn="1" w:lastColumn="0" w:noHBand="0" w:noVBand="1"/>
      </w:tblPr>
      <w:tblGrid>
        <w:gridCol w:w="1951"/>
        <w:gridCol w:w="2160"/>
        <w:gridCol w:w="3260"/>
      </w:tblGrid>
      <w:tr w:rsidR="00CC543C" w:rsidRPr="00CC543C" w14:paraId="348BD324" w14:textId="77777777" w:rsidTr="00CC543C">
        <w:tc>
          <w:tcPr>
            <w:tcW w:w="1951" w:type="dxa"/>
          </w:tcPr>
          <w:p w14:paraId="4127E31D" w14:textId="77777777" w:rsidR="00CC543C" w:rsidRPr="00CC543C" w:rsidRDefault="00CC543C" w:rsidP="00CC543C">
            <w:pPr>
              <w:pStyle w:val="NormalWeb"/>
              <w:spacing w:before="40" w:beforeAutospacing="0" w:after="40" w:afterAutospacing="0"/>
              <w:ind w:left="57"/>
              <w:rPr>
                <w:color w:val="000000" w:themeColor="text1"/>
                <w:sz w:val="20"/>
                <w:szCs w:val="20"/>
              </w:rPr>
            </w:pPr>
            <w:r w:rsidRPr="00CC543C">
              <w:rPr>
                <w:i/>
                <w:iCs/>
                <w:color w:val="000000" w:themeColor="text1"/>
                <w:sz w:val="20"/>
                <w:szCs w:val="20"/>
              </w:rPr>
              <w:t>Paragraphs</w:t>
            </w:r>
          </w:p>
        </w:tc>
        <w:tc>
          <w:tcPr>
            <w:tcW w:w="2160" w:type="dxa"/>
          </w:tcPr>
          <w:p w14:paraId="3240A973" w14:textId="77777777" w:rsidR="00CC543C" w:rsidRPr="00CC543C" w:rsidRDefault="00CC543C" w:rsidP="00CC543C">
            <w:pPr>
              <w:pStyle w:val="NormalWeb"/>
              <w:spacing w:before="40" w:beforeAutospacing="0" w:after="40" w:afterAutospacing="0"/>
              <w:ind w:left="57"/>
              <w:rPr>
                <w:color w:val="000000" w:themeColor="text1"/>
                <w:sz w:val="20"/>
                <w:szCs w:val="20"/>
              </w:rPr>
            </w:pPr>
            <w:r w:rsidRPr="00CC543C">
              <w:rPr>
                <w:i/>
                <w:iCs/>
                <w:color w:val="000000" w:themeColor="text1"/>
                <w:sz w:val="20"/>
                <w:szCs w:val="20"/>
              </w:rPr>
              <w:t>Subject</w:t>
            </w:r>
          </w:p>
        </w:tc>
        <w:tc>
          <w:tcPr>
            <w:tcW w:w="3260" w:type="dxa"/>
          </w:tcPr>
          <w:p w14:paraId="75B1796A" w14:textId="77777777" w:rsidR="00CC543C" w:rsidRPr="00CC543C" w:rsidRDefault="00CC543C" w:rsidP="00CC543C">
            <w:pPr>
              <w:pStyle w:val="NormalWeb"/>
              <w:spacing w:before="40" w:beforeAutospacing="0" w:after="40" w:afterAutospacing="0"/>
              <w:ind w:left="57"/>
              <w:rPr>
                <w:color w:val="000000" w:themeColor="text1"/>
                <w:sz w:val="20"/>
                <w:szCs w:val="20"/>
              </w:rPr>
            </w:pPr>
            <w:r w:rsidRPr="00CC543C">
              <w:rPr>
                <w:i/>
                <w:iCs/>
                <w:color w:val="000000" w:themeColor="text1"/>
                <w:sz w:val="20"/>
                <w:szCs w:val="20"/>
              </w:rPr>
              <w:t>Time limit and comments</w:t>
            </w:r>
          </w:p>
        </w:tc>
      </w:tr>
      <w:tr w:rsidR="00CC543C" w14:paraId="3260E1B9" w14:textId="77777777" w:rsidTr="00CC543C">
        <w:tc>
          <w:tcPr>
            <w:tcW w:w="1951" w:type="dxa"/>
          </w:tcPr>
          <w:p w14:paraId="732FDAD3" w14:textId="77777777" w:rsidR="00CC543C" w:rsidRPr="00CC543C" w:rsidRDefault="00CC543C" w:rsidP="00CC543C">
            <w:pPr>
              <w:pStyle w:val="NormalWeb"/>
              <w:spacing w:before="0" w:beforeAutospacing="0" w:after="0" w:afterAutospacing="0"/>
              <w:ind w:left="57"/>
              <w:rPr>
                <w:color w:val="000000" w:themeColor="text1"/>
                <w:sz w:val="20"/>
                <w:szCs w:val="20"/>
              </w:rPr>
            </w:pPr>
            <w:r w:rsidRPr="00CC543C">
              <w:rPr>
                <w:color w:val="000000" w:themeColor="text1"/>
                <w:sz w:val="20"/>
                <w:szCs w:val="20"/>
              </w:rPr>
              <w:t>9.3.3.13.4</w:t>
            </w:r>
          </w:p>
        </w:tc>
        <w:tc>
          <w:tcPr>
            <w:tcW w:w="2160" w:type="dxa"/>
          </w:tcPr>
          <w:p w14:paraId="0DEACD30" w14:textId="77777777" w:rsidR="00CC543C" w:rsidRPr="00CC543C" w:rsidRDefault="00CC543C" w:rsidP="00CC543C">
            <w:pPr>
              <w:pStyle w:val="NormalWeb"/>
              <w:spacing w:before="0" w:beforeAutospacing="0" w:after="0" w:afterAutospacing="0"/>
              <w:ind w:left="57"/>
              <w:rPr>
                <w:color w:val="000000" w:themeColor="text1"/>
                <w:sz w:val="20"/>
                <w:szCs w:val="20"/>
              </w:rPr>
            </w:pPr>
            <w:r w:rsidRPr="00CC543C">
              <w:rPr>
                <w:color w:val="000000" w:themeColor="text1"/>
                <w:sz w:val="20"/>
                <w:szCs w:val="20"/>
              </w:rPr>
              <w:t>Stability (general)</w:t>
            </w:r>
          </w:p>
        </w:tc>
        <w:tc>
          <w:tcPr>
            <w:tcW w:w="3260" w:type="dxa"/>
          </w:tcPr>
          <w:p w14:paraId="03CE59B9" w14:textId="77777777" w:rsidR="00CC543C" w:rsidRPr="00CC543C" w:rsidRDefault="00CC543C" w:rsidP="00CC543C">
            <w:pPr>
              <w:pStyle w:val="NormalWeb"/>
              <w:spacing w:before="0" w:beforeAutospacing="0" w:after="120" w:afterAutospacing="0"/>
              <w:ind w:left="57"/>
              <w:rPr>
                <w:bCs/>
                <w:color w:val="000000" w:themeColor="text1"/>
                <w:sz w:val="20"/>
                <w:szCs w:val="20"/>
              </w:rPr>
            </w:pPr>
            <w:r w:rsidRPr="00CC543C">
              <w:rPr>
                <w:bCs/>
                <w:color w:val="000000" w:themeColor="text1"/>
                <w:sz w:val="20"/>
                <w:szCs w:val="20"/>
              </w:rPr>
              <w:t>N.R.M. from 1 January 2007</w:t>
            </w:r>
          </w:p>
          <w:p w14:paraId="1E54B2ED" w14:textId="77777777" w:rsidR="00CC543C" w:rsidRPr="00CC543C" w:rsidRDefault="00CC543C" w:rsidP="00CC543C">
            <w:pPr>
              <w:pStyle w:val="NormalWeb"/>
              <w:spacing w:before="0" w:beforeAutospacing="0" w:after="0" w:afterAutospacing="0"/>
              <w:ind w:left="57"/>
              <w:rPr>
                <w:color w:val="000000" w:themeColor="text1"/>
                <w:sz w:val="20"/>
                <w:szCs w:val="20"/>
              </w:rPr>
            </w:pPr>
            <w:r w:rsidRPr="00CC543C">
              <w:rPr>
                <w:bCs/>
                <w:color w:val="000000" w:themeColor="text1"/>
                <w:sz w:val="20"/>
                <w:szCs w:val="20"/>
              </w:rPr>
              <w:t>Renewal of the certificate of approval after 31 December 2044.</w:t>
            </w:r>
          </w:p>
        </w:tc>
      </w:tr>
    </w:tbl>
    <w:p w14:paraId="49C055D1" w14:textId="77777777" w:rsidR="00CC543C" w:rsidRPr="00CC543C" w:rsidRDefault="00CC543C" w:rsidP="00CC543C">
      <w:pPr>
        <w:spacing w:before="240"/>
        <w:jc w:val="center"/>
        <w:rPr>
          <w:u w:val="single"/>
        </w:rPr>
      </w:pPr>
      <w:r>
        <w:rPr>
          <w:u w:val="single"/>
        </w:rPr>
        <w:tab/>
      </w:r>
      <w:r>
        <w:rPr>
          <w:u w:val="single"/>
        </w:rPr>
        <w:tab/>
      </w:r>
      <w:r>
        <w:rPr>
          <w:u w:val="single"/>
        </w:rPr>
        <w:tab/>
      </w:r>
    </w:p>
    <w:sectPr w:rsidR="00CC543C" w:rsidRPr="00CC543C" w:rsidSect="00DB17BD">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D801" w14:textId="77777777" w:rsidR="00DB17BD" w:rsidRDefault="00DB17BD"/>
  </w:endnote>
  <w:endnote w:type="continuationSeparator" w:id="0">
    <w:p w14:paraId="10DC2D44" w14:textId="77777777" w:rsidR="00DB17BD" w:rsidRDefault="00DB17BD"/>
  </w:endnote>
  <w:endnote w:type="continuationNotice" w:id="1">
    <w:p w14:paraId="383D5DE3" w14:textId="77777777" w:rsidR="00DB17BD" w:rsidRDefault="00DB1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3723" w14:textId="77777777" w:rsidR="00DB17BD" w:rsidRPr="00DB17BD" w:rsidRDefault="00DB17BD" w:rsidP="00DB17BD">
    <w:pPr>
      <w:pStyle w:val="Footer"/>
      <w:tabs>
        <w:tab w:val="right" w:pos="9638"/>
      </w:tabs>
      <w:rPr>
        <w:sz w:val="18"/>
      </w:rPr>
    </w:pPr>
    <w:r w:rsidRPr="00DB17BD">
      <w:rPr>
        <w:b/>
        <w:sz w:val="18"/>
      </w:rPr>
      <w:fldChar w:fldCharType="begin"/>
    </w:r>
    <w:r w:rsidRPr="00DB17BD">
      <w:rPr>
        <w:b/>
        <w:sz w:val="18"/>
      </w:rPr>
      <w:instrText xml:space="preserve"> PAGE  \* MERGEFORMAT </w:instrText>
    </w:r>
    <w:r w:rsidRPr="00DB17BD">
      <w:rPr>
        <w:b/>
        <w:sz w:val="18"/>
      </w:rPr>
      <w:fldChar w:fldCharType="separate"/>
    </w:r>
    <w:r w:rsidRPr="00DB17BD">
      <w:rPr>
        <w:b/>
        <w:noProof/>
        <w:sz w:val="18"/>
      </w:rPr>
      <w:t>2</w:t>
    </w:r>
    <w:r w:rsidRPr="00DB17B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B379" w14:textId="77777777" w:rsidR="00DB17BD" w:rsidRPr="00DB17BD" w:rsidRDefault="00DB17BD" w:rsidP="00DB17BD">
    <w:pPr>
      <w:pStyle w:val="Footer"/>
      <w:tabs>
        <w:tab w:val="right" w:pos="9638"/>
      </w:tabs>
      <w:rPr>
        <w:b/>
        <w:sz w:val="18"/>
      </w:rPr>
    </w:pPr>
    <w:r>
      <w:tab/>
    </w:r>
    <w:r w:rsidRPr="00DB17BD">
      <w:rPr>
        <w:b/>
        <w:sz w:val="18"/>
      </w:rPr>
      <w:fldChar w:fldCharType="begin"/>
    </w:r>
    <w:r w:rsidRPr="00DB17BD">
      <w:rPr>
        <w:b/>
        <w:sz w:val="18"/>
      </w:rPr>
      <w:instrText xml:space="preserve"> PAGE  \* MERGEFORMAT </w:instrText>
    </w:r>
    <w:r w:rsidRPr="00DB17BD">
      <w:rPr>
        <w:b/>
        <w:sz w:val="18"/>
      </w:rPr>
      <w:fldChar w:fldCharType="separate"/>
    </w:r>
    <w:r w:rsidRPr="00DB17BD">
      <w:rPr>
        <w:b/>
        <w:noProof/>
        <w:sz w:val="18"/>
      </w:rPr>
      <w:t>3</w:t>
    </w:r>
    <w:r w:rsidRPr="00DB17B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8B73" w14:textId="77777777" w:rsidR="00DB17BD" w:rsidRPr="000B175B" w:rsidRDefault="00DB17BD" w:rsidP="000B175B">
      <w:pPr>
        <w:tabs>
          <w:tab w:val="right" w:pos="2155"/>
        </w:tabs>
        <w:spacing w:after="80"/>
        <w:ind w:left="680"/>
        <w:rPr>
          <w:u w:val="single"/>
        </w:rPr>
      </w:pPr>
      <w:r>
        <w:rPr>
          <w:u w:val="single"/>
        </w:rPr>
        <w:tab/>
      </w:r>
    </w:p>
  </w:footnote>
  <w:footnote w:type="continuationSeparator" w:id="0">
    <w:p w14:paraId="78ED0A1B" w14:textId="77777777" w:rsidR="00DB17BD" w:rsidRPr="00FC68B7" w:rsidRDefault="00DB17BD" w:rsidP="00FC68B7">
      <w:pPr>
        <w:tabs>
          <w:tab w:val="left" w:pos="2155"/>
        </w:tabs>
        <w:spacing w:after="80"/>
        <w:ind w:left="680"/>
        <w:rPr>
          <w:u w:val="single"/>
        </w:rPr>
      </w:pPr>
      <w:r>
        <w:rPr>
          <w:u w:val="single"/>
        </w:rPr>
        <w:tab/>
      </w:r>
    </w:p>
  </w:footnote>
  <w:footnote w:type="continuationNotice" w:id="1">
    <w:p w14:paraId="61FE09F8" w14:textId="77777777" w:rsidR="00DB17BD" w:rsidRDefault="00DB17BD"/>
  </w:footnote>
  <w:footnote w:id="2">
    <w:p w14:paraId="42474181" w14:textId="77777777" w:rsidR="008D0D89" w:rsidRPr="004D45CD" w:rsidRDefault="008D0D89" w:rsidP="008D0D89">
      <w:pPr>
        <w:pStyle w:val="FootnoteText"/>
      </w:pPr>
      <w:r w:rsidRPr="007F0612">
        <w:rPr>
          <w:rStyle w:val="FootnoteReference"/>
        </w:rPr>
        <w:tab/>
      </w:r>
      <w:r w:rsidRPr="007F0612">
        <w:rPr>
          <w:rStyle w:val="FootnoteReference"/>
          <w:sz w:val="20"/>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Pr>
          <w:szCs w:val="18"/>
        </w:rPr>
        <w:t>16</w:t>
      </w:r>
      <w:r w:rsidRPr="00632167">
        <w:rPr>
          <w:szCs w:val="18"/>
        </w:rPr>
        <w:t>.</w:t>
      </w:r>
    </w:p>
  </w:footnote>
  <w:footnote w:id="3">
    <w:p w14:paraId="42A8D884" w14:textId="77777777" w:rsidR="008D0D89" w:rsidRPr="00115055" w:rsidRDefault="008D0D89" w:rsidP="008D0D89">
      <w:pPr>
        <w:pStyle w:val="FootnoteText"/>
        <w:widowControl w:val="0"/>
      </w:pPr>
      <w:r w:rsidRPr="007F0612">
        <w:rPr>
          <w:rStyle w:val="FootnoteReference"/>
        </w:rPr>
        <w:tab/>
      </w:r>
      <w:r w:rsidRPr="007F0612">
        <w:rPr>
          <w:rStyle w:val="FootnoteReference"/>
          <w:sz w:val="20"/>
        </w:rPr>
        <w:t>**</w:t>
      </w:r>
      <w:r w:rsidRPr="007F0612">
        <w:rPr>
          <w:rStyle w:val="FootnoteReference"/>
          <w:sz w:val="20"/>
        </w:rPr>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p w14:paraId="628713F2" w14:textId="77777777" w:rsidR="008D0D89" w:rsidRPr="004D45CD" w:rsidRDefault="008D0D89" w:rsidP="008D0D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8204" w14:textId="01724CF0" w:rsidR="00DB17BD" w:rsidRPr="00DB17BD" w:rsidRDefault="006939E3">
    <w:pPr>
      <w:pStyle w:val="Header"/>
    </w:pPr>
    <w:r>
      <w:rPr>
        <w:lang w:val="fr-CH"/>
      </w:rPr>
      <w:t>ECE/TRANS/WP.15/AC.2/2020/16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115C" w14:textId="77777777" w:rsidR="00DB17BD" w:rsidRPr="00AC27D5" w:rsidRDefault="00AC27D5" w:rsidP="00DB17BD">
    <w:pPr>
      <w:pStyle w:val="Header"/>
      <w:jc w:val="right"/>
      <w:rPr>
        <w:lang w:val="fr-CH"/>
      </w:rPr>
    </w:pPr>
    <w:r>
      <w:rPr>
        <w:lang w:val="fr-CH"/>
      </w:rPr>
      <w:t>ECE/TRANS/WP.15/AC.2/2020/16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803A83"/>
    <w:multiLevelType w:val="hybridMultilevel"/>
    <w:tmpl w:val="2EB8909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A2D65"/>
    <w:multiLevelType w:val="hybridMultilevel"/>
    <w:tmpl w:val="3D78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1"/>
  </w:num>
  <w:num w:numId="20">
    <w:abstractNumId w:val="11"/>
  </w:num>
  <w:num w:numId="21">
    <w:abstractNumId w:val="12"/>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BD"/>
    <w:rsid w:val="00002A7D"/>
    <w:rsid w:val="000038A8"/>
    <w:rsid w:val="00006790"/>
    <w:rsid w:val="00027624"/>
    <w:rsid w:val="000356B5"/>
    <w:rsid w:val="00050F6B"/>
    <w:rsid w:val="00055A70"/>
    <w:rsid w:val="000678CD"/>
    <w:rsid w:val="00072C8C"/>
    <w:rsid w:val="00081CE0"/>
    <w:rsid w:val="00084D30"/>
    <w:rsid w:val="00090320"/>
    <w:rsid w:val="000931C0"/>
    <w:rsid w:val="0009732C"/>
    <w:rsid w:val="000A01F9"/>
    <w:rsid w:val="000A2E09"/>
    <w:rsid w:val="000B175B"/>
    <w:rsid w:val="000B3A0F"/>
    <w:rsid w:val="000C0314"/>
    <w:rsid w:val="000E0415"/>
    <w:rsid w:val="000F7715"/>
    <w:rsid w:val="00156B99"/>
    <w:rsid w:val="00166124"/>
    <w:rsid w:val="00184DDA"/>
    <w:rsid w:val="001900CD"/>
    <w:rsid w:val="001A0452"/>
    <w:rsid w:val="001B3190"/>
    <w:rsid w:val="001B4B04"/>
    <w:rsid w:val="001B5875"/>
    <w:rsid w:val="001C1AFD"/>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B6A7B"/>
    <w:rsid w:val="004C55B0"/>
    <w:rsid w:val="004F6BA0"/>
    <w:rsid w:val="00503BEA"/>
    <w:rsid w:val="00515F99"/>
    <w:rsid w:val="00533616"/>
    <w:rsid w:val="00535ABA"/>
    <w:rsid w:val="0053768B"/>
    <w:rsid w:val="00541B26"/>
    <w:rsid w:val="005420F2"/>
    <w:rsid w:val="0054285C"/>
    <w:rsid w:val="00584173"/>
    <w:rsid w:val="00595520"/>
    <w:rsid w:val="005A44B9"/>
    <w:rsid w:val="005B1BA0"/>
    <w:rsid w:val="005B3DB3"/>
    <w:rsid w:val="005D15CA"/>
    <w:rsid w:val="005D7969"/>
    <w:rsid w:val="005E200E"/>
    <w:rsid w:val="005F08DF"/>
    <w:rsid w:val="005F3066"/>
    <w:rsid w:val="005F3E61"/>
    <w:rsid w:val="00604DDD"/>
    <w:rsid w:val="006115CC"/>
    <w:rsid w:val="00611FC4"/>
    <w:rsid w:val="006176FB"/>
    <w:rsid w:val="00630FCB"/>
    <w:rsid w:val="00640B26"/>
    <w:rsid w:val="0065766B"/>
    <w:rsid w:val="006770B2"/>
    <w:rsid w:val="00686A48"/>
    <w:rsid w:val="006939E3"/>
    <w:rsid w:val="006940E1"/>
    <w:rsid w:val="006A3C72"/>
    <w:rsid w:val="006A7392"/>
    <w:rsid w:val="006B03A1"/>
    <w:rsid w:val="006B67D9"/>
    <w:rsid w:val="006C5535"/>
    <w:rsid w:val="006D0589"/>
    <w:rsid w:val="006E564B"/>
    <w:rsid w:val="006E7154"/>
    <w:rsid w:val="007001BD"/>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C73C8"/>
    <w:rsid w:val="007D7362"/>
    <w:rsid w:val="007F061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39FB"/>
    <w:rsid w:val="008879CB"/>
    <w:rsid w:val="008979B1"/>
    <w:rsid w:val="008A5B2C"/>
    <w:rsid w:val="008A6B25"/>
    <w:rsid w:val="008A6C4F"/>
    <w:rsid w:val="008A77AE"/>
    <w:rsid w:val="008B389E"/>
    <w:rsid w:val="008D045E"/>
    <w:rsid w:val="008D0D89"/>
    <w:rsid w:val="008D3F25"/>
    <w:rsid w:val="008D4D82"/>
    <w:rsid w:val="008E0E46"/>
    <w:rsid w:val="008E7116"/>
    <w:rsid w:val="008F143B"/>
    <w:rsid w:val="008F3882"/>
    <w:rsid w:val="008F4B7C"/>
    <w:rsid w:val="00926E47"/>
    <w:rsid w:val="00947162"/>
    <w:rsid w:val="009610D0"/>
    <w:rsid w:val="0096375C"/>
    <w:rsid w:val="009662E6"/>
    <w:rsid w:val="0097095E"/>
    <w:rsid w:val="00976545"/>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27D5"/>
    <w:rsid w:val="00AC2E29"/>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B379C"/>
    <w:rsid w:val="00BC1E7E"/>
    <w:rsid w:val="00BC74E9"/>
    <w:rsid w:val="00BE36A9"/>
    <w:rsid w:val="00BE618E"/>
    <w:rsid w:val="00BE7BEC"/>
    <w:rsid w:val="00BF0A5A"/>
    <w:rsid w:val="00BF0E63"/>
    <w:rsid w:val="00BF12A3"/>
    <w:rsid w:val="00BF16D7"/>
    <w:rsid w:val="00BF2373"/>
    <w:rsid w:val="00BF5CF4"/>
    <w:rsid w:val="00C0294F"/>
    <w:rsid w:val="00C044E2"/>
    <w:rsid w:val="00C048CB"/>
    <w:rsid w:val="00C066F3"/>
    <w:rsid w:val="00C408B7"/>
    <w:rsid w:val="00C411EB"/>
    <w:rsid w:val="00C463DD"/>
    <w:rsid w:val="00C745C3"/>
    <w:rsid w:val="00C978F5"/>
    <w:rsid w:val="00CA24A4"/>
    <w:rsid w:val="00CB348D"/>
    <w:rsid w:val="00CC543C"/>
    <w:rsid w:val="00CD46F5"/>
    <w:rsid w:val="00CE33B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1C78"/>
    <w:rsid w:val="00D978C6"/>
    <w:rsid w:val="00DA0956"/>
    <w:rsid w:val="00DA357F"/>
    <w:rsid w:val="00DA3E12"/>
    <w:rsid w:val="00DB17BD"/>
    <w:rsid w:val="00DC18AD"/>
    <w:rsid w:val="00DF7CAE"/>
    <w:rsid w:val="00E423C0"/>
    <w:rsid w:val="00E6414C"/>
    <w:rsid w:val="00E7260F"/>
    <w:rsid w:val="00E8702D"/>
    <w:rsid w:val="00E873D1"/>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07E4D4"/>
  <w15:docId w15:val="{9D00A83D-7E41-42F1-BB23-CD23D51A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NormalWeb">
    <w:name w:val="Normal (Web)"/>
    <w:basedOn w:val="Normal"/>
    <w:uiPriority w:val="99"/>
    <w:unhideWhenUsed/>
    <w:rsid w:val="00055A70"/>
    <w:pPr>
      <w:suppressAutoHyphens w:val="0"/>
      <w:spacing w:before="100" w:beforeAutospacing="1" w:after="100" w:afterAutospacing="1" w:line="240" w:lineRule="auto"/>
    </w:pPr>
    <w:rPr>
      <w:rFonts w:eastAsiaTheme="minorEastAsia"/>
      <w:sz w:val="24"/>
      <w:szCs w:val="24"/>
      <w:lang w:eastAsia="en-GB"/>
    </w:rPr>
  </w:style>
  <w:style w:type="paragraph" w:styleId="ListParagraph">
    <w:name w:val="List Paragraph"/>
    <w:basedOn w:val="Normal"/>
    <w:uiPriority w:val="34"/>
    <w:qFormat/>
    <w:rsid w:val="00055A70"/>
    <w:pPr>
      <w:suppressAutoHyphens w:val="0"/>
      <w:spacing w:line="240" w:lineRule="auto"/>
      <w:ind w:left="720"/>
      <w:contextualSpacing/>
    </w:pPr>
    <w:rPr>
      <w:rFonts w:eastAsiaTheme="minorEastAsia"/>
      <w:sz w:val="24"/>
      <w:szCs w:val="24"/>
      <w:lang w:eastAsia="en-GB"/>
    </w:rPr>
  </w:style>
  <w:style w:type="character" w:customStyle="1" w:styleId="FootnoteTextChar">
    <w:name w:val="Footnote Text Char"/>
    <w:aliases w:val="5_G Char"/>
    <w:basedOn w:val="DefaultParagraphFont"/>
    <w:link w:val="FootnoteText"/>
    <w:rsid w:val="008D0D89"/>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8700-DA65-49DA-A9E3-F83E8B81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1064</TotalTime>
  <Pages>4</Pages>
  <Words>1288</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ECE/TRANS/WP.15/AC.2/2020/15</vt:lpstr>
      <vt:lpstr/>
    </vt:vector>
  </TitlesOfParts>
  <Company>CSD</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ECE/TRANS/WP.15/AC.2/2020/15</dc:title>
  <dc:creator>Marie-Claude Collet</dc:creator>
  <cp:lastModifiedBy>Marie-Claude Collet</cp:lastModifiedBy>
  <cp:revision>16</cp:revision>
  <cp:lastPrinted>2019-11-12T17:20:00Z</cp:lastPrinted>
  <dcterms:created xsi:type="dcterms:W3CDTF">2019-11-06T13:42:00Z</dcterms:created>
  <dcterms:modified xsi:type="dcterms:W3CDTF">2019-11-13T07:04:00Z</dcterms:modified>
</cp:coreProperties>
</file>