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F165774" w14:textId="77777777" w:rsidTr="005316B0">
        <w:trPr>
          <w:trHeight w:hRule="exact" w:val="851"/>
        </w:trPr>
        <w:tc>
          <w:tcPr>
            <w:tcW w:w="1276" w:type="dxa"/>
            <w:tcBorders>
              <w:bottom w:val="single" w:sz="4" w:space="0" w:color="auto"/>
            </w:tcBorders>
          </w:tcPr>
          <w:p w14:paraId="43B465F1" w14:textId="77777777" w:rsidR="001433FD" w:rsidRPr="00DB58B5" w:rsidRDefault="001433FD" w:rsidP="0001207F"/>
        </w:tc>
        <w:tc>
          <w:tcPr>
            <w:tcW w:w="2268" w:type="dxa"/>
            <w:tcBorders>
              <w:bottom w:val="single" w:sz="4" w:space="0" w:color="auto"/>
            </w:tcBorders>
            <w:vAlign w:val="bottom"/>
          </w:tcPr>
          <w:p w14:paraId="7AB7AC82"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61EEE2" w14:textId="77777777" w:rsidR="001433FD" w:rsidRPr="00DB58B5" w:rsidRDefault="0001671C" w:rsidP="0001671C">
            <w:pPr>
              <w:jc w:val="right"/>
            </w:pPr>
            <w:r w:rsidRPr="0001671C">
              <w:rPr>
                <w:sz w:val="40"/>
              </w:rPr>
              <w:t>ECE</w:t>
            </w:r>
            <w:r>
              <w:t>/TRANS/WP.15/AC.2/2020/</w:t>
            </w:r>
            <w:r w:rsidR="00E04245">
              <w:t>7</w:t>
            </w:r>
          </w:p>
        </w:tc>
      </w:tr>
      <w:tr w:rsidR="001433FD" w:rsidRPr="00DB58B5" w14:paraId="6B7048BA" w14:textId="77777777" w:rsidTr="007D3236">
        <w:trPr>
          <w:trHeight w:hRule="exact" w:val="2835"/>
        </w:trPr>
        <w:tc>
          <w:tcPr>
            <w:tcW w:w="1276" w:type="dxa"/>
            <w:tcBorders>
              <w:top w:val="single" w:sz="4" w:space="0" w:color="auto"/>
              <w:bottom w:val="single" w:sz="12" w:space="0" w:color="auto"/>
            </w:tcBorders>
          </w:tcPr>
          <w:p w14:paraId="6725C0A6" w14:textId="77777777" w:rsidR="001433FD" w:rsidRPr="00DB58B5" w:rsidRDefault="001433FD" w:rsidP="007D3236">
            <w:pPr>
              <w:spacing w:before="120"/>
              <w:jc w:val="center"/>
            </w:pPr>
            <w:r>
              <w:rPr>
                <w:noProof/>
                <w:lang w:eastAsia="fr-CH"/>
              </w:rPr>
              <w:drawing>
                <wp:inline distT="0" distB="0" distL="0" distR="0" wp14:anchorId="39B4F6FE" wp14:editId="6E742DF6">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5C936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08F6388" w14:textId="77777777" w:rsidR="0001207F" w:rsidRDefault="0001671C" w:rsidP="0001671C">
            <w:pPr>
              <w:spacing w:before="240" w:line="240" w:lineRule="exact"/>
            </w:pPr>
            <w:proofErr w:type="spellStart"/>
            <w:r>
              <w:t>Distr</w:t>
            </w:r>
            <w:proofErr w:type="spellEnd"/>
            <w:r>
              <w:t xml:space="preserve">. </w:t>
            </w:r>
            <w:proofErr w:type="gramStart"/>
            <w:r>
              <w:t>générale</w:t>
            </w:r>
            <w:proofErr w:type="gramEnd"/>
          </w:p>
          <w:p w14:paraId="07EA2A15" w14:textId="63FC23D3" w:rsidR="0001671C" w:rsidRDefault="004A584A" w:rsidP="0001671C">
            <w:pPr>
              <w:spacing w:line="240" w:lineRule="exact"/>
            </w:pPr>
            <w:r>
              <w:t>13</w:t>
            </w:r>
            <w:r w:rsidR="0001671C">
              <w:t xml:space="preserve"> novembre 2019</w:t>
            </w:r>
          </w:p>
          <w:p w14:paraId="3D5D1AA8" w14:textId="77777777" w:rsidR="0001671C" w:rsidRDefault="0001671C" w:rsidP="0001671C">
            <w:pPr>
              <w:spacing w:line="240" w:lineRule="exact"/>
            </w:pPr>
          </w:p>
          <w:p w14:paraId="37D46D42" w14:textId="77777777" w:rsidR="0001671C" w:rsidRPr="00DB58B5" w:rsidRDefault="0001671C" w:rsidP="0001671C">
            <w:pPr>
              <w:spacing w:line="240" w:lineRule="exact"/>
            </w:pPr>
            <w:r>
              <w:t>Original : français</w:t>
            </w:r>
          </w:p>
        </w:tc>
      </w:tr>
    </w:tbl>
    <w:p w14:paraId="4DA2F9E9" w14:textId="77777777" w:rsidR="0069256E" w:rsidRDefault="0069256E" w:rsidP="00FD1581">
      <w:pPr>
        <w:spacing w:before="120"/>
        <w:rPr>
          <w:b/>
          <w:sz w:val="28"/>
          <w:szCs w:val="28"/>
        </w:rPr>
      </w:pPr>
      <w:r w:rsidRPr="00883605">
        <w:rPr>
          <w:b/>
          <w:sz w:val="28"/>
          <w:szCs w:val="28"/>
        </w:rPr>
        <w:t>Commission économique pour l</w:t>
      </w:r>
      <w:r w:rsidR="004111D7">
        <w:rPr>
          <w:rFonts w:hint="eastAsia"/>
          <w:b/>
          <w:sz w:val="28"/>
          <w:szCs w:val="28"/>
        </w:rPr>
        <w:t>’</w:t>
      </w:r>
      <w:r w:rsidRPr="00883605">
        <w:rPr>
          <w:b/>
          <w:sz w:val="28"/>
          <w:szCs w:val="28"/>
        </w:rPr>
        <w:t>Europe</w:t>
      </w:r>
    </w:p>
    <w:p w14:paraId="005A40AE" w14:textId="77777777" w:rsidR="0069256E" w:rsidRDefault="0069256E" w:rsidP="00FD1581">
      <w:pPr>
        <w:spacing w:before="120"/>
        <w:rPr>
          <w:sz w:val="28"/>
          <w:szCs w:val="28"/>
        </w:rPr>
      </w:pPr>
      <w:r w:rsidRPr="00685843">
        <w:rPr>
          <w:sz w:val="28"/>
          <w:szCs w:val="28"/>
        </w:rPr>
        <w:t>Comité des transports intérieurs</w:t>
      </w:r>
    </w:p>
    <w:p w14:paraId="21700F4E" w14:textId="77777777" w:rsidR="0069256E" w:rsidRPr="009E01B8" w:rsidRDefault="0069256E"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6307F0BD" w14:textId="77777777" w:rsidR="0069256E" w:rsidRPr="004812F5" w:rsidRDefault="0069256E" w:rsidP="00FD1581">
      <w:pPr>
        <w:spacing w:before="120"/>
        <w:rPr>
          <w:b/>
        </w:rPr>
      </w:pPr>
      <w:r w:rsidRPr="004812F5">
        <w:rPr>
          <w:b/>
          <w:lang w:val="fr-FR"/>
        </w:rPr>
        <w:t>Réunion commune d</w:t>
      </w:r>
      <w:r w:rsidR="004111D7">
        <w:rPr>
          <w:rFonts w:hint="eastAsia"/>
          <w:b/>
          <w:lang w:val="fr-FR"/>
        </w:rPr>
        <w:t>’</w:t>
      </w:r>
      <w:r w:rsidRPr="004812F5">
        <w:rPr>
          <w:b/>
          <w:lang w:val="fr-FR"/>
        </w:rPr>
        <w:t>experts sur le Règlement annexé</w:t>
      </w:r>
      <w:r>
        <w:rPr>
          <w:b/>
          <w:lang w:val="fr-FR"/>
        </w:rPr>
        <w:t xml:space="preserve"> </w:t>
      </w:r>
      <w:r>
        <w:rPr>
          <w:b/>
          <w:lang w:val="fr-FR"/>
        </w:rPr>
        <w:br/>
      </w:r>
      <w:r w:rsidRPr="004812F5">
        <w:rPr>
          <w:b/>
          <w:lang w:val="fr-FR"/>
        </w:rPr>
        <w:t>à l</w:t>
      </w:r>
      <w:r w:rsidR="004111D7">
        <w:rPr>
          <w:rFonts w:hint="eastAsia"/>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w:t>
      </w:r>
      <w:r w:rsidR="004111D7">
        <w:rPr>
          <w:rFonts w:hint="eastAsia"/>
          <w:b/>
          <w:bCs/>
          <w:lang w:val="fr-FR"/>
        </w:rPr>
        <w:t>’</w:t>
      </w:r>
      <w:r w:rsidRPr="004812F5">
        <w:rPr>
          <w:b/>
          <w:bCs/>
          <w:lang w:val="fr-FR"/>
        </w:rPr>
        <w:t>ADN)</w:t>
      </w:r>
    </w:p>
    <w:p w14:paraId="42AB5CE0" w14:textId="77777777" w:rsidR="0069256E" w:rsidRPr="00234E40" w:rsidRDefault="0069256E" w:rsidP="00FD1581">
      <w:pPr>
        <w:spacing w:before="120"/>
        <w:rPr>
          <w:b/>
        </w:rPr>
      </w:pPr>
      <w:r>
        <w:rPr>
          <w:b/>
        </w:rPr>
        <w:t xml:space="preserve">Trente-sixième </w:t>
      </w:r>
      <w:r w:rsidRPr="00234E40">
        <w:rPr>
          <w:b/>
        </w:rPr>
        <w:t>session</w:t>
      </w:r>
    </w:p>
    <w:p w14:paraId="4316CB86" w14:textId="77777777" w:rsidR="0069256E" w:rsidRDefault="0069256E" w:rsidP="00FD1581">
      <w:r>
        <w:t>Genève, 27-31 janvier 2020</w:t>
      </w:r>
    </w:p>
    <w:p w14:paraId="5C8ABED3" w14:textId="77777777" w:rsidR="0069256E" w:rsidRDefault="0069256E" w:rsidP="00FD1581">
      <w:r w:rsidRPr="00B93E72">
        <w:t xml:space="preserve">Point </w:t>
      </w:r>
      <w:r>
        <w:t xml:space="preserve">5 b) </w:t>
      </w:r>
      <w:r w:rsidRPr="00B93E72">
        <w:t>de l</w:t>
      </w:r>
      <w:r w:rsidR="004111D7">
        <w:rPr>
          <w:rFonts w:hint="eastAsia"/>
        </w:rPr>
        <w:t>’</w:t>
      </w:r>
      <w:r w:rsidRPr="00B93E72">
        <w:t>ordre du jour provisoire</w:t>
      </w:r>
    </w:p>
    <w:p w14:paraId="51C79B1D" w14:textId="77777777" w:rsidR="0069256E" w:rsidRPr="0069256E" w:rsidRDefault="0069256E" w:rsidP="00FD1581">
      <w:pPr>
        <w:rPr>
          <w:b/>
          <w:bCs/>
        </w:rPr>
      </w:pPr>
      <w:r w:rsidRPr="0069256E">
        <w:rPr>
          <w:b/>
          <w:bCs/>
        </w:rPr>
        <w:t>Propositions d</w:t>
      </w:r>
      <w:r w:rsidR="004111D7">
        <w:rPr>
          <w:rFonts w:hint="eastAsia"/>
          <w:b/>
          <w:bCs/>
        </w:rPr>
        <w:t>’</w:t>
      </w:r>
      <w:r w:rsidRPr="0069256E">
        <w:rPr>
          <w:b/>
          <w:bCs/>
        </w:rPr>
        <w:t>amendements au Règlement annexé à l</w:t>
      </w:r>
      <w:r w:rsidR="004111D7">
        <w:rPr>
          <w:rFonts w:hint="eastAsia"/>
          <w:b/>
          <w:bCs/>
        </w:rPr>
        <w:t>’</w:t>
      </w:r>
      <w:r w:rsidRPr="0069256E">
        <w:rPr>
          <w:b/>
          <w:bCs/>
        </w:rPr>
        <w:t>ADN :</w:t>
      </w:r>
    </w:p>
    <w:p w14:paraId="7196880A" w14:textId="77777777" w:rsidR="0069256E" w:rsidRDefault="0069256E" w:rsidP="00FD1581">
      <w:pPr>
        <w:rPr>
          <w:b/>
          <w:bCs/>
        </w:rPr>
      </w:pPr>
      <w:proofErr w:type="gramStart"/>
      <w:r>
        <w:rPr>
          <w:b/>
          <w:bCs/>
        </w:rPr>
        <w:t>a</w:t>
      </w:r>
      <w:r w:rsidRPr="0069256E">
        <w:rPr>
          <w:b/>
          <w:bCs/>
        </w:rPr>
        <w:t>utres</w:t>
      </w:r>
      <w:proofErr w:type="gramEnd"/>
      <w:r w:rsidRPr="0069256E">
        <w:rPr>
          <w:b/>
          <w:bCs/>
        </w:rPr>
        <w:t xml:space="preserve"> propositions</w:t>
      </w:r>
    </w:p>
    <w:p w14:paraId="36EDE60A" w14:textId="77777777" w:rsidR="0069256E" w:rsidRDefault="0069256E" w:rsidP="0069256E">
      <w:pPr>
        <w:pStyle w:val="HChG"/>
      </w:pPr>
      <w:r>
        <w:tab/>
      </w:r>
      <w:r>
        <w:tab/>
      </w:r>
      <w:r w:rsidRPr="0069256E">
        <w:t>UN 3082</w:t>
      </w:r>
      <w:r w:rsidR="008A0BE7">
        <w:t xml:space="preserve"> -</w:t>
      </w:r>
      <w:r w:rsidRPr="0069256E">
        <w:t xml:space="preserve"> Eau de fond de cale</w:t>
      </w:r>
    </w:p>
    <w:p w14:paraId="5F9ED197" w14:textId="77777777" w:rsidR="0069256E" w:rsidRDefault="0069256E" w:rsidP="0069256E">
      <w:pPr>
        <w:pStyle w:val="H1G"/>
        <w:rPr>
          <w:sz w:val="18"/>
          <w:vertAlign w:val="superscript"/>
          <w:lang w:val="fr-FR"/>
        </w:rPr>
      </w:pPr>
      <w:r>
        <w:rPr>
          <w:lang w:val="fr-FR"/>
        </w:rPr>
        <w:tab/>
      </w:r>
      <w:r>
        <w:rPr>
          <w:lang w:val="fr-FR"/>
        </w:rPr>
        <w:tab/>
      </w:r>
      <w:r w:rsidRPr="00A43940">
        <w:rPr>
          <w:lang w:val="fr-FR"/>
        </w:rPr>
        <w:t>Communication du Gouvernement de l</w:t>
      </w:r>
      <w:r w:rsidR="004111D7">
        <w:rPr>
          <w:rFonts w:hint="eastAsia"/>
          <w:lang w:val="fr-FR"/>
        </w:rPr>
        <w:t>’</w:t>
      </w:r>
      <w:r w:rsidRPr="00A43940">
        <w:rPr>
          <w:lang w:val="fr-FR"/>
        </w:rPr>
        <w:t>Allemagne</w:t>
      </w:r>
      <w:r w:rsidRPr="008A0BE7">
        <w:rPr>
          <w:rStyle w:val="FootnoteReference"/>
          <w:b w:val="0"/>
          <w:bCs/>
          <w:sz w:val="20"/>
        </w:rPr>
        <w:footnoteReference w:customMarkFollows="1" w:id="2"/>
        <w:t>*</w:t>
      </w:r>
      <w:r w:rsidRPr="008A0BE7">
        <w:rPr>
          <w:b w:val="0"/>
          <w:bCs/>
          <w:vertAlign w:val="superscript"/>
        </w:rPr>
        <w:t>,</w:t>
      </w:r>
      <w:r w:rsidR="00CD4C64" w:rsidRPr="008A0BE7">
        <w:rPr>
          <w:vertAlign w:val="superscript"/>
        </w:rPr>
        <w:t xml:space="preserve"> </w:t>
      </w:r>
      <w:r w:rsidRPr="008A0BE7">
        <w:rPr>
          <w:rStyle w:val="FootnoteReference"/>
          <w:b w:val="0"/>
          <w:bCs/>
          <w:sz w:val="20"/>
        </w:rPr>
        <w:footnoteReference w:customMarkFollows="1" w:id="3"/>
        <w:t>**</w:t>
      </w:r>
      <w:r w:rsidRPr="004111D7">
        <w:rPr>
          <w:b w:val="0"/>
          <w:bCs/>
          <w:sz w:val="18"/>
          <w:vertAlign w:val="superscript"/>
          <w:lang w:val="fr-FR"/>
        </w:rPr>
        <w:t xml:space="preserv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9256E" w14:paraId="12B7CFC8" w14:textId="77777777" w:rsidTr="006E5E26">
        <w:trPr>
          <w:trHeight w:hRule="exact" w:val="240"/>
          <w:jc w:val="center"/>
        </w:trPr>
        <w:tc>
          <w:tcPr>
            <w:tcW w:w="7654" w:type="dxa"/>
            <w:tcBorders>
              <w:top w:val="single" w:sz="4" w:space="0" w:color="auto"/>
            </w:tcBorders>
            <w:shd w:val="clear" w:color="auto" w:fill="auto"/>
          </w:tcPr>
          <w:p w14:paraId="6ADB8464" w14:textId="77777777" w:rsidR="0069256E" w:rsidRDefault="0069256E" w:rsidP="0069256E">
            <w:pPr>
              <w:tabs>
                <w:tab w:val="left" w:pos="567"/>
                <w:tab w:val="left" w:pos="1843"/>
              </w:tabs>
              <w:rPr>
                <w:lang w:val="fr-FR"/>
              </w:rPr>
            </w:pPr>
            <w:r w:rsidRPr="00A43940">
              <w:rPr>
                <w:b/>
                <w:lang w:val="fr-FR"/>
              </w:rPr>
              <w:t>Document connexe :</w:t>
            </w:r>
            <w:r>
              <w:rPr>
                <w:b/>
                <w:lang w:val="fr-FR"/>
              </w:rPr>
              <w:t xml:space="preserve"> </w:t>
            </w:r>
            <w:r w:rsidR="008A0BE7">
              <w:rPr>
                <w:lang w:val="fr-FR"/>
              </w:rPr>
              <w:t xml:space="preserve">Document informel </w:t>
            </w:r>
            <w:r w:rsidRPr="00A43940">
              <w:rPr>
                <w:lang w:val="fr-FR"/>
              </w:rPr>
              <w:t>INF.7</w:t>
            </w:r>
            <w:r w:rsidR="002D67B1">
              <w:rPr>
                <w:lang w:val="fr-FR"/>
              </w:rPr>
              <w:t xml:space="preserve"> de la </w:t>
            </w:r>
            <w:r w:rsidR="008B7349">
              <w:rPr>
                <w:lang w:val="fr-FR"/>
              </w:rPr>
              <w:t>trente-cinquième session</w:t>
            </w:r>
            <w:r>
              <w:rPr>
                <w:lang w:val="fr-FR"/>
              </w:rPr>
              <w:br/>
              <w:t xml:space="preserve">(Compte-rendu de la onzième </w:t>
            </w:r>
            <w:proofErr w:type="spellStart"/>
            <w:r>
              <w:rPr>
                <w:lang w:val="fr-FR"/>
              </w:rPr>
              <w:t>rff</w:t>
            </w:r>
            <w:proofErr w:type="spellEnd"/>
          </w:p>
          <w:p w14:paraId="0272D7CF" w14:textId="77777777" w:rsidR="0069256E" w:rsidRPr="00A43940" w:rsidRDefault="0069256E" w:rsidP="0069256E">
            <w:pPr>
              <w:tabs>
                <w:tab w:val="left" w:pos="567"/>
              </w:tabs>
              <w:rPr>
                <w:lang w:val="fr-FR"/>
              </w:rPr>
            </w:pPr>
            <w:r w:rsidRPr="00A43940">
              <w:rPr>
                <w:lang w:val="fr-FR"/>
              </w:rPr>
              <w:t>(Compte rendu de la onzième réunion du groupe de travail informel « Matières ».)</w:t>
            </w:r>
          </w:p>
          <w:p w14:paraId="0ACDCDD6" w14:textId="77777777" w:rsidR="0069256E" w:rsidRPr="00A43940" w:rsidRDefault="0069256E" w:rsidP="0069256E">
            <w:pPr>
              <w:tabs>
                <w:tab w:val="left" w:pos="567"/>
              </w:tabs>
              <w:rPr>
                <w:lang w:val="fr-FR"/>
              </w:rPr>
            </w:pPr>
            <w:r w:rsidRPr="00A43940">
              <w:rPr>
                <w:lang w:val="fr-FR"/>
              </w:rPr>
              <w:t>Point G « Boues d</w:t>
            </w:r>
            <w:r w:rsidR="004111D7">
              <w:rPr>
                <w:rFonts w:hint="eastAsia"/>
                <w:lang w:val="fr-FR"/>
              </w:rPr>
              <w:t>’</w:t>
            </w:r>
            <w:r w:rsidRPr="00A43940">
              <w:rPr>
                <w:lang w:val="fr-FR"/>
              </w:rPr>
              <w:t>hydrocarbures et eau de fond de cale comme matières dangereuses du point de vue de l</w:t>
            </w:r>
            <w:r w:rsidR="004111D7">
              <w:rPr>
                <w:rFonts w:hint="eastAsia"/>
                <w:lang w:val="fr-FR"/>
              </w:rPr>
              <w:t>’</w:t>
            </w:r>
            <w:r w:rsidRPr="00A43940">
              <w:rPr>
                <w:lang w:val="fr-FR"/>
              </w:rPr>
              <w:t>environnement sous ONU 3082 »</w:t>
            </w:r>
          </w:p>
          <w:p w14:paraId="145E2F9D" w14:textId="77777777" w:rsidR="0069256E" w:rsidRDefault="0069256E" w:rsidP="0069256E">
            <w:pPr>
              <w:tabs>
                <w:tab w:val="left" w:pos="567"/>
              </w:tabs>
              <w:rPr>
                <w:lang w:val="fr-FR"/>
              </w:rPr>
            </w:pPr>
          </w:p>
          <w:p w14:paraId="7C554C39" w14:textId="77777777" w:rsidR="0069256E" w:rsidRPr="00A43940" w:rsidRDefault="0069256E" w:rsidP="0069256E">
            <w:pPr>
              <w:tabs>
                <w:tab w:val="left" w:pos="567"/>
              </w:tabs>
              <w:rPr>
                <w:lang w:val="fr-FR"/>
              </w:rPr>
            </w:pPr>
            <w:r w:rsidRPr="00A43940">
              <w:rPr>
                <w:lang w:val="fr-FR"/>
              </w:rPr>
              <w:t>(Compte rendu de la onzième réunion du groupe de travail informel « Matières ».)</w:t>
            </w:r>
          </w:p>
          <w:p w14:paraId="6F5A327C" w14:textId="77777777" w:rsidR="0069256E" w:rsidRPr="00A43940" w:rsidRDefault="0069256E" w:rsidP="0069256E">
            <w:pPr>
              <w:tabs>
                <w:tab w:val="left" w:pos="567"/>
              </w:tabs>
              <w:ind w:left="113"/>
              <w:rPr>
                <w:lang w:val="fr-FR"/>
              </w:rPr>
            </w:pPr>
            <w:proofErr w:type="gramStart"/>
            <w:r w:rsidRPr="00A43940">
              <w:rPr>
                <w:lang w:val="fr-FR"/>
              </w:rPr>
              <w:t>onzième</w:t>
            </w:r>
            <w:proofErr w:type="gramEnd"/>
            <w:r w:rsidRPr="00A43940">
              <w:rPr>
                <w:lang w:val="fr-FR"/>
              </w:rPr>
              <w:t xml:space="preserve"> réunion du groupe de travail informel « Matières ».)</w:t>
            </w:r>
          </w:p>
          <w:p w14:paraId="724FA65F" w14:textId="77777777" w:rsidR="0069256E" w:rsidRPr="00A43940" w:rsidRDefault="0069256E" w:rsidP="0069256E">
            <w:pPr>
              <w:tabs>
                <w:tab w:val="left" w:pos="567"/>
              </w:tabs>
              <w:rPr>
                <w:lang w:val="fr-FR"/>
              </w:rPr>
            </w:pPr>
            <w:r w:rsidRPr="00A43940">
              <w:rPr>
                <w:lang w:val="fr-FR"/>
              </w:rPr>
              <w:t>Point G « Boues d</w:t>
            </w:r>
            <w:r w:rsidR="004111D7">
              <w:rPr>
                <w:rFonts w:hint="eastAsia"/>
                <w:lang w:val="fr-FR"/>
              </w:rPr>
              <w:t>’</w:t>
            </w:r>
            <w:r w:rsidRPr="00A43940">
              <w:rPr>
                <w:lang w:val="fr-FR"/>
              </w:rPr>
              <w:t>hydrocarbures et eau de fond de cale comme matières dangereuses du point de vue de l</w:t>
            </w:r>
            <w:r w:rsidR="004111D7">
              <w:rPr>
                <w:rFonts w:hint="eastAsia"/>
                <w:lang w:val="fr-FR"/>
              </w:rPr>
              <w:t>’</w:t>
            </w:r>
            <w:r w:rsidRPr="00A43940">
              <w:rPr>
                <w:lang w:val="fr-FR"/>
              </w:rPr>
              <w:t>environnement sous ONU 3082 »</w:t>
            </w:r>
          </w:p>
          <w:p w14:paraId="74AE76EE" w14:textId="77777777" w:rsidR="0069256E" w:rsidRPr="00A43940" w:rsidRDefault="0069256E" w:rsidP="0069256E">
            <w:pPr>
              <w:keepNext/>
              <w:keepLines/>
              <w:overflowPunct/>
              <w:autoSpaceDE/>
              <w:autoSpaceDN/>
              <w:adjustRightInd/>
              <w:ind w:right="567"/>
              <w:rPr>
                <w:b/>
                <w:lang w:val="fr-FR"/>
              </w:rPr>
            </w:pPr>
          </w:p>
          <w:p w14:paraId="6415825E" w14:textId="77777777" w:rsidR="0069256E" w:rsidRPr="00A43940" w:rsidRDefault="0069256E" w:rsidP="0069256E">
            <w:pPr>
              <w:tabs>
                <w:tab w:val="left" w:pos="567"/>
              </w:tabs>
              <w:rPr>
                <w:lang w:val="fr-FR"/>
              </w:rPr>
            </w:pPr>
            <w:r w:rsidRPr="00A43940">
              <w:rPr>
                <w:lang w:val="fr-FR"/>
              </w:rPr>
              <w:t>CCNR-ZKR/ADN/WP.15/AC.2/35/INF.7, (Compte rendu de la onzième réunion du groupe de travail informel « Matières ».)</w:t>
            </w:r>
          </w:p>
          <w:p w14:paraId="28373E5F" w14:textId="77777777" w:rsidR="0069256E" w:rsidRPr="00A43940" w:rsidRDefault="0069256E" w:rsidP="0069256E">
            <w:pPr>
              <w:tabs>
                <w:tab w:val="left" w:pos="567"/>
              </w:tabs>
              <w:rPr>
                <w:lang w:val="fr-FR"/>
              </w:rPr>
            </w:pPr>
            <w:r w:rsidRPr="00A43940">
              <w:rPr>
                <w:lang w:val="fr-FR"/>
              </w:rPr>
              <w:t>Point G « Boues d</w:t>
            </w:r>
            <w:r w:rsidR="004111D7">
              <w:rPr>
                <w:rFonts w:hint="eastAsia"/>
                <w:lang w:val="fr-FR"/>
              </w:rPr>
              <w:t>’</w:t>
            </w:r>
            <w:r w:rsidRPr="00A43940">
              <w:rPr>
                <w:lang w:val="fr-FR"/>
              </w:rPr>
              <w:t>hydrocarbures et eau de fond de cale comme matières dangereuses du point de vue de l</w:t>
            </w:r>
            <w:r w:rsidR="004111D7">
              <w:rPr>
                <w:rFonts w:hint="eastAsia"/>
                <w:lang w:val="fr-FR"/>
              </w:rPr>
              <w:t>’</w:t>
            </w:r>
            <w:r w:rsidRPr="00A43940">
              <w:rPr>
                <w:lang w:val="fr-FR"/>
              </w:rPr>
              <w:t>environnement sous ONU 3082 »</w:t>
            </w:r>
          </w:p>
          <w:p w14:paraId="6A607D67" w14:textId="77777777" w:rsidR="0069256E" w:rsidRDefault="0069256E" w:rsidP="006E5E26">
            <w:pPr>
              <w:spacing w:line="240" w:lineRule="auto"/>
            </w:pPr>
          </w:p>
        </w:tc>
      </w:tr>
      <w:tr w:rsidR="0069256E" w14:paraId="4EE0B6C7" w14:textId="77777777" w:rsidTr="0069256E">
        <w:trPr>
          <w:trHeight w:val="750"/>
          <w:jc w:val="center"/>
        </w:trPr>
        <w:tc>
          <w:tcPr>
            <w:tcW w:w="7654" w:type="dxa"/>
            <w:tcBorders>
              <w:bottom w:val="nil"/>
            </w:tcBorders>
            <w:shd w:val="clear" w:color="auto" w:fill="auto"/>
            <w:tcMar>
              <w:left w:w="142" w:type="dxa"/>
              <w:right w:w="142" w:type="dxa"/>
            </w:tcMar>
          </w:tcPr>
          <w:p w14:paraId="30AAECB2" w14:textId="77777777" w:rsidR="0069256E" w:rsidRDefault="0069256E" w:rsidP="006E5E26">
            <w:pPr>
              <w:spacing w:after="120"/>
              <w:jc w:val="both"/>
            </w:pPr>
            <w:r>
              <w:tab/>
            </w:r>
            <w:r>
              <w:tab/>
            </w:r>
            <w:r>
              <w:tab/>
              <w:t xml:space="preserve">(Compte-rendu de la onzième réunion du groupe de travail informel </w:t>
            </w:r>
            <w:r>
              <w:tab/>
            </w:r>
            <w:r>
              <w:tab/>
            </w:r>
            <w:r>
              <w:tab/>
            </w:r>
            <w:r>
              <w:tab/>
              <w:t>« Matières ».)</w:t>
            </w:r>
          </w:p>
          <w:p w14:paraId="2847359E" w14:textId="77777777" w:rsidR="0069256E" w:rsidRDefault="0069256E" w:rsidP="00CD4C64">
            <w:pPr>
              <w:tabs>
                <w:tab w:val="left" w:pos="567"/>
              </w:tabs>
            </w:pPr>
            <w:r>
              <w:rPr>
                <w:lang w:val="fr-FR"/>
              </w:rPr>
              <w:tab/>
            </w:r>
            <w:r>
              <w:rPr>
                <w:lang w:val="fr-FR"/>
              </w:rPr>
              <w:tab/>
            </w:r>
            <w:r>
              <w:rPr>
                <w:lang w:val="fr-FR"/>
              </w:rPr>
              <w:tab/>
            </w:r>
            <w:r w:rsidRPr="00A43940">
              <w:rPr>
                <w:lang w:val="fr-FR"/>
              </w:rPr>
              <w:t>Point G « Boues d</w:t>
            </w:r>
            <w:r w:rsidR="004111D7">
              <w:rPr>
                <w:rFonts w:hint="eastAsia"/>
                <w:lang w:val="fr-FR"/>
              </w:rPr>
              <w:t>’</w:t>
            </w:r>
            <w:r w:rsidRPr="00A43940">
              <w:rPr>
                <w:lang w:val="fr-FR"/>
              </w:rPr>
              <w:t xml:space="preserve">hydrocarbures et eau de fond de cale comme </w:t>
            </w:r>
            <w:r>
              <w:rPr>
                <w:lang w:val="fr-FR"/>
              </w:rPr>
              <w:tab/>
            </w:r>
            <w:r>
              <w:rPr>
                <w:lang w:val="fr-FR"/>
              </w:rPr>
              <w:tab/>
            </w:r>
            <w:r>
              <w:rPr>
                <w:lang w:val="fr-FR"/>
              </w:rPr>
              <w:tab/>
            </w:r>
            <w:r w:rsidRPr="00A43940">
              <w:rPr>
                <w:lang w:val="fr-FR"/>
              </w:rPr>
              <w:t>matières dangereuses du point de vue de l</w:t>
            </w:r>
            <w:r w:rsidR="004111D7">
              <w:rPr>
                <w:rFonts w:hint="eastAsia"/>
                <w:lang w:val="fr-FR"/>
              </w:rPr>
              <w:t>’</w:t>
            </w:r>
            <w:r w:rsidRPr="00A43940">
              <w:rPr>
                <w:lang w:val="fr-FR"/>
              </w:rPr>
              <w:t xml:space="preserve">environnement sous </w:t>
            </w:r>
            <w:r>
              <w:rPr>
                <w:lang w:val="fr-FR"/>
              </w:rPr>
              <w:br/>
            </w:r>
            <w:r>
              <w:rPr>
                <w:lang w:val="fr-FR"/>
              </w:rPr>
              <w:tab/>
            </w:r>
            <w:r>
              <w:rPr>
                <w:lang w:val="fr-FR"/>
              </w:rPr>
              <w:tab/>
            </w:r>
            <w:r>
              <w:rPr>
                <w:lang w:val="fr-FR"/>
              </w:rPr>
              <w:tab/>
            </w:r>
            <w:r w:rsidRPr="00A43940">
              <w:rPr>
                <w:lang w:val="fr-FR"/>
              </w:rPr>
              <w:t>ONU 3082 »</w:t>
            </w:r>
            <w:r>
              <w:rPr>
                <w:lang w:val="fr-FR"/>
              </w:rPr>
              <w:t>.</w:t>
            </w:r>
          </w:p>
        </w:tc>
      </w:tr>
      <w:tr w:rsidR="0069256E" w14:paraId="70936D3E" w14:textId="77777777" w:rsidTr="006E5E26">
        <w:trPr>
          <w:trHeight w:hRule="exact" w:val="20"/>
          <w:jc w:val="center"/>
        </w:trPr>
        <w:tc>
          <w:tcPr>
            <w:tcW w:w="7654" w:type="dxa"/>
            <w:tcBorders>
              <w:bottom w:val="single" w:sz="4" w:space="0" w:color="auto"/>
            </w:tcBorders>
            <w:shd w:val="clear" w:color="auto" w:fill="auto"/>
          </w:tcPr>
          <w:p w14:paraId="1DD0DBF8" w14:textId="77777777" w:rsidR="0069256E" w:rsidRDefault="0069256E" w:rsidP="006E5E26">
            <w:pPr>
              <w:spacing w:line="240" w:lineRule="auto"/>
            </w:pPr>
          </w:p>
        </w:tc>
      </w:tr>
    </w:tbl>
    <w:p w14:paraId="62D2CD8C" w14:textId="77777777" w:rsidR="004111D7" w:rsidRPr="00A43940" w:rsidRDefault="004111D7" w:rsidP="004111D7">
      <w:pPr>
        <w:pStyle w:val="HChG"/>
        <w:rPr>
          <w:lang w:val="fr-FR"/>
        </w:rPr>
      </w:pPr>
      <w:r>
        <w:rPr>
          <w:lang w:val="fr-FR"/>
        </w:rPr>
        <w:tab/>
      </w:r>
      <w:r w:rsidR="00CD4C64">
        <w:rPr>
          <w:lang w:val="fr-FR"/>
        </w:rPr>
        <w:tab/>
      </w:r>
      <w:r w:rsidRPr="00A43940">
        <w:rPr>
          <w:lang w:val="fr-FR"/>
        </w:rPr>
        <w:t>Introduction</w:t>
      </w:r>
    </w:p>
    <w:p w14:paraId="4C244E99" w14:textId="77777777" w:rsidR="004111D7" w:rsidRDefault="004111D7" w:rsidP="004111D7">
      <w:pPr>
        <w:pStyle w:val="SingleTxtG"/>
        <w:rPr>
          <w:lang w:val="fr-FR"/>
        </w:rPr>
      </w:pPr>
      <w:r w:rsidRPr="00A43940">
        <w:rPr>
          <w:lang w:val="fr-FR"/>
        </w:rPr>
        <w:t>1.</w:t>
      </w:r>
      <w:r w:rsidRPr="00A43940">
        <w:rPr>
          <w:lang w:val="fr-FR"/>
        </w:rPr>
        <w:tab/>
        <w:t xml:space="preserve">Après examen du compte rendu de la </w:t>
      </w:r>
      <w:r>
        <w:rPr>
          <w:lang w:val="fr-FR"/>
        </w:rPr>
        <w:t>onzième</w:t>
      </w:r>
      <w:r w:rsidRPr="00A43940">
        <w:rPr>
          <w:lang w:val="fr-FR"/>
        </w:rPr>
        <w:t xml:space="preserve"> session du groupe de travail informel « Matières », le Comité de sécurité s</w:t>
      </w:r>
      <w:r>
        <w:rPr>
          <w:rFonts w:hint="eastAsia"/>
          <w:lang w:val="fr-FR"/>
        </w:rPr>
        <w:t>’</w:t>
      </w:r>
      <w:r w:rsidRPr="00A43940">
        <w:rPr>
          <w:lang w:val="fr-FR"/>
        </w:rPr>
        <w:t>est prononcé en faveur de l</w:t>
      </w:r>
      <w:r>
        <w:rPr>
          <w:rFonts w:hint="eastAsia"/>
          <w:lang w:val="fr-FR"/>
        </w:rPr>
        <w:t>’</w:t>
      </w:r>
      <w:r w:rsidRPr="00A43940">
        <w:rPr>
          <w:lang w:val="fr-FR"/>
        </w:rPr>
        <w:t>ajout, tel que proposé, d</w:t>
      </w:r>
      <w:r>
        <w:rPr>
          <w:rFonts w:hint="eastAsia"/>
          <w:lang w:val="fr-FR"/>
        </w:rPr>
        <w:t>’</w:t>
      </w:r>
      <w:r w:rsidRPr="00A43940">
        <w:rPr>
          <w:lang w:val="fr-FR"/>
        </w:rPr>
        <w:t>une nouvelle entrée ONU 3082 (EAU DE FOND DE CALE, CONTIENT DES BOUES D</w:t>
      </w:r>
      <w:r>
        <w:rPr>
          <w:rFonts w:hint="eastAsia"/>
          <w:lang w:val="fr-FR"/>
        </w:rPr>
        <w:t>’</w:t>
      </w:r>
      <w:r w:rsidRPr="00A43940">
        <w:rPr>
          <w:lang w:val="fr-FR"/>
        </w:rPr>
        <w:t xml:space="preserve">HYDROCARBURES) dans le tableau C. La délégation allemande avait toutefois demandé que la question soulevée par le groupe de travail au point 29, à savoir comment traiter le retour des gaz exigé au 7.2.4.25.5 </w:t>
      </w:r>
      <w:r w:rsidR="00563C67">
        <w:rPr>
          <w:lang w:val="fr-FR"/>
        </w:rPr>
        <w:t>de l’</w:t>
      </w:r>
      <w:r w:rsidRPr="00A43940">
        <w:rPr>
          <w:lang w:val="fr-FR"/>
        </w:rPr>
        <w:t>ADN, soit examinée avant cet ajout. En conséquence, le Comité de sécurité n</w:t>
      </w:r>
      <w:r>
        <w:rPr>
          <w:rFonts w:hint="eastAsia"/>
          <w:lang w:val="fr-FR"/>
        </w:rPr>
        <w:t>’</w:t>
      </w:r>
      <w:r w:rsidRPr="00A43940">
        <w:rPr>
          <w:lang w:val="fr-FR"/>
        </w:rPr>
        <w:t>a pas pris de décision concernant ce point.</w:t>
      </w:r>
    </w:p>
    <w:p w14:paraId="27E81C26" w14:textId="77777777" w:rsidR="004111D7" w:rsidRPr="00A43940" w:rsidRDefault="004111D7" w:rsidP="004111D7">
      <w:pPr>
        <w:pStyle w:val="SingleTxtG"/>
        <w:rPr>
          <w:lang w:val="fr-FR"/>
        </w:rPr>
      </w:pPr>
    </w:p>
    <w:p w14:paraId="0E8CAC1C" w14:textId="77777777" w:rsidR="004111D7" w:rsidRPr="00A43940" w:rsidRDefault="00E04245" w:rsidP="00E04245">
      <w:pPr>
        <w:pStyle w:val="HChG"/>
        <w:rPr>
          <w:iCs/>
          <w:szCs w:val="18"/>
          <w:lang w:val="fr-FR"/>
        </w:rPr>
      </w:pPr>
      <w:r>
        <w:rPr>
          <w:lang w:val="fr-FR"/>
        </w:rPr>
        <w:lastRenderedPageBreak/>
        <w:tab/>
      </w:r>
      <w:r w:rsidR="004111D7" w:rsidRPr="00A43940">
        <w:rPr>
          <w:lang w:val="fr-FR"/>
        </w:rPr>
        <w:t>I.</w:t>
      </w:r>
      <w:r w:rsidR="004111D7" w:rsidRPr="00A43940">
        <w:rPr>
          <w:lang w:val="fr-FR"/>
        </w:rPr>
        <w:tab/>
        <w:t>Demande</w:t>
      </w:r>
    </w:p>
    <w:p w14:paraId="45B35A88" w14:textId="77777777" w:rsidR="004111D7" w:rsidRPr="00A43940" w:rsidRDefault="004111D7" w:rsidP="00E04245">
      <w:pPr>
        <w:pStyle w:val="SingleTxtG"/>
        <w:rPr>
          <w:lang w:val="fr-FR"/>
        </w:rPr>
      </w:pPr>
      <w:r w:rsidRPr="00A43940">
        <w:rPr>
          <w:lang w:val="fr-FR"/>
        </w:rPr>
        <w:t>2.</w:t>
      </w:r>
      <w:r w:rsidRPr="00A43940">
        <w:rPr>
          <w:lang w:val="fr-FR"/>
        </w:rPr>
        <w:tab/>
        <w:t>L</w:t>
      </w:r>
      <w:r>
        <w:rPr>
          <w:rFonts w:hint="eastAsia"/>
          <w:lang w:val="fr-FR"/>
        </w:rPr>
        <w:t>’</w:t>
      </w:r>
      <w:r w:rsidRPr="00A43940">
        <w:rPr>
          <w:lang w:val="fr-FR"/>
        </w:rPr>
        <w:t>Allemagne reprend cette proposition du groupe de travail informel et soumet la demande ci-après :</w:t>
      </w:r>
    </w:p>
    <w:p w14:paraId="0CA4DB44" w14:textId="77777777" w:rsidR="004111D7" w:rsidRPr="00A43940" w:rsidRDefault="00E04245" w:rsidP="00E04245">
      <w:pPr>
        <w:pStyle w:val="SingleTxtG"/>
        <w:rPr>
          <w:lang w:val="fr-FR"/>
        </w:rPr>
      </w:pPr>
      <w:r>
        <w:rPr>
          <w:lang w:val="fr-FR"/>
        </w:rPr>
        <w:tab/>
      </w:r>
      <w:r>
        <w:rPr>
          <w:lang w:val="fr-FR"/>
        </w:rPr>
        <w:tab/>
        <w:t>a)</w:t>
      </w:r>
      <w:r>
        <w:rPr>
          <w:lang w:val="fr-FR"/>
        </w:rPr>
        <w:tab/>
      </w:r>
      <w:r w:rsidR="004111D7" w:rsidRPr="00A43940">
        <w:rPr>
          <w:lang w:val="fr-FR"/>
        </w:rPr>
        <w:t>Dans la sous-section 3.2.3.2, tableau C, de l</w:t>
      </w:r>
      <w:r w:rsidR="004111D7">
        <w:rPr>
          <w:rFonts w:hint="eastAsia"/>
          <w:lang w:val="fr-FR"/>
        </w:rPr>
        <w:t>’</w:t>
      </w:r>
      <w:r w:rsidR="004111D7" w:rsidRPr="00A43940">
        <w:rPr>
          <w:lang w:val="fr-FR"/>
        </w:rPr>
        <w:t>ADN, dans l</w:t>
      </w:r>
      <w:r w:rsidR="004111D7">
        <w:rPr>
          <w:rFonts w:hint="eastAsia"/>
          <w:lang w:val="fr-FR"/>
        </w:rPr>
        <w:t>’</w:t>
      </w:r>
      <w:r w:rsidR="004111D7" w:rsidRPr="00A43940">
        <w:rPr>
          <w:lang w:val="fr-FR"/>
        </w:rPr>
        <w:t>entrée pour le ONU</w:t>
      </w:r>
      <w:r w:rsidR="0057592B">
        <w:rPr>
          <w:lang w:val="fr-FR"/>
        </w:rPr>
        <w:t> </w:t>
      </w:r>
      <w:r w:rsidR="004111D7" w:rsidRPr="00A43940">
        <w:rPr>
          <w:lang w:val="fr-FR"/>
        </w:rPr>
        <w:t>3082 matière dangereuse du point de vue de l</w:t>
      </w:r>
      <w:r w:rsidR="004111D7">
        <w:rPr>
          <w:rFonts w:hint="eastAsia"/>
          <w:lang w:val="fr-FR"/>
        </w:rPr>
        <w:t>’</w:t>
      </w:r>
      <w:r w:rsidR="004111D7" w:rsidRPr="00A43940">
        <w:rPr>
          <w:lang w:val="fr-FR"/>
        </w:rPr>
        <w:t xml:space="preserve">environnement, liquide, </w:t>
      </w:r>
      <w:proofErr w:type="spellStart"/>
      <w:r w:rsidR="004111D7" w:rsidRPr="00A43940">
        <w:rPr>
          <w:lang w:val="fr-FR"/>
        </w:rPr>
        <w:t>n.s.a</w:t>
      </w:r>
      <w:proofErr w:type="spellEnd"/>
      <w:r w:rsidR="004111D7" w:rsidRPr="00A43940">
        <w:rPr>
          <w:lang w:val="fr-FR"/>
        </w:rPr>
        <w:t>., (eau de fond de cale), dans la colonne (2), remplacer la désignation et la description comme suit « MATIÈRE DANGEREUSE DU POINT DE VUE DE L</w:t>
      </w:r>
      <w:r w:rsidR="004111D7">
        <w:rPr>
          <w:rFonts w:hint="eastAsia"/>
          <w:lang w:val="fr-FR"/>
        </w:rPr>
        <w:t>’</w:t>
      </w:r>
      <w:r w:rsidR="004111D7" w:rsidRPr="00A43940">
        <w:rPr>
          <w:lang w:val="fr-FR"/>
        </w:rPr>
        <w:t>ENVIRONNEMENT, LIQUIDE, N.S.A., (EAU DE FOND DE CALE, EXEMPTE DE BOUES D</w:t>
      </w:r>
      <w:r w:rsidR="004111D7">
        <w:rPr>
          <w:rFonts w:hint="eastAsia"/>
          <w:lang w:val="fr-FR"/>
        </w:rPr>
        <w:t>’</w:t>
      </w:r>
      <w:r w:rsidR="004111D7" w:rsidRPr="00A43940">
        <w:rPr>
          <w:lang w:val="fr-FR"/>
        </w:rPr>
        <w:t>HYDROCARBURES) »</w:t>
      </w:r>
      <w:r w:rsidR="0057592B">
        <w:rPr>
          <w:lang w:val="fr-FR"/>
        </w:rPr>
        <w:t> ;</w:t>
      </w:r>
    </w:p>
    <w:p w14:paraId="2B7C7A99" w14:textId="77777777" w:rsidR="004111D7" w:rsidRDefault="00E04245" w:rsidP="00B0775E">
      <w:pPr>
        <w:pStyle w:val="SingleTxtG"/>
        <w:rPr>
          <w:lang w:val="fr-FR"/>
        </w:rPr>
      </w:pPr>
      <w:r>
        <w:rPr>
          <w:lang w:val="fr-FR"/>
        </w:rPr>
        <w:tab/>
      </w:r>
      <w:r>
        <w:rPr>
          <w:lang w:val="fr-FR"/>
        </w:rPr>
        <w:tab/>
        <w:t>b)</w:t>
      </w:r>
      <w:r>
        <w:rPr>
          <w:lang w:val="fr-FR"/>
        </w:rPr>
        <w:tab/>
      </w:r>
      <w:r w:rsidR="004111D7" w:rsidRPr="00A43940">
        <w:rPr>
          <w:lang w:val="fr-FR"/>
        </w:rPr>
        <w:t>Dans la colonne (20) pour cette entrée, insérer l</w:t>
      </w:r>
      <w:r w:rsidR="004111D7">
        <w:rPr>
          <w:rFonts w:hint="eastAsia"/>
          <w:lang w:val="fr-FR"/>
        </w:rPr>
        <w:t>’</w:t>
      </w:r>
      <w:r w:rsidR="004111D7" w:rsidRPr="00A43940">
        <w:rPr>
          <w:lang w:val="fr-FR"/>
        </w:rPr>
        <w:t>observation « 45 »</w:t>
      </w:r>
      <w:r w:rsidR="0057592B">
        <w:rPr>
          <w:lang w:val="fr-FR"/>
        </w:rPr>
        <w:t> ;</w:t>
      </w:r>
    </w:p>
    <w:p w14:paraId="61781094" w14:textId="77777777" w:rsidR="0057592B" w:rsidRPr="00A43940" w:rsidRDefault="0057592B" w:rsidP="0057592B">
      <w:pPr>
        <w:pStyle w:val="SingleTxtG"/>
        <w:rPr>
          <w:bCs/>
          <w:szCs w:val="24"/>
          <w:lang w:val="fr-FR"/>
        </w:rPr>
      </w:pPr>
      <w:r>
        <w:rPr>
          <w:lang w:val="fr-FR"/>
        </w:rPr>
        <w:tab/>
      </w:r>
      <w:r>
        <w:rPr>
          <w:lang w:val="fr-FR"/>
        </w:rPr>
        <w:tab/>
        <w:t>c)</w:t>
      </w:r>
      <w:r>
        <w:rPr>
          <w:lang w:val="fr-FR"/>
        </w:rPr>
        <w:tab/>
      </w:r>
      <w:r w:rsidRPr="00A43940">
        <w:rPr>
          <w:lang w:val="fr-FR"/>
        </w:rPr>
        <w:t>Dans la sous-section 3.2.3.2, tableau C de l</w:t>
      </w:r>
      <w:r>
        <w:rPr>
          <w:lang w:val="fr-FR"/>
        </w:rPr>
        <w:t>’</w:t>
      </w:r>
      <w:r w:rsidRPr="00A43940">
        <w:rPr>
          <w:lang w:val="fr-FR"/>
        </w:rPr>
        <w:t>ADN, insérer la nouvelle ligne libellée comme suit :</w:t>
      </w:r>
    </w:p>
    <w:tbl>
      <w:tblPr>
        <w:tblW w:w="9550" w:type="dxa"/>
        <w:tblInd w:w="137" w:type="dxa"/>
        <w:tblCellMar>
          <w:left w:w="70" w:type="dxa"/>
          <w:right w:w="70" w:type="dxa"/>
        </w:tblCellMar>
        <w:tblLook w:val="04A0" w:firstRow="1" w:lastRow="0" w:firstColumn="1" w:lastColumn="0" w:noHBand="0" w:noVBand="1"/>
      </w:tblPr>
      <w:tblGrid>
        <w:gridCol w:w="498"/>
        <w:gridCol w:w="1572"/>
        <w:gridCol w:w="366"/>
        <w:gridCol w:w="374"/>
        <w:gridCol w:w="314"/>
        <w:gridCol w:w="851"/>
        <w:gridCol w:w="327"/>
        <w:gridCol w:w="304"/>
        <w:gridCol w:w="308"/>
        <w:gridCol w:w="308"/>
        <w:gridCol w:w="397"/>
        <w:gridCol w:w="419"/>
        <w:gridCol w:w="340"/>
        <w:gridCol w:w="305"/>
        <w:gridCol w:w="409"/>
        <w:gridCol w:w="421"/>
        <w:gridCol w:w="397"/>
        <w:gridCol w:w="388"/>
        <w:gridCol w:w="498"/>
        <w:gridCol w:w="380"/>
        <w:gridCol w:w="374"/>
      </w:tblGrid>
      <w:tr w:rsidR="00B0775E" w:rsidRPr="00E04245" w14:paraId="1B99CFD6" w14:textId="77777777" w:rsidTr="00B0775E">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auto"/>
            <w:noWrap/>
            <w:hideMark/>
          </w:tcPr>
          <w:p w14:paraId="5620E52A" w14:textId="77777777" w:rsidR="004111D7" w:rsidRPr="00E04245" w:rsidRDefault="004111D7" w:rsidP="00B0775E">
            <w:pPr>
              <w:spacing w:line="220" w:lineRule="exact"/>
              <w:ind w:firstLine="77"/>
              <w:rPr>
                <w:rFonts w:asciiTheme="majorBidi" w:hAnsiTheme="majorBidi" w:cstheme="majorBidi"/>
                <w:sz w:val="14"/>
                <w:szCs w:val="14"/>
                <w:lang w:val="fr-FR"/>
              </w:rPr>
            </w:pPr>
            <w:r w:rsidRPr="00E04245">
              <w:rPr>
                <w:rFonts w:asciiTheme="majorBidi" w:hAnsiTheme="majorBidi" w:cstheme="majorBidi"/>
                <w:sz w:val="14"/>
                <w:szCs w:val="14"/>
                <w:lang w:val="fr-FR"/>
              </w:rPr>
              <w:t>(1)</w:t>
            </w:r>
          </w:p>
        </w:tc>
        <w:tc>
          <w:tcPr>
            <w:tcW w:w="1572" w:type="dxa"/>
            <w:tcBorders>
              <w:top w:val="single" w:sz="4" w:space="0" w:color="auto"/>
              <w:left w:val="nil"/>
              <w:bottom w:val="single" w:sz="4" w:space="0" w:color="auto"/>
              <w:right w:val="single" w:sz="4" w:space="0" w:color="auto"/>
            </w:tcBorders>
            <w:shd w:val="clear" w:color="auto" w:fill="auto"/>
            <w:hideMark/>
          </w:tcPr>
          <w:p w14:paraId="47046F93" w14:textId="77777777" w:rsidR="004111D7" w:rsidRPr="00E04245" w:rsidRDefault="004111D7" w:rsidP="00E04245">
            <w:pPr>
              <w:spacing w:line="220" w:lineRule="exact"/>
              <w:ind w:firstLine="170"/>
              <w:rPr>
                <w:rFonts w:asciiTheme="majorBidi" w:hAnsiTheme="majorBidi" w:cstheme="majorBidi"/>
                <w:sz w:val="14"/>
                <w:szCs w:val="14"/>
                <w:lang w:val="fr-FR"/>
              </w:rPr>
            </w:pPr>
            <w:r w:rsidRPr="00E04245">
              <w:rPr>
                <w:rFonts w:asciiTheme="majorBidi" w:hAnsiTheme="majorBidi" w:cstheme="majorBidi"/>
                <w:sz w:val="14"/>
                <w:szCs w:val="14"/>
                <w:lang w:val="fr-FR"/>
              </w:rPr>
              <w:t>(2)</w:t>
            </w:r>
          </w:p>
        </w:tc>
        <w:tc>
          <w:tcPr>
            <w:tcW w:w="366" w:type="dxa"/>
            <w:tcBorders>
              <w:top w:val="single" w:sz="4" w:space="0" w:color="auto"/>
              <w:left w:val="nil"/>
              <w:bottom w:val="single" w:sz="4" w:space="0" w:color="auto"/>
              <w:right w:val="single" w:sz="4" w:space="0" w:color="auto"/>
            </w:tcBorders>
            <w:shd w:val="clear" w:color="auto" w:fill="auto"/>
            <w:noWrap/>
            <w:hideMark/>
          </w:tcPr>
          <w:p w14:paraId="103922C9" w14:textId="77777777" w:rsidR="004111D7" w:rsidRPr="00E04245" w:rsidRDefault="004111D7" w:rsidP="00B0775E">
            <w:pPr>
              <w:spacing w:line="220" w:lineRule="exact"/>
              <w:rPr>
                <w:rFonts w:asciiTheme="majorBidi" w:hAnsiTheme="majorBidi" w:cstheme="majorBidi"/>
                <w:sz w:val="14"/>
                <w:szCs w:val="14"/>
                <w:lang w:val="fr-FR"/>
              </w:rPr>
            </w:pPr>
            <w:r w:rsidRPr="00E04245">
              <w:rPr>
                <w:rFonts w:asciiTheme="majorBidi" w:hAnsiTheme="majorBidi" w:cstheme="majorBidi"/>
                <w:sz w:val="14"/>
                <w:szCs w:val="14"/>
                <w:lang w:val="fr-FR"/>
              </w:rPr>
              <w:t>(3a)</w:t>
            </w:r>
          </w:p>
        </w:tc>
        <w:tc>
          <w:tcPr>
            <w:tcW w:w="374" w:type="dxa"/>
            <w:tcBorders>
              <w:top w:val="single" w:sz="4" w:space="0" w:color="auto"/>
              <w:left w:val="nil"/>
              <w:bottom w:val="single" w:sz="4" w:space="0" w:color="auto"/>
              <w:right w:val="single" w:sz="4" w:space="0" w:color="auto"/>
            </w:tcBorders>
            <w:shd w:val="clear" w:color="auto" w:fill="auto"/>
            <w:noWrap/>
            <w:hideMark/>
          </w:tcPr>
          <w:p w14:paraId="7AF83E53" w14:textId="77777777" w:rsidR="004111D7" w:rsidRPr="00E04245" w:rsidRDefault="004111D7" w:rsidP="00B0775E">
            <w:pPr>
              <w:spacing w:line="220" w:lineRule="exact"/>
              <w:ind w:left="-80" w:firstLine="80"/>
              <w:rPr>
                <w:rFonts w:asciiTheme="majorBidi" w:hAnsiTheme="majorBidi" w:cstheme="majorBidi"/>
                <w:sz w:val="14"/>
                <w:szCs w:val="14"/>
                <w:lang w:val="fr-FR"/>
              </w:rPr>
            </w:pPr>
            <w:r w:rsidRPr="00E04245">
              <w:rPr>
                <w:rFonts w:asciiTheme="majorBidi" w:hAnsiTheme="majorBidi" w:cstheme="majorBidi"/>
                <w:sz w:val="14"/>
                <w:szCs w:val="14"/>
                <w:lang w:val="fr-FR"/>
              </w:rPr>
              <w:t>(3b)</w:t>
            </w:r>
          </w:p>
        </w:tc>
        <w:tc>
          <w:tcPr>
            <w:tcW w:w="314" w:type="dxa"/>
            <w:tcBorders>
              <w:top w:val="single" w:sz="4" w:space="0" w:color="auto"/>
              <w:left w:val="nil"/>
              <w:bottom w:val="single" w:sz="4" w:space="0" w:color="auto"/>
              <w:right w:val="single" w:sz="4" w:space="0" w:color="auto"/>
            </w:tcBorders>
            <w:shd w:val="clear" w:color="auto" w:fill="auto"/>
            <w:noWrap/>
            <w:hideMark/>
          </w:tcPr>
          <w:p w14:paraId="207BF708" w14:textId="77777777" w:rsidR="004111D7" w:rsidRPr="00E04245" w:rsidRDefault="004111D7" w:rsidP="00B0775E">
            <w:pPr>
              <w:spacing w:line="220" w:lineRule="exact"/>
              <w:rPr>
                <w:rFonts w:asciiTheme="majorBidi" w:hAnsiTheme="majorBidi" w:cstheme="majorBidi"/>
                <w:sz w:val="14"/>
                <w:szCs w:val="14"/>
                <w:lang w:val="fr-FR"/>
              </w:rPr>
            </w:pPr>
            <w:r w:rsidRPr="00E04245">
              <w:rPr>
                <w:rFonts w:asciiTheme="majorBidi" w:hAnsiTheme="majorBidi" w:cstheme="majorBidi"/>
                <w:sz w:val="14"/>
                <w:szCs w:val="14"/>
                <w:lang w:val="fr-FR"/>
              </w:rPr>
              <w:t>(4)</w:t>
            </w:r>
          </w:p>
        </w:tc>
        <w:tc>
          <w:tcPr>
            <w:tcW w:w="851" w:type="dxa"/>
            <w:tcBorders>
              <w:top w:val="single" w:sz="4" w:space="0" w:color="auto"/>
              <w:left w:val="nil"/>
              <w:bottom w:val="single" w:sz="4" w:space="0" w:color="auto"/>
              <w:right w:val="single" w:sz="4" w:space="0" w:color="auto"/>
            </w:tcBorders>
            <w:shd w:val="clear" w:color="auto" w:fill="auto"/>
            <w:noWrap/>
            <w:hideMark/>
          </w:tcPr>
          <w:p w14:paraId="4EC0B191" w14:textId="77777777" w:rsidR="004111D7" w:rsidRPr="00E04245" w:rsidRDefault="004111D7" w:rsidP="00B0775E">
            <w:pPr>
              <w:spacing w:line="220" w:lineRule="exact"/>
              <w:jc w:val="center"/>
              <w:rPr>
                <w:rFonts w:asciiTheme="majorBidi" w:hAnsiTheme="majorBidi" w:cstheme="majorBidi"/>
                <w:sz w:val="14"/>
                <w:szCs w:val="14"/>
                <w:lang w:val="fr-FR"/>
              </w:rPr>
            </w:pPr>
            <w:r w:rsidRPr="00E04245">
              <w:rPr>
                <w:rFonts w:asciiTheme="majorBidi" w:hAnsiTheme="majorBidi" w:cstheme="majorBidi"/>
                <w:sz w:val="14"/>
                <w:szCs w:val="14"/>
                <w:lang w:val="fr-FR"/>
              </w:rPr>
              <w:t>(5)</w:t>
            </w:r>
          </w:p>
        </w:tc>
        <w:tc>
          <w:tcPr>
            <w:tcW w:w="327" w:type="dxa"/>
            <w:tcBorders>
              <w:top w:val="single" w:sz="4" w:space="0" w:color="auto"/>
              <w:left w:val="nil"/>
              <w:bottom w:val="single" w:sz="4" w:space="0" w:color="auto"/>
              <w:right w:val="single" w:sz="4" w:space="0" w:color="auto"/>
            </w:tcBorders>
            <w:shd w:val="clear" w:color="auto" w:fill="auto"/>
            <w:noWrap/>
            <w:hideMark/>
          </w:tcPr>
          <w:p w14:paraId="5168E257" w14:textId="77777777" w:rsidR="004111D7" w:rsidRPr="00E04245" w:rsidRDefault="004111D7" w:rsidP="00E04245">
            <w:pPr>
              <w:spacing w:line="220" w:lineRule="exact"/>
              <w:ind w:left="-147" w:firstLine="170"/>
              <w:rPr>
                <w:rFonts w:asciiTheme="majorBidi" w:hAnsiTheme="majorBidi" w:cstheme="majorBidi"/>
                <w:sz w:val="14"/>
                <w:szCs w:val="14"/>
                <w:lang w:val="fr-FR"/>
              </w:rPr>
            </w:pPr>
            <w:r w:rsidRPr="00E04245">
              <w:rPr>
                <w:rFonts w:asciiTheme="majorBidi" w:hAnsiTheme="majorBidi" w:cstheme="majorBidi"/>
                <w:sz w:val="14"/>
                <w:szCs w:val="14"/>
                <w:lang w:val="fr-FR"/>
              </w:rPr>
              <w:t>(6)</w:t>
            </w:r>
          </w:p>
        </w:tc>
        <w:tc>
          <w:tcPr>
            <w:tcW w:w="304" w:type="dxa"/>
            <w:tcBorders>
              <w:top w:val="single" w:sz="4" w:space="0" w:color="auto"/>
              <w:left w:val="nil"/>
              <w:bottom w:val="single" w:sz="4" w:space="0" w:color="auto"/>
              <w:right w:val="single" w:sz="4" w:space="0" w:color="auto"/>
            </w:tcBorders>
            <w:shd w:val="clear" w:color="auto" w:fill="auto"/>
            <w:noWrap/>
            <w:hideMark/>
          </w:tcPr>
          <w:p w14:paraId="3FBFF534" w14:textId="77777777" w:rsidR="004111D7" w:rsidRPr="00E04245" w:rsidRDefault="004111D7" w:rsidP="00B0775E">
            <w:pPr>
              <w:spacing w:line="220" w:lineRule="exact"/>
              <w:rPr>
                <w:rFonts w:asciiTheme="majorBidi" w:hAnsiTheme="majorBidi" w:cstheme="majorBidi"/>
                <w:sz w:val="14"/>
                <w:szCs w:val="14"/>
                <w:lang w:val="fr-FR"/>
              </w:rPr>
            </w:pPr>
            <w:r w:rsidRPr="00E04245">
              <w:rPr>
                <w:rFonts w:asciiTheme="majorBidi" w:hAnsiTheme="majorBidi" w:cstheme="majorBidi"/>
                <w:sz w:val="14"/>
                <w:szCs w:val="14"/>
                <w:lang w:val="fr-FR"/>
              </w:rPr>
              <w:t>(7)</w:t>
            </w:r>
          </w:p>
        </w:tc>
        <w:tc>
          <w:tcPr>
            <w:tcW w:w="308" w:type="dxa"/>
            <w:tcBorders>
              <w:top w:val="single" w:sz="4" w:space="0" w:color="auto"/>
              <w:left w:val="nil"/>
              <w:bottom w:val="single" w:sz="4" w:space="0" w:color="auto"/>
              <w:right w:val="single" w:sz="4" w:space="0" w:color="auto"/>
            </w:tcBorders>
            <w:shd w:val="clear" w:color="auto" w:fill="auto"/>
            <w:noWrap/>
            <w:hideMark/>
          </w:tcPr>
          <w:p w14:paraId="422E9E50" w14:textId="77777777" w:rsidR="004111D7" w:rsidRPr="00E04245" w:rsidRDefault="004111D7" w:rsidP="00E04245">
            <w:pPr>
              <w:spacing w:line="220" w:lineRule="exact"/>
              <w:ind w:left="-185" w:firstLine="170"/>
              <w:rPr>
                <w:rFonts w:asciiTheme="majorBidi" w:hAnsiTheme="majorBidi" w:cstheme="majorBidi"/>
                <w:sz w:val="14"/>
                <w:szCs w:val="14"/>
                <w:lang w:val="fr-FR"/>
              </w:rPr>
            </w:pPr>
            <w:r w:rsidRPr="00E04245">
              <w:rPr>
                <w:rFonts w:asciiTheme="majorBidi" w:hAnsiTheme="majorBidi" w:cstheme="majorBidi"/>
                <w:sz w:val="14"/>
                <w:szCs w:val="14"/>
                <w:lang w:val="fr-FR"/>
              </w:rPr>
              <w:t>(8)</w:t>
            </w:r>
          </w:p>
        </w:tc>
        <w:tc>
          <w:tcPr>
            <w:tcW w:w="308" w:type="dxa"/>
            <w:tcBorders>
              <w:top w:val="single" w:sz="4" w:space="0" w:color="auto"/>
              <w:left w:val="nil"/>
              <w:bottom w:val="single" w:sz="4" w:space="0" w:color="auto"/>
              <w:right w:val="single" w:sz="4" w:space="0" w:color="auto"/>
            </w:tcBorders>
            <w:shd w:val="clear" w:color="auto" w:fill="auto"/>
            <w:hideMark/>
          </w:tcPr>
          <w:p w14:paraId="117C3569" w14:textId="77777777" w:rsidR="004111D7" w:rsidRPr="00E04245" w:rsidRDefault="004111D7" w:rsidP="00B0775E">
            <w:pPr>
              <w:spacing w:line="220" w:lineRule="exact"/>
              <w:ind w:left="-124" w:firstLine="73"/>
              <w:jc w:val="center"/>
              <w:rPr>
                <w:rFonts w:asciiTheme="majorBidi" w:hAnsiTheme="majorBidi" w:cstheme="majorBidi"/>
                <w:sz w:val="14"/>
                <w:szCs w:val="14"/>
                <w:lang w:val="fr-FR"/>
              </w:rPr>
            </w:pPr>
            <w:r w:rsidRPr="00E04245">
              <w:rPr>
                <w:rFonts w:asciiTheme="majorBidi" w:hAnsiTheme="majorBidi" w:cstheme="majorBidi"/>
                <w:sz w:val="14"/>
                <w:szCs w:val="14"/>
                <w:lang w:val="fr-FR"/>
              </w:rPr>
              <w:t>(9)</w:t>
            </w:r>
          </w:p>
        </w:tc>
        <w:tc>
          <w:tcPr>
            <w:tcW w:w="397" w:type="dxa"/>
            <w:tcBorders>
              <w:top w:val="single" w:sz="4" w:space="0" w:color="auto"/>
              <w:left w:val="nil"/>
              <w:bottom w:val="single" w:sz="4" w:space="0" w:color="auto"/>
              <w:right w:val="single" w:sz="4" w:space="0" w:color="auto"/>
            </w:tcBorders>
            <w:shd w:val="clear" w:color="auto" w:fill="auto"/>
            <w:hideMark/>
          </w:tcPr>
          <w:p w14:paraId="6519C885" w14:textId="77777777" w:rsidR="004111D7" w:rsidRPr="00E04245" w:rsidRDefault="004111D7" w:rsidP="00E04245">
            <w:pPr>
              <w:spacing w:line="220" w:lineRule="exact"/>
              <w:ind w:firstLine="23"/>
              <w:rPr>
                <w:rFonts w:asciiTheme="majorBidi" w:hAnsiTheme="majorBidi" w:cstheme="majorBidi"/>
                <w:sz w:val="14"/>
                <w:szCs w:val="14"/>
                <w:lang w:val="fr-FR"/>
              </w:rPr>
            </w:pPr>
            <w:r w:rsidRPr="00E04245">
              <w:rPr>
                <w:rFonts w:asciiTheme="majorBidi" w:hAnsiTheme="majorBidi" w:cstheme="majorBidi"/>
                <w:sz w:val="14"/>
                <w:szCs w:val="14"/>
                <w:lang w:val="fr-FR"/>
              </w:rPr>
              <w:t>(10)</w:t>
            </w:r>
          </w:p>
        </w:tc>
        <w:tc>
          <w:tcPr>
            <w:tcW w:w="419" w:type="dxa"/>
            <w:tcBorders>
              <w:top w:val="single" w:sz="4" w:space="0" w:color="auto"/>
              <w:left w:val="nil"/>
              <w:bottom w:val="single" w:sz="4" w:space="0" w:color="auto"/>
              <w:right w:val="single" w:sz="4" w:space="0" w:color="auto"/>
            </w:tcBorders>
            <w:shd w:val="clear" w:color="auto" w:fill="auto"/>
            <w:noWrap/>
            <w:hideMark/>
          </w:tcPr>
          <w:p w14:paraId="292E8C2E" w14:textId="77777777" w:rsidR="004111D7" w:rsidRPr="00E04245" w:rsidRDefault="004111D7" w:rsidP="00E04245">
            <w:pPr>
              <w:spacing w:line="220" w:lineRule="exact"/>
              <w:ind w:firstLine="45"/>
              <w:rPr>
                <w:rFonts w:asciiTheme="majorBidi" w:hAnsiTheme="majorBidi" w:cstheme="majorBidi"/>
                <w:sz w:val="14"/>
                <w:szCs w:val="14"/>
                <w:lang w:val="fr-FR"/>
              </w:rPr>
            </w:pPr>
            <w:r w:rsidRPr="00E04245">
              <w:rPr>
                <w:rFonts w:asciiTheme="majorBidi" w:hAnsiTheme="majorBidi" w:cstheme="majorBidi"/>
                <w:sz w:val="14"/>
                <w:szCs w:val="14"/>
                <w:lang w:val="fr-FR"/>
              </w:rPr>
              <w:t>(11)</w:t>
            </w:r>
          </w:p>
        </w:tc>
        <w:tc>
          <w:tcPr>
            <w:tcW w:w="340" w:type="dxa"/>
            <w:tcBorders>
              <w:top w:val="single" w:sz="4" w:space="0" w:color="auto"/>
              <w:left w:val="nil"/>
              <w:bottom w:val="single" w:sz="4" w:space="0" w:color="auto"/>
              <w:right w:val="single" w:sz="4" w:space="0" w:color="auto"/>
            </w:tcBorders>
            <w:shd w:val="clear" w:color="auto" w:fill="auto"/>
            <w:noWrap/>
            <w:hideMark/>
          </w:tcPr>
          <w:p w14:paraId="79C48FD5" w14:textId="77777777" w:rsidR="004111D7" w:rsidRPr="00E04245" w:rsidRDefault="004111D7" w:rsidP="00B0775E">
            <w:pPr>
              <w:spacing w:line="220" w:lineRule="exact"/>
              <w:ind w:hanging="34"/>
              <w:rPr>
                <w:rFonts w:asciiTheme="majorBidi" w:hAnsiTheme="majorBidi" w:cstheme="majorBidi"/>
                <w:sz w:val="14"/>
                <w:szCs w:val="14"/>
                <w:lang w:val="fr-FR"/>
              </w:rPr>
            </w:pPr>
            <w:r w:rsidRPr="00E04245">
              <w:rPr>
                <w:rFonts w:asciiTheme="majorBidi" w:hAnsiTheme="majorBidi" w:cstheme="majorBidi"/>
                <w:sz w:val="14"/>
                <w:szCs w:val="14"/>
                <w:lang w:val="fr-FR"/>
              </w:rPr>
              <w:t>(12)</w:t>
            </w:r>
          </w:p>
        </w:tc>
        <w:tc>
          <w:tcPr>
            <w:tcW w:w="305" w:type="dxa"/>
            <w:tcBorders>
              <w:top w:val="single" w:sz="4" w:space="0" w:color="auto"/>
              <w:left w:val="nil"/>
              <w:bottom w:val="single" w:sz="4" w:space="0" w:color="auto"/>
              <w:right w:val="single" w:sz="4" w:space="0" w:color="auto"/>
            </w:tcBorders>
            <w:shd w:val="clear" w:color="auto" w:fill="auto"/>
            <w:noWrap/>
            <w:hideMark/>
          </w:tcPr>
          <w:p w14:paraId="04CED764" w14:textId="77777777" w:rsidR="004111D7" w:rsidRPr="00E04245" w:rsidRDefault="004111D7" w:rsidP="00B0775E">
            <w:pPr>
              <w:spacing w:line="220" w:lineRule="exact"/>
              <w:ind w:hanging="69"/>
              <w:rPr>
                <w:rFonts w:asciiTheme="majorBidi" w:hAnsiTheme="majorBidi" w:cstheme="majorBidi"/>
                <w:sz w:val="14"/>
                <w:szCs w:val="14"/>
                <w:lang w:val="fr-FR"/>
              </w:rPr>
            </w:pPr>
            <w:r w:rsidRPr="00E04245">
              <w:rPr>
                <w:rFonts w:asciiTheme="majorBidi" w:hAnsiTheme="majorBidi" w:cstheme="majorBidi"/>
                <w:sz w:val="14"/>
                <w:szCs w:val="14"/>
                <w:lang w:val="fr-FR"/>
              </w:rPr>
              <w:t>(13)</w:t>
            </w:r>
          </w:p>
        </w:tc>
        <w:tc>
          <w:tcPr>
            <w:tcW w:w="409" w:type="dxa"/>
            <w:tcBorders>
              <w:top w:val="single" w:sz="4" w:space="0" w:color="auto"/>
              <w:left w:val="nil"/>
              <w:bottom w:val="single" w:sz="4" w:space="0" w:color="auto"/>
              <w:right w:val="single" w:sz="4" w:space="0" w:color="auto"/>
            </w:tcBorders>
            <w:shd w:val="clear" w:color="auto" w:fill="auto"/>
            <w:noWrap/>
            <w:hideMark/>
          </w:tcPr>
          <w:p w14:paraId="0E29D84B" w14:textId="77777777" w:rsidR="004111D7" w:rsidRPr="00E04245" w:rsidRDefault="004111D7" w:rsidP="00B0775E">
            <w:pPr>
              <w:spacing w:line="220" w:lineRule="exact"/>
              <w:ind w:right="35"/>
              <w:rPr>
                <w:rFonts w:asciiTheme="majorBidi" w:hAnsiTheme="majorBidi" w:cstheme="majorBidi"/>
                <w:sz w:val="14"/>
                <w:szCs w:val="14"/>
                <w:lang w:val="fr-FR"/>
              </w:rPr>
            </w:pPr>
            <w:r w:rsidRPr="00E04245">
              <w:rPr>
                <w:rFonts w:asciiTheme="majorBidi" w:hAnsiTheme="majorBidi" w:cstheme="majorBidi"/>
                <w:sz w:val="14"/>
                <w:szCs w:val="14"/>
                <w:lang w:val="fr-FR"/>
              </w:rPr>
              <w:t>(14)</w:t>
            </w:r>
          </w:p>
        </w:tc>
        <w:tc>
          <w:tcPr>
            <w:tcW w:w="421" w:type="dxa"/>
            <w:tcBorders>
              <w:top w:val="single" w:sz="4" w:space="0" w:color="auto"/>
              <w:left w:val="nil"/>
              <w:bottom w:val="single" w:sz="4" w:space="0" w:color="auto"/>
              <w:right w:val="single" w:sz="4" w:space="0" w:color="auto"/>
            </w:tcBorders>
            <w:shd w:val="clear" w:color="auto" w:fill="auto"/>
            <w:noWrap/>
            <w:hideMark/>
          </w:tcPr>
          <w:p w14:paraId="765B7B3A" w14:textId="77777777" w:rsidR="004111D7" w:rsidRPr="00E04245" w:rsidRDefault="004111D7" w:rsidP="00E04245">
            <w:pPr>
              <w:spacing w:line="220" w:lineRule="exact"/>
              <w:ind w:firstLine="6"/>
              <w:rPr>
                <w:rFonts w:asciiTheme="majorBidi" w:hAnsiTheme="majorBidi" w:cstheme="majorBidi"/>
                <w:sz w:val="14"/>
                <w:szCs w:val="14"/>
                <w:lang w:val="fr-FR"/>
              </w:rPr>
            </w:pPr>
            <w:r w:rsidRPr="00E04245">
              <w:rPr>
                <w:rFonts w:asciiTheme="majorBidi" w:hAnsiTheme="majorBidi" w:cstheme="majorBidi"/>
                <w:sz w:val="14"/>
                <w:szCs w:val="14"/>
                <w:lang w:val="fr-FR"/>
              </w:rPr>
              <w:t>(15)</w:t>
            </w:r>
          </w:p>
        </w:tc>
        <w:tc>
          <w:tcPr>
            <w:tcW w:w="397" w:type="dxa"/>
            <w:tcBorders>
              <w:top w:val="single" w:sz="4" w:space="0" w:color="auto"/>
              <w:left w:val="nil"/>
              <w:bottom w:val="single" w:sz="4" w:space="0" w:color="auto"/>
              <w:right w:val="single" w:sz="4" w:space="0" w:color="auto"/>
            </w:tcBorders>
            <w:shd w:val="clear" w:color="auto" w:fill="auto"/>
            <w:noWrap/>
            <w:hideMark/>
          </w:tcPr>
          <w:p w14:paraId="2E9352F0" w14:textId="77777777" w:rsidR="004111D7" w:rsidRPr="00E04245" w:rsidRDefault="004111D7" w:rsidP="00B0775E">
            <w:pPr>
              <w:spacing w:line="220" w:lineRule="exact"/>
              <w:ind w:right="23"/>
              <w:rPr>
                <w:rFonts w:asciiTheme="majorBidi" w:hAnsiTheme="majorBidi" w:cstheme="majorBidi"/>
                <w:sz w:val="14"/>
                <w:szCs w:val="14"/>
                <w:lang w:val="fr-FR"/>
              </w:rPr>
            </w:pPr>
            <w:r w:rsidRPr="00E04245">
              <w:rPr>
                <w:rFonts w:asciiTheme="majorBidi" w:hAnsiTheme="majorBidi" w:cstheme="majorBidi"/>
                <w:sz w:val="14"/>
                <w:szCs w:val="14"/>
                <w:lang w:val="fr-FR"/>
              </w:rPr>
              <w:t>(16)</w:t>
            </w:r>
          </w:p>
        </w:tc>
        <w:tc>
          <w:tcPr>
            <w:tcW w:w="388" w:type="dxa"/>
            <w:tcBorders>
              <w:top w:val="single" w:sz="4" w:space="0" w:color="auto"/>
              <w:left w:val="nil"/>
              <w:bottom w:val="single" w:sz="4" w:space="0" w:color="auto"/>
              <w:right w:val="single" w:sz="4" w:space="0" w:color="auto"/>
            </w:tcBorders>
            <w:shd w:val="clear" w:color="auto" w:fill="auto"/>
            <w:noWrap/>
            <w:hideMark/>
          </w:tcPr>
          <w:p w14:paraId="64E18632" w14:textId="77777777" w:rsidR="004111D7" w:rsidRPr="00E04245" w:rsidRDefault="004111D7" w:rsidP="00E04245">
            <w:pPr>
              <w:spacing w:line="220" w:lineRule="exact"/>
              <w:rPr>
                <w:rFonts w:asciiTheme="majorBidi" w:hAnsiTheme="majorBidi" w:cstheme="majorBidi"/>
                <w:sz w:val="14"/>
                <w:szCs w:val="14"/>
                <w:lang w:val="fr-FR"/>
              </w:rPr>
            </w:pPr>
            <w:r w:rsidRPr="00E04245">
              <w:rPr>
                <w:rFonts w:asciiTheme="majorBidi" w:hAnsiTheme="majorBidi" w:cstheme="majorBidi"/>
                <w:sz w:val="14"/>
                <w:szCs w:val="14"/>
                <w:lang w:val="fr-FR"/>
              </w:rPr>
              <w:t>(17)</w:t>
            </w:r>
          </w:p>
        </w:tc>
        <w:tc>
          <w:tcPr>
            <w:tcW w:w="498" w:type="dxa"/>
            <w:tcBorders>
              <w:top w:val="single" w:sz="4" w:space="0" w:color="auto"/>
              <w:left w:val="nil"/>
              <w:bottom w:val="single" w:sz="4" w:space="0" w:color="auto"/>
              <w:right w:val="single" w:sz="4" w:space="0" w:color="auto"/>
            </w:tcBorders>
            <w:shd w:val="clear" w:color="auto" w:fill="auto"/>
            <w:noWrap/>
            <w:hideMark/>
          </w:tcPr>
          <w:p w14:paraId="3AE6112B" w14:textId="77777777" w:rsidR="004111D7" w:rsidRPr="00E04245" w:rsidRDefault="004111D7" w:rsidP="00B0775E">
            <w:pPr>
              <w:spacing w:line="220" w:lineRule="exact"/>
              <w:rPr>
                <w:rFonts w:asciiTheme="majorBidi" w:hAnsiTheme="majorBidi" w:cstheme="majorBidi"/>
                <w:sz w:val="14"/>
                <w:szCs w:val="14"/>
                <w:lang w:val="fr-FR"/>
              </w:rPr>
            </w:pPr>
            <w:r w:rsidRPr="00E04245">
              <w:rPr>
                <w:rFonts w:asciiTheme="majorBidi" w:hAnsiTheme="majorBidi" w:cstheme="majorBidi"/>
                <w:sz w:val="14"/>
                <w:szCs w:val="14"/>
                <w:lang w:val="fr-FR"/>
              </w:rPr>
              <w:t>(18)</w:t>
            </w:r>
          </w:p>
        </w:tc>
        <w:tc>
          <w:tcPr>
            <w:tcW w:w="380" w:type="dxa"/>
            <w:tcBorders>
              <w:top w:val="single" w:sz="4" w:space="0" w:color="auto"/>
              <w:left w:val="nil"/>
              <w:bottom w:val="single" w:sz="4" w:space="0" w:color="auto"/>
              <w:right w:val="single" w:sz="4" w:space="0" w:color="auto"/>
            </w:tcBorders>
            <w:shd w:val="clear" w:color="auto" w:fill="auto"/>
            <w:noWrap/>
            <w:hideMark/>
          </w:tcPr>
          <w:p w14:paraId="272D72C4" w14:textId="77777777" w:rsidR="004111D7" w:rsidRPr="00E04245" w:rsidRDefault="004111D7" w:rsidP="00B0775E">
            <w:pPr>
              <w:spacing w:line="220" w:lineRule="exact"/>
              <w:ind w:firstLine="6"/>
              <w:rPr>
                <w:rFonts w:asciiTheme="majorBidi" w:hAnsiTheme="majorBidi" w:cstheme="majorBidi"/>
                <w:sz w:val="14"/>
                <w:szCs w:val="14"/>
                <w:lang w:val="fr-FR"/>
              </w:rPr>
            </w:pPr>
            <w:r w:rsidRPr="00E04245">
              <w:rPr>
                <w:rFonts w:asciiTheme="majorBidi" w:hAnsiTheme="majorBidi" w:cstheme="majorBidi"/>
                <w:sz w:val="14"/>
                <w:szCs w:val="14"/>
                <w:lang w:val="fr-FR"/>
              </w:rPr>
              <w:t>(19)</w:t>
            </w:r>
          </w:p>
        </w:tc>
        <w:tc>
          <w:tcPr>
            <w:tcW w:w="374" w:type="dxa"/>
            <w:tcBorders>
              <w:top w:val="single" w:sz="4" w:space="0" w:color="auto"/>
              <w:left w:val="nil"/>
              <w:bottom w:val="single" w:sz="4" w:space="0" w:color="auto"/>
              <w:right w:val="single" w:sz="4" w:space="0" w:color="auto"/>
            </w:tcBorders>
            <w:shd w:val="clear" w:color="auto" w:fill="auto"/>
            <w:noWrap/>
            <w:hideMark/>
          </w:tcPr>
          <w:p w14:paraId="1598A25F" w14:textId="77777777" w:rsidR="004111D7" w:rsidRPr="00E04245" w:rsidRDefault="004111D7" w:rsidP="00B0775E">
            <w:pPr>
              <w:spacing w:line="220" w:lineRule="exact"/>
              <w:rPr>
                <w:rFonts w:asciiTheme="majorBidi" w:hAnsiTheme="majorBidi" w:cstheme="majorBidi"/>
                <w:sz w:val="14"/>
                <w:szCs w:val="14"/>
                <w:lang w:val="fr-FR"/>
              </w:rPr>
            </w:pPr>
            <w:r w:rsidRPr="00E04245">
              <w:rPr>
                <w:rFonts w:asciiTheme="majorBidi" w:hAnsiTheme="majorBidi" w:cstheme="majorBidi"/>
                <w:sz w:val="14"/>
                <w:szCs w:val="14"/>
                <w:lang w:val="fr-FR"/>
              </w:rPr>
              <w:t>(20)</w:t>
            </w:r>
          </w:p>
        </w:tc>
      </w:tr>
      <w:tr w:rsidR="00B0775E" w:rsidRPr="00E04245" w14:paraId="376A01E6" w14:textId="77777777" w:rsidTr="0072165C">
        <w:trPr>
          <w:trHeight w:val="397"/>
        </w:trPr>
        <w:tc>
          <w:tcPr>
            <w:tcW w:w="498" w:type="dxa"/>
            <w:tcBorders>
              <w:top w:val="nil"/>
              <w:left w:val="single" w:sz="4" w:space="0" w:color="auto"/>
              <w:bottom w:val="single" w:sz="4" w:space="0" w:color="auto"/>
              <w:right w:val="single" w:sz="4" w:space="0" w:color="auto"/>
            </w:tcBorders>
            <w:shd w:val="clear" w:color="auto" w:fill="auto"/>
            <w:noWrap/>
            <w:hideMark/>
          </w:tcPr>
          <w:p w14:paraId="76C6F67E" w14:textId="77777777" w:rsidR="004111D7" w:rsidRPr="00E04245" w:rsidRDefault="004111D7" w:rsidP="00B0775E">
            <w:pPr>
              <w:spacing w:line="220" w:lineRule="exact"/>
              <w:ind w:firstLine="77"/>
              <w:rPr>
                <w:rFonts w:asciiTheme="majorBidi" w:hAnsiTheme="majorBidi" w:cstheme="majorBidi"/>
                <w:sz w:val="14"/>
                <w:szCs w:val="14"/>
                <w:lang w:val="fr-FR"/>
              </w:rPr>
            </w:pPr>
            <w:r w:rsidRPr="00E04245">
              <w:rPr>
                <w:rFonts w:asciiTheme="majorBidi" w:hAnsiTheme="majorBidi" w:cstheme="majorBidi"/>
                <w:sz w:val="14"/>
                <w:szCs w:val="14"/>
                <w:lang w:val="fr-FR"/>
              </w:rPr>
              <w:t>3082</w:t>
            </w:r>
          </w:p>
        </w:tc>
        <w:tc>
          <w:tcPr>
            <w:tcW w:w="1572" w:type="dxa"/>
            <w:tcBorders>
              <w:top w:val="nil"/>
              <w:left w:val="nil"/>
              <w:bottom w:val="single" w:sz="4" w:space="0" w:color="auto"/>
              <w:right w:val="single" w:sz="4" w:space="0" w:color="auto"/>
            </w:tcBorders>
            <w:shd w:val="clear" w:color="auto" w:fill="auto"/>
            <w:hideMark/>
          </w:tcPr>
          <w:p w14:paraId="49EB30FD" w14:textId="77777777" w:rsidR="004111D7" w:rsidRPr="00E04245" w:rsidRDefault="004111D7" w:rsidP="00B0775E">
            <w:pPr>
              <w:spacing w:line="220" w:lineRule="exact"/>
              <w:ind w:hanging="6"/>
              <w:rPr>
                <w:rFonts w:asciiTheme="majorBidi" w:hAnsiTheme="majorBidi" w:cstheme="majorBidi"/>
                <w:sz w:val="14"/>
                <w:szCs w:val="14"/>
                <w:lang w:val="fr-FR"/>
              </w:rPr>
            </w:pPr>
            <w:r w:rsidRPr="00E04245">
              <w:rPr>
                <w:rFonts w:asciiTheme="majorBidi" w:hAnsiTheme="majorBidi" w:cstheme="majorBidi"/>
                <w:sz w:val="14"/>
                <w:szCs w:val="14"/>
                <w:lang w:val="fr-FR"/>
              </w:rPr>
              <w:t xml:space="preserve">MATIÈRE </w:t>
            </w:r>
            <w:r w:rsidR="00E04245" w:rsidRPr="00E04245">
              <w:rPr>
                <w:rFonts w:asciiTheme="majorBidi" w:hAnsiTheme="majorBidi" w:cstheme="majorBidi"/>
                <w:sz w:val="14"/>
                <w:szCs w:val="14"/>
                <w:lang w:val="fr-FR"/>
              </w:rPr>
              <w:t>D</w:t>
            </w:r>
            <w:r w:rsidRPr="00E04245">
              <w:rPr>
                <w:rFonts w:asciiTheme="majorBidi" w:hAnsiTheme="majorBidi" w:cstheme="majorBidi"/>
                <w:sz w:val="14"/>
                <w:szCs w:val="14"/>
                <w:lang w:val="fr-FR"/>
              </w:rPr>
              <w:t>ANGEREUSE DU POINT DE VUE DE L’ENVIRONNEMENT, LIQUIDE, N.S.A. (EAU DE FOND DE CALE, CONTIENT DES BOUES D’HYDROCARBURES)</w:t>
            </w:r>
          </w:p>
        </w:tc>
        <w:tc>
          <w:tcPr>
            <w:tcW w:w="366" w:type="dxa"/>
            <w:tcBorders>
              <w:top w:val="nil"/>
              <w:left w:val="nil"/>
              <w:bottom w:val="single" w:sz="4" w:space="0" w:color="auto"/>
              <w:right w:val="single" w:sz="4" w:space="0" w:color="auto"/>
            </w:tcBorders>
            <w:shd w:val="clear" w:color="auto" w:fill="auto"/>
            <w:noWrap/>
            <w:hideMark/>
          </w:tcPr>
          <w:p w14:paraId="5EC3456E" w14:textId="77777777" w:rsidR="004111D7" w:rsidRPr="00E04245" w:rsidRDefault="004111D7" w:rsidP="0072165C">
            <w:pPr>
              <w:spacing w:line="220" w:lineRule="exact"/>
              <w:jc w:val="center"/>
              <w:rPr>
                <w:rFonts w:asciiTheme="majorBidi" w:hAnsiTheme="majorBidi" w:cstheme="majorBidi"/>
                <w:sz w:val="14"/>
                <w:szCs w:val="14"/>
                <w:lang w:val="fr-FR"/>
              </w:rPr>
            </w:pPr>
            <w:r w:rsidRPr="00E04245">
              <w:rPr>
                <w:rFonts w:asciiTheme="majorBidi" w:hAnsiTheme="majorBidi" w:cstheme="majorBidi"/>
                <w:sz w:val="14"/>
                <w:szCs w:val="14"/>
                <w:lang w:val="fr-FR"/>
              </w:rPr>
              <w:t>9</w:t>
            </w:r>
          </w:p>
        </w:tc>
        <w:tc>
          <w:tcPr>
            <w:tcW w:w="374" w:type="dxa"/>
            <w:tcBorders>
              <w:top w:val="nil"/>
              <w:left w:val="nil"/>
              <w:bottom w:val="single" w:sz="4" w:space="0" w:color="auto"/>
              <w:right w:val="single" w:sz="4" w:space="0" w:color="auto"/>
            </w:tcBorders>
            <w:shd w:val="clear" w:color="auto" w:fill="auto"/>
            <w:noWrap/>
            <w:hideMark/>
          </w:tcPr>
          <w:p w14:paraId="044B7FE8" w14:textId="77777777" w:rsidR="004111D7" w:rsidRPr="00E04245" w:rsidRDefault="004111D7" w:rsidP="0072165C">
            <w:pPr>
              <w:spacing w:line="220" w:lineRule="exact"/>
              <w:ind w:left="-80" w:firstLine="80"/>
              <w:jc w:val="center"/>
              <w:rPr>
                <w:rFonts w:asciiTheme="majorBidi" w:hAnsiTheme="majorBidi" w:cstheme="majorBidi"/>
                <w:sz w:val="14"/>
                <w:szCs w:val="14"/>
                <w:lang w:val="fr-FR"/>
              </w:rPr>
            </w:pPr>
            <w:r w:rsidRPr="00E04245">
              <w:rPr>
                <w:rFonts w:asciiTheme="majorBidi" w:hAnsiTheme="majorBidi" w:cstheme="majorBidi"/>
                <w:sz w:val="14"/>
                <w:szCs w:val="14"/>
                <w:lang w:val="fr-FR"/>
              </w:rPr>
              <w:t>M6</w:t>
            </w:r>
          </w:p>
        </w:tc>
        <w:tc>
          <w:tcPr>
            <w:tcW w:w="314" w:type="dxa"/>
            <w:tcBorders>
              <w:top w:val="nil"/>
              <w:left w:val="nil"/>
              <w:bottom w:val="single" w:sz="4" w:space="0" w:color="auto"/>
              <w:right w:val="single" w:sz="4" w:space="0" w:color="auto"/>
            </w:tcBorders>
            <w:shd w:val="clear" w:color="auto" w:fill="auto"/>
            <w:noWrap/>
            <w:hideMark/>
          </w:tcPr>
          <w:p w14:paraId="5F768CD2" w14:textId="77777777" w:rsidR="004111D7" w:rsidRPr="00E04245" w:rsidRDefault="004111D7" w:rsidP="0072165C">
            <w:pPr>
              <w:spacing w:line="220" w:lineRule="exact"/>
              <w:jc w:val="center"/>
              <w:rPr>
                <w:rFonts w:asciiTheme="majorBidi" w:hAnsiTheme="majorBidi" w:cstheme="majorBidi"/>
                <w:sz w:val="14"/>
                <w:szCs w:val="14"/>
                <w:lang w:val="fr-FR"/>
              </w:rPr>
            </w:pPr>
            <w:r w:rsidRPr="00E04245">
              <w:rPr>
                <w:rFonts w:asciiTheme="majorBidi" w:hAnsiTheme="majorBidi" w:cstheme="majorBidi"/>
                <w:sz w:val="14"/>
                <w:szCs w:val="14"/>
                <w:lang w:val="fr-FR"/>
              </w:rPr>
              <w:t>III</w:t>
            </w:r>
          </w:p>
        </w:tc>
        <w:tc>
          <w:tcPr>
            <w:tcW w:w="851" w:type="dxa"/>
            <w:tcBorders>
              <w:top w:val="nil"/>
              <w:left w:val="nil"/>
              <w:bottom w:val="single" w:sz="4" w:space="0" w:color="auto"/>
              <w:right w:val="single" w:sz="4" w:space="0" w:color="auto"/>
            </w:tcBorders>
            <w:shd w:val="clear" w:color="auto" w:fill="auto"/>
            <w:hideMark/>
          </w:tcPr>
          <w:p w14:paraId="62052E34" w14:textId="77777777" w:rsidR="004111D7" w:rsidRPr="00E04245" w:rsidRDefault="004111D7" w:rsidP="0072165C">
            <w:pPr>
              <w:spacing w:line="220" w:lineRule="exact"/>
              <w:jc w:val="center"/>
              <w:rPr>
                <w:rFonts w:asciiTheme="majorBidi" w:hAnsiTheme="majorBidi" w:cstheme="majorBidi"/>
                <w:sz w:val="14"/>
                <w:szCs w:val="14"/>
                <w:lang w:val="fr-FR"/>
              </w:rPr>
            </w:pPr>
            <w:r w:rsidRPr="00E04245">
              <w:rPr>
                <w:rFonts w:asciiTheme="majorBidi" w:hAnsiTheme="majorBidi" w:cstheme="majorBidi"/>
                <w:sz w:val="14"/>
                <w:szCs w:val="14"/>
                <w:lang w:val="fr-FR"/>
              </w:rPr>
              <w:t>9+CMR+N1</w:t>
            </w:r>
          </w:p>
        </w:tc>
        <w:tc>
          <w:tcPr>
            <w:tcW w:w="327" w:type="dxa"/>
            <w:tcBorders>
              <w:top w:val="nil"/>
              <w:left w:val="nil"/>
              <w:bottom w:val="single" w:sz="4" w:space="0" w:color="auto"/>
              <w:right w:val="single" w:sz="4" w:space="0" w:color="auto"/>
            </w:tcBorders>
            <w:shd w:val="clear" w:color="auto" w:fill="auto"/>
            <w:noWrap/>
            <w:hideMark/>
          </w:tcPr>
          <w:p w14:paraId="7BCA5987" w14:textId="77777777" w:rsidR="004111D7" w:rsidRPr="00E04245" w:rsidRDefault="004111D7" w:rsidP="0072165C">
            <w:pPr>
              <w:spacing w:line="220" w:lineRule="exact"/>
              <w:ind w:left="-147" w:firstLine="170"/>
              <w:jc w:val="center"/>
              <w:rPr>
                <w:rFonts w:asciiTheme="majorBidi" w:hAnsiTheme="majorBidi" w:cstheme="majorBidi"/>
                <w:sz w:val="14"/>
                <w:szCs w:val="14"/>
                <w:lang w:val="fr-FR"/>
              </w:rPr>
            </w:pPr>
            <w:r w:rsidRPr="00E04245">
              <w:rPr>
                <w:rFonts w:asciiTheme="majorBidi" w:hAnsiTheme="majorBidi" w:cstheme="majorBidi"/>
                <w:sz w:val="14"/>
                <w:szCs w:val="14"/>
                <w:lang w:val="fr-FR"/>
              </w:rPr>
              <w:t>N</w:t>
            </w:r>
          </w:p>
        </w:tc>
        <w:tc>
          <w:tcPr>
            <w:tcW w:w="304" w:type="dxa"/>
            <w:tcBorders>
              <w:top w:val="nil"/>
              <w:left w:val="nil"/>
              <w:bottom w:val="single" w:sz="4" w:space="0" w:color="auto"/>
              <w:right w:val="single" w:sz="4" w:space="0" w:color="auto"/>
            </w:tcBorders>
            <w:shd w:val="clear" w:color="auto" w:fill="auto"/>
            <w:noWrap/>
            <w:hideMark/>
          </w:tcPr>
          <w:p w14:paraId="1CD98BAD" w14:textId="77777777" w:rsidR="004111D7" w:rsidRPr="00E04245" w:rsidRDefault="004111D7" w:rsidP="0072165C">
            <w:pPr>
              <w:spacing w:line="220" w:lineRule="exact"/>
              <w:jc w:val="center"/>
              <w:rPr>
                <w:rFonts w:asciiTheme="majorBidi" w:hAnsiTheme="majorBidi" w:cstheme="majorBidi"/>
                <w:sz w:val="14"/>
                <w:szCs w:val="14"/>
                <w:lang w:val="fr-FR"/>
              </w:rPr>
            </w:pPr>
            <w:r w:rsidRPr="00E04245">
              <w:rPr>
                <w:rFonts w:asciiTheme="majorBidi" w:hAnsiTheme="majorBidi" w:cstheme="majorBidi"/>
                <w:sz w:val="14"/>
                <w:szCs w:val="14"/>
                <w:lang w:val="fr-FR"/>
              </w:rPr>
              <w:t>2</w:t>
            </w:r>
          </w:p>
        </w:tc>
        <w:tc>
          <w:tcPr>
            <w:tcW w:w="308" w:type="dxa"/>
            <w:tcBorders>
              <w:top w:val="nil"/>
              <w:left w:val="nil"/>
              <w:bottom w:val="single" w:sz="4" w:space="0" w:color="auto"/>
              <w:right w:val="single" w:sz="4" w:space="0" w:color="auto"/>
            </w:tcBorders>
            <w:shd w:val="clear" w:color="auto" w:fill="auto"/>
            <w:noWrap/>
            <w:hideMark/>
          </w:tcPr>
          <w:p w14:paraId="60D03A98" w14:textId="77777777" w:rsidR="004111D7" w:rsidRPr="00E04245" w:rsidRDefault="004111D7" w:rsidP="0072165C">
            <w:pPr>
              <w:spacing w:line="220" w:lineRule="exact"/>
              <w:ind w:left="-185" w:firstLine="170"/>
              <w:jc w:val="center"/>
              <w:rPr>
                <w:rFonts w:asciiTheme="majorBidi" w:hAnsiTheme="majorBidi" w:cstheme="majorBidi"/>
                <w:sz w:val="14"/>
                <w:szCs w:val="14"/>
                <w:lang w:val="fr-FR"/>
              </w:rPr>
            </w:pPr>
            <w:r w:rsidRPr="00E04245">
              <w:rPr>
                <w:rFonts w:asciiTheme="majorBidi" w:hAnsiTheme="majorBidi" w:cstheme="majorBidi"/>
                <w:sz w:val="14"/>
                <w:szCs w:val="14"/>
                <w:lang w:val="fr-FR"/>
              </w:rPr>
              <w:t>3</w:t>
            </w:r>
          </w:p>
        </w:tc>
        <w:tc>
          <w:tcPr>
            <w:tcW w:w="308" w:type="dxa"/>
            <w:tcBorders>
              <w:top w:val="nil"/>
              <w:left w:val="nil"/>
              <w:bottom w:val="single" w:sz="4" w:space="0" w:color="auto"/>
              <w:right w:val="single" w:sz="4" w:space="0" w:color="auto"/>
            </w:tcBorders>
            <w:shd w:val="clear" w:color="auto" w:fill="auto"/>
            <w:noWrap/>
            <w:hideMark/>
          </w:tcPr>
          <w:p w14:paraId="2F64D5C0" w14:textId="77777777" w:rsidR="004111D7" w:rsidRPr="00E04245" w:rsidRDefault="004111D7" w:rsidP="0072165C">
            <w:pPr>
              <w:spacing w:line="220" w:lineRule="exact"/>
              <w:ind w:left="-124" w:firstLine="73"/>
              <w:jc w:val="center"/>
              <w:rPr>
                <w:rFonts w:asciiTheme="majorBidi" w:hAnsiTheme="majorBidi" w:cstheme="majorBidi"/>
                <w:sz w:val="14"/>
                <w:szCs w:val="14"/>
                <w:lang w:val="fr-FR"/>
              </w:rPr>
            </w:pPr>
          </w:p>
        </w:tc>
        <w:tc>
          <w:tcPr>
            <w:tcW w:w="397" w:type="dxa"/>
            <w:tcBorders>
              <w:top w:val="nil"/>
              <w:left w:val="nil"/>
              <w:bottom w:val="single" w:sz="4" w:space="0" w:color="auto"/>
              <w:right w:val="single" w:sz="4" w:space="0" w:color="auto"/>
            </w:tcBorders>
            <w:shd w:val="clear" w:color="auto" w:fill="auto"/>
            <w:hideMark/>
          </w:tcPr>
          <w:p w14:paraId="4A68FC3E" w14:textId="77777777" w:rsidR="004111D7" w:rsidRPr="00E04245" w:rsidRDefault="004111D7" w:rsidP="0072165C">
            <w:pPr>
              <w:spacing w:line="220" w:lineRule="exact"/>
              <w:ind w:firstLine="23"/>
              <w:jc w:val="center"/>
              <w:rPr>
                <w:rFonts w:asciiTheme="majorBidi" w:hAnsiTheme="majorBidi" w:cstheme="majorBidi"/>
                <w:sz w:val="14"/>
                <w:szCs w:val="14"/>
                <w:lang w:val="fr-FR"/>
              </w:rPr>
            </w:pPr>
            <w:r w:rsidRPr="00E04245">
              <w:rPr>
                <w:rFonts w:asciiTheme="majorBidi" w:hAnsiTheme="majorBidi" w:cstheme="majorBidi"/>
                <w:sz w:val="14"/>
                <w:szCs w:val="14"/>
                <w:lang w:val="fr-FR"/>
              </w:rPr>
              <w:t>10</w:t>
            </w:r>
          </w:p>
        </w:tc>
        <w:tc>
          <w:tcPr>
            <w:tcW w:w="419" w:type="dxa"/>
            <w:tcBorders>
              <w:top w:val="nil"/>
              <w:left w:val="nil"/>
              <w:bottom w:val="single" w:sz="4" w:space="0" w:color="auto"/>
              <w:right w:val="single" w:sz="4" w:space="0" w:color="auto"/>
            </w:tcBorders>
            <w:shd w:val="clear" w:color="auto" w:fill="auto"/>
            <w:hideMark/>
          </w:tcPr>
          <w:p w14:paraId="38A1BA07" w14:textId="77777777" w:rsidR="004111D7" w:rsidRPr="00E04245" w:rsidRDefault="004111D7" w:rsidP="0072165C">
            <w:pPr>
              <w:spacing w:line="220" w:lineRule="exact"/>
              <w:ind w:firstLine="45"/>
              <w:jc w:val="center"/>
              <w:rPr>
                <w:rFonts w:asciiTheme="majorBidi" w:hAnsiTheme="majorBidi" w:cstheme="majorBidi"/>
                <w:sz w:val="14"/>
                <w:szCs w:val="14"/>
                <w:lang w:val="fr-FR"/>
              </w:rPr>
            </w:pPr>
            <w:r w:rsidRPr="00E04245">
              <w:rPr>
                <w:rFonts w:asciiTheme="majorBidi" w:hAnsiTheme="majorBidi" w:cstheme="majorBidi"/>
                <w:sz w:val="14"/>
                <w:szCs w:val="14"/>
                <w:lang w:val="fr-FR"/>
              </w:rPr>
              <w:t>97</w:t>
            </w:r>
          </w:p>
        </w:tc>
        <w:tc>
          <w:tcPr>
            <w:tcW w:w="340" w:type="dxa"/>
            <w:tcBorders>
              <w:top w:val="nil"/>
              <w:left w:val="nil"/>
              <w:bottom w:val="single" w:sz="4" w:space="0" w:color="auto"/>
              <w:right w:val="single" w:sz="4" w:space="0" w:color="auto"/>
            </w:tcBorders>
            <w:shd w:val="clear" w:color="auto" w:fill="auto"/>
            <w:hideMark/>
          </w:tcPr>
          <w:p w14:paraId="2F6A80C6" w14:textId="77777777" w:rsidR="004111D7" w:rsidRPr="00E04245" w:rsidRDefault="004111D7" w:rsidP="0072165C">
            <w:pPr>
              <w:spacing w:line="220" w:lineRule="exact"/>
              <w:ind w:hanging="34"/>
              <w:jc w:val="center"/>
              <w:rPr>
                <w:rFonts w:asciiTheme="majorBidi" w:hAnsiTheme="majorBidi" w:cstheme="majorBidi"/>
                <w:sz w:val="14"/>
                <w:szCs w:val="14"/>
                <w:lang w:val="fr-FR"/>
              </w:rPr>
            </w:pPr>
          </w:p>
        </w:tc>
        <w:tc>
          <w:tcPr>
            <w:tcW w:w="305" w:type="dxa"/>
            <w:tcBorders>
              <w:top w:val="nil"/>
              <w:left w:val="nil"/>
              <w:bottom w:val="single" w:sz="4" w:space="0" w:color="auto"/>
              <w:right w:val="single" w:sz="4" w:space="0" w:color="auto"/>
            </w:tcBorders>
            <w:shd w:val="clear" w:color="auto" w:fill="auto"/>
            <w:noWrap/>
            <w:hideMark/>
          </w:tcPr>
          <w:p w14:paraId="23DB0ACA" w14:textId="77777777" w:rsidR="004111D7" w:rsidRPr="00E04245" w:rsidRDefault="004111D7" w:rsidP="0072165C">
            <w:pPr>
              <w:spacing w:line="220" w:lineRule="exact"/>
              <w:ind w:hanging="69"/>
              <w:jc w:val="center"/>
              <w:rPr>
                <w:rFonts w:asciiTheme="majorBidi" w:hAnsiTheme="majorBidi" w:cstheme="majorBidi"/>
                <w:sz w:val="14"/>
                <w:szCs w:val="14"/>
                <w:lang w:val="fr-FR"/>
              </w:rPr>
            </w:pPr>
            <w:r w:rsidRPr="00E04245">
              <w:rPr>
                <w:rFonts w:asciiTheme="majorBidi" w:hAnsiTheme="majorBidi" w:cstheme="majorBidi"/>
                <w:sz w:val="14"/>
                <w:szCs w:val="14"/>
                <w:lang w:val="fr-FR"/>
              </w:rPr>
              <w:t>3</w:t>
            </w:r>
          </w:p>
        </w:tc>
        <w:tc>
          <w:tcPr>
            <w:tcW w:w="409" w:type="dxa"/>
            <w:tcBorders>
              <w:top w:val="nil"/>
              <w:left w:val="nil"/>
              <w:bottom w:val="single" w:sz="4" w:space="0" w:color="auto"/>
              <w:right w:val="single" w:sz="4" w:space="0" w:color="auto"/>
            </w:tcBorders>
            <w:shd w:val="clear" w:color="auto" w:fill="auto"/>
            <w:noWrap/>
            <w:hideMark/>
          </w:tcPr>
          <w:p w14:paraId="2539BF93" w14:textId="77777777" w:rsidR="004111D7" w:rsidRPr="00E04245" w:rsidRDefault="004111D7" w:rsidP="0072165C">
            <w:pPr>
              <w:spacing w:line="220" w:lineRule="exact"/>
              <w:ind w:right="35"/>
              <w:jc w:val="center"/>
              <w:rPr>
                <w:rFonts w:asciiTheme="majorBidi" w:hAnsiTheme="majorBidi" w:cstheme="majorBidi"/>
                <w:sz w:val="14"/>
                <w:szCs w:val="14"/>
                <w:lang w:val="fr-FR"/>
              </w:rPr>
            </w:pPr>
            <w:proofErr w:type="gramStart"/>
            <w:r w:rsidRPr="00E04245">
              <w:rPr>
                <w:rFonts w:asciiTheme="majorBidi" w:hAnsiTheme="majorBidi" w:cstheme="majorBidi"/>
                <w:sz w:val="14"/>
                <w:szCs w:val="14"/>
                <w:lang w:val="fr-FR"/>
              </w:rPr>
              <w:t>oui</w:t>
            </w:r>
            <w:proofErr w:type="gramEnd"/>
          </w:p>
        </w:tc>
        <w:tc>
          <w:tcPr>
            <w:tcW w:w="421" w:type="dxa"/>
            <w:tcBorders>
              <w:top w:val="nil"/>
              <w:left w:val="nil"/>
              <w:bottom w:val="single" w:sz="4" w:space="0" w:color="auto"/>
              <w:right w:val="single" w:sz="4" w:space="0" w:color="auto"/>
            </w:tcBorders>
            <w:shd w:val="clear" w:color="auto" w:fill="auto"/>
            <w:noWrap/>
            <w:hideMark/>
          </w:tcPr>
          <w:p w14:paraId="33773C3A" w14:textId="77777777" w:rsidR="004111D7" w:rsidRPr="00E04245" w:rsidRDefault="004111D7" w:rsidP="0072165C">
            <w:pPr>
              <w:spacing w:line="220" w:lineRule="exact"/>
              <w:ind w:firstLine="6"/>
              <w:jc w:val="center"/>
              <w:rPr>
                <w:rFonts w:asciiTheme="majorBidi" w:hAnsiTheme="majorBidi" w:cstheme="majorBidi"/>
                <w:sz w:val="14"/>
                <w:szCs w:val="14"/>
                <w:lang w:val="fr-FR"/>
              </w:rPr>
            </w:pPr>
          </w:p>
        </w:tc>
        <w:tc>
          <w:tcPr>
            <w:tcW w:w="397" w:type="dxa"/>
            <w:tcBorders>
              <w:top w:val="nil"/>
              <w:left w:val="nil"/>
              <w:bottom w:val="single" w:sz="4" w:space="0" w:color="auto"/>
              <w:right w:val="single" w:sz="4" w:space="0" w:color="auto"/>
            </w:tcBorders>
            <w:shd w:val="clear" w:color="auto" w:fill="auto"/>
            <w:noWrap/>
            <w:hideMark/>
          </w:tcPr>
          <w:p w14:paraId="004E3E0A" w14:textId="77777777" w:rsidR="004111D7" w:rsidRPr="00E04245" w:rsidRDefault="004111D7" w:rsidP="0072165C">
            <w:pPr>
              <w:spacing w:line="220" w:lineRule="exact"/>
              <w:ind w:right="23"/>
              <w:jc w:val="center"/>
              <w:rPr>
                <w:rFonts w:asciiTheme="majorBidi" w:hAnsiTheme="majorBidi" w:cstheme="majorBidi"/>
                <w:sz w:val="14"/>
                <w:szCs w:val="14"/>
                <w:lang w:val="fr-FR"/>
              </w:rPr>
            </w:pPr>
          </w:p>
        </w:tc>
        <w:tc>
          <w:tcPr>
            <w:tcW w:w="388" w:type="dxa"/>
            <w:tcBorders>
              <w:top w:val="nil"/>
              <w:left w:val="nil"/>
              <w:bottom w:val="single" w:sz="4" w:space="0" w:color="auto"/>
              <w:right w:val="single" w:sz="4" w:space="0" w:color="auto"/>
            </w:tcBorders>
            <w:shd w:val="clear" w:color="auto" w:fill="auto"/>
            <w:noWrap/>
            <w:hideMark/>
          </w:tcPr>
          <w:p w14:paraId="54AEA540" w14:textId="77777777" w:rsidR="004111D7" w:rsidRPr="00E04245" w:rsidRDefault="004111D7" w:rsidP="0072165C">
            <w:pPr>
              <w:spacing w:line="220" w:lineRule="exact"/>
              <w:jc w:val="center"/>
              <w:rPr>
                <w:rFonts w:asciiTheme="majorBidi" w:hAnsiTheme="majorBidi" w:cstheme="majorBidi"/>
                <w:sz w:val="14"/>
                <w:szCs w:val="14"/>
                <w:lang w:val="fr-FR"/>
              </w:rPr>
            </w:pPr>
            <w:proofErr w:type="gramStart"/>
            <w:r w:rsidRPr="00E04245">
              <w:rPr>
                <w:rFonts w:asciiTheme="majorBidi" w:hAnsiTheme="majorBidi" w:cstheme="majorBidi"/>
                <w:sz w:val="14"/>
                <w:szCs w:val="14"/>
                <w:lang w:val="fr-FR"/>
              </w:rPr>
              <w:t>non</w:t>
            </w:r>
            <w:proofErr w:type="gramEnd"/>
          </w:p>
        </w:tc>
        <w:tc>
          <w:tcPr>
            <w:tcW w:w="498" w:type="dxa"/>
            <w:tcBorders>
              <w:top w:val="nil"/>
              <w:left w:val="nil"/>
              <w:bottom w:val="single" w:sz="4" w:space="0" w:color="auto"/>
              <w:right w:val="single" w:sz="4" w:space="0" w:color="auto"/>
            </w:tcBorders>
            <w:shd w:val="clear" w:color="auto" w:fill="auto"/>
            <w:hideMark/>
          </w:tcPr>
          <w:p w14:paraId="4B067B1E" w14:textId="77777777" w:rsidR="004111D7" w:rsidRPr="00E04245" w:rsidRDefault="004111D7" w:rsidP="0072165C">
            <w:pPr>
              <w:spacing w:line="220" w:lineRule="exact"/>
              <w:jc w:val="center"/>
              <w:rPr>
                <w:rFonts w:asciiTheme="majorBidi" w:hAnsiTheme="majorBidi" w:cstheme="majorBidi"/>
                <w:sz w:val="14"/>
                <w:szCs w:val="14"/>
                <w:lang w:val="fr-FR"/>
              </w:rPr>
            </w:pPr>
            <w:r w:rsidRPr="00E04245">
              <w:rPr>
                <w:rFonts w:asciiTheme="majorBidi" w:hAnsiTheme="majorBidi" w:cstheme="majorBidi"/>
                <w:sz w:val="14"/>
                <w:szCs w:val="14"/>
                <w:lang w:val="fr-FR"/>
              </w:rPr>
              <w:t>PP,</w:t>
            </w:r>
          </w:p>
          <w:p w14:paraId="52AE0138" w14:textId="77777777" w:rsidR="004111D7" w:rsidRPr="00E04245" w:rsidRDefault="004111D7" w:rsidP="0072165C">
            <w:pPr>
              <w:spacing w:line="220" w:lineRule="exact"/>
              <w:jc w:val="center"/>
              <w:rPr>
                <w:rFonts w:asciiTheme="majorBidi" w:hAnsiTheme="majorBidi" w:cstheme="majorBidi"/>
                <w:sz w:val="14"/>
                <w:szCs w:val="14"/>
                <w:lang w:val="fr-FR"/>
              </w:rPr>
            </w:pPr>
            <w:r w:rsidRPr="00E04245">
              <w:rPr>
                <w:rFonts w:asciiTheme="majorBidi" w:hAnsiTheme="majorBidi" w:cstheme="majorBidi"/>
                <w:sz w:val="14"/>
                <w:szCs w:val="14"/>
                <w:lang w:val="fr-FR"/>
              </w:rPr>
              <w:t>EP</w:t>
            </w:r>
          </w:p>
          <w:p w14:paraId="78719A95" w14:textId="77777777" w:rsidR="004111D7" w:rsidRPr="00E04245" w:rsidRDefault="004111D7" w:rsidP="0072165C">
            <w:pPr>
              <w:spacing w:line="220" w:lineRule="exact"/>
              <w:jc w:val="center"/>
              <w:rPr>
                <w:rFonts w:asciiTheme="majorBidi" w:hAnsiTheme="majorBidi" w:cstheme="majorBidi"/>
                <w:sz w:val="14"/>
                <w:szCs w:val="14"/>
                <w:lang w:val="fr-FR"/>
              </w:rPr>
            </w:pPr>
            <w:r w:rsidRPr="00E04245">
              <w:rPr>
                <w:rFonts w:asciiTheme="majorBidi" w:hAnsiTheme="majorBidi" w:cstheme="majorBidi"/>
                <w:sz w:val="14"/>
                <w:szCs w:val="14"/>
                <w:lang w:val="fr-FR"/>
              </w:rPr>
              <w:t>TOX,</w:t>
            </w:r>
          </w:p>
          <w:p w14:paraId="39442CC8" w14:textId="77777777" w:rsidR="004111D7" w:rsidRPr="00E04245" w:rsidRDefault="004111D7" w:rsidP="0072165C">
            <w:pPr>
              <w:spacing w:line="220" w:lineRule="exact"/>
              <w:jc w:val="center"/>
              <w:rPr>
                <w:rFonts w:asciiTheme="majorBidi" w:hAnsiTheme="majorBidi" w:cstheme="majorBidi"/>
                <w:sz w:val="14"/>
                <w:szCs w:val="14"/>
                <w:lang w:val="fr-FR"/>
              </w:rPr>
            </w:pPr>
            <w:r w:rsidRPr="00E04245">
              <w:rPr>
                <w:rFonts w:asciiTheme="majorBidi" w:hAnsiTheme="majorBidi" w:cstheme="majorBidi"/>
                <w:sz w:val="14"/>
                <w:szCs w:val="14"/>
                <w:lang w:val="fr-FR"/>
              </w:rPr>
              <w:t>A</w:t>
            </w:r>
          </w:p>
        </w:tc>
        <w:tc>
          <w:tcPr>
            <w:tcW w:w="380" w:type="dxa"/>
            <w:tcBorders>
              <w:top w:val="nil"/>
              <w:left w:val="nil"/>
              <w:bottom w:val="single" w:sz="4" w:space="0" w:color="auto"/>
              <w:right w:val="single" w:sz="4" w:space="0" w:color="auto"/>
            </w:tcBorders>
            <w:shd w:val="clear" w:color="auto" w:fill="auto"/>
            <w:noWrap/>
            <w:hideMark/>
          </w:tcPr>
          <w:p w14:paraId="0776C8CE" w14:textId="77777777" w:rsidR="004111D7" w:rsidRPr="00E04245" w:rsidRDefault="004111D7" w:rsidP="0072165C">
            <w:pPr>
              <w:spacing w:line="220" w:lineRule="exact"/>
              <w:ind w:firstLine="6"/>
              <w:jc w:val="center"/>
              <w:rPr>
                <w:rFonts w:asciiTheme="majorBidi" w:hAnsiTheme="majorBidi" w:cstheme="majorBidi"/>
                <w:sz w:val="14"/>
                <w:szCs w:val="14"/>
                <w:lang w:val="fr-FR"/>
              </w:rPr>
            </w:pPr>
            <w:r w:rsidRPr="00E04245">
              <w:rPr>
                <w:rFonts w:asciiTheme="majorBidi" w:hAnsiTheme="majorBidi" w:cstheme="majorBidi"/>
                <w:sz w:val="14"/>
                <w:szCs w:val="14"/>
                <w:lang w:val="fr-FR"/>
              </w:rPr>
              <w:t>0</w:t>
            </w:r>
          </w:p>
        </w:tc>
        <w:tc>
          <w:tcPr>
            <w:tcW w:w="374" w:type="dxa"/>
            <w:tcBorders>
              <w:top w:val="nil"/>
              <w:left w:val="nil"/>
              <w:bottom w:val="single" w:sz="4" w:space="0" w:color="auto"/>
              <w:right w:val="single" w:sz="4" w:space="0" w:color="auto"/>
            </w:tcBorders>
            <w:shd w:val="clear" w:color="auto" w:fill="auto"/>
            <w:hideMark/>
          </w:tcPr>
          <w:p w14:paraId="730239A2" w14:textId="77777777" w:rsidR="004111D7" w:rsidRPr="00E04245" w:rsidRDefault="004111D7" w:rsidP="0072165C">
            <w:pPr>
              <w:spacing w:line="220" w:lineRule="exact"/>
              <w:jc w:val="center"/>
              <w:rPr>
                <w:rFonts w:asciiTheme="majorBidi" w:hAnsiTheme="majorBidi" w:cstheme="majorBidi"/>
                <w:sz w:val="14"/>
                <w:szCs w:val="14"/>
                <w:lang w:val="fr-FR"/>
              </w:rPr>
            </w:pPr>
            <w:r w:rsidRPr="00E04245">
              <w:rPr>
                <w:rFonts w:asciiTheme="majorBidi" w:hAnsiTheme="majorBidi" w:cstheme="majorBidi"/>
                <w:sz w:val="14"/>
                <w:szCs w:val="14"/>
                <w:lang w:val="fr-FR"/>
              </w:rPr>
              <w:t>45</w:t>
            </w:r>
          </w:p>
        </w:tc>
      </w:tr>
    </w:tbl>
    <w:p w14:paraId="78D7ACBE" w14:textId="77777777" w:rsidR="004111D7" w:rsidRPr="0057592B" w:rsidRDefault="0057592B" w:rsidP="0057592B">
      <w:pPr>
        <w:pStyle w:val="SingleTxtG"/>
        <w:spacing w:before="120"/>
      </w:pPr>
      <w:r>
        <w:tab/>
      </w:r>
      <w:r>
        <w:tab/>
        <w:t>d)</w:t>
      </w:r>
      <w:r>
        <w:tab/>
      </w:r>
      <w:r w:rsidR="004111D7" w:rsidRPr="0057592B">
        <w:t>À la fin de la section 3.2.3.1</w:t>
      </w:r>
      <w:r w:rsidR="005D02C9">
        <w:t xml:space="preserve"> de l’</w:t>
      </w:r>
      <w:r w:rsidR="004111D7" w:rsidRPr="0057592B">
        <w:t>ADN, ajouter l</w:t>
      </w:r>
      <w:r w:rsidR="004111D7" w:rsidRPr="0057592B">
        <w:rPr>
          <w:rFonts w:hint="eastAsia"/>
        </w:rPr>
        <w:t>’</w:t>
      </w:r>
      <w:r w:rsidR="004111D7" w:rsidRPr="0057592B">
        <w:t>observation libellée comme suit :</w:t>
      </w:r>
    </w:p>
    <w:p w14:paraId="050AED36" w14:textId="77777777" w:rsidR="004111D7" w:rsidRPr="00A43940" w:rsidRDefault="0057592B" w:rsidP="00C3452F">
      <w:pPr>
        <w:pStyle w:val="SingleTxtG"/>
        <w:ind w:left="1701"/>
        <w:rPr>
          <w:iCs/>
          <w:szCs w:val="18"/>
          <w:lang w:val="fr-FR"/>
        </w:rPr>
      </w:pPr>
      <w:r>
        <w:rPr>
          <w:lang w:val="fr-FR"/>
        </w:rPr>
        <w:tab/>
      </w:r>
      <w:r w:rsidR="004111D7" w:rsidRPr="00A43940">
        <w:rPr>
          <w:lang w:val="fr-FR"/>
        </w:rPr>
        <w:t>« 45.</w:t>
      </w:r>
      <w:r w:rsidR="004111D7" w:rsidRPr="00A43940">
        <w:rPr>
          <w:lang w:val="fr-FR"/>
        </w:rPr>
        <w:tab/>
        <w:t>Durant la réception à partir de navires de mer de cette matière en tant que déchets liés à l</w:t>
      </w:r>
      <w:r w:rsidR="004111D7">
        <w:rPr>
          <w:rFonts w:hint="eastAsia"/>
          <w:lang w:val="fr-FR"/>
        </w:rPr>
        <w:t>’</w:t>
      </w:r>
      <w:r w:rsidR="004111D7" w:rsidRPr="00A43940">
        <w:rPr>
          <w:lang w:val="fr-FR"/>
        </w:rPr>
        <w:t>exploitation du bateau, des mesures techniques et organisationnelles appropriées doivent être prises à bord des bateaux pour éviter ou réduire autant que possible l</w:t>
      </w:r>
      <w:r w:rsidR="004111D7">
        <w:rPr>
          <w:rFonts w:hint="eastAsia"/>
          <w:lang w:val="fr-FR"/>
        </w:rPr>
        <w:t>’</w:t>
      </w:r>
      <w:r w:rsidR="004111D7" w:rsidRPr="00A43940">
        <w:rPr>
          <w:lang w:val="fr-FR"/>
        </w:rPr>
        <w:t>exposition du personnel à bord aux mélanges gaz-air qui s</w:t>
      </w:r>
      <w:r w:rsidR="004111D7">
        <w:rPr>
          <w:rFonts w:hint="eastAsia"/>
          <w:lang w:val="fr-FR"/>
        </w:rPr>
        <w:t>’</w:t>
      </w:r>
      <w:r w:rsidR="004111D7" w:rsidRPr="00A43940">
        <w:rPr>
          <w:lang w:val="fr-FR"/>
        </w:rPr>
        <w:t>échappent des citernes à cargaison du bateau récepteur lors du chargement et pour assurer la protection du personnel à bord pendant ces activités. Un équipement de protection individuelle approprié doit être mis à la disposition des employés concernés et doit être porté pendant toute la durée de l</w:t>
      </w:r>
      <w:r w:rsidR="004111D7">
        <w:rPr>
          <w:rFonts w:hint="eastAsia"/>
          <w:lang w:val="fr-FR"/>
        </w:rPr>
        <w:t>’</w:t>
      </w:r>
      <w:r w:rsidR="004111D7" w:rsidRPr="00A43940">
        <w:rPr>
          <w:lang w:val="fr-FR"/>
        </w:rPr>
        <w:t>exposition accrue.</w:t>
      </w:r>
    </w:p>
    <w:p w14:paraId="0F3AF195" w14:textId="77777777" w:rsidR="004111D7" w:rsidRPr="002B7B76" w:rsidRDefault="0057592B" w:rsidP="00C3452F">
      <w:pPr>
        <w:pStyle w:val="SingleTxtG"/>
        <w:rPr>
          <w:iCs/>
          <w:szCs w:val="18"/>
          <w:lang w:val="fr-FR"/>
        </w:rPr>
      </w:pPr>
      <w:r>
        <w:rPr>
          <w:lang w:val="fr-FR"/>
        </w:rPr>
        <w:tab/>
      </w:r>
      <w:r>
        <w:rPr>
          <w:lang w:val="fr-FR"/>
        </w:rPr>
        <w:tab/>
      </w:r>
      <w:r w:rsidR="00C3452F">
        <w:rPr>
          <w:lang w:val="fr-FR"/>
        </w:rPr>
        <w:t>e)</w:t>
      </w:r>
      <w:r w:rsidR="00C3452F">
        <w:rPr>
          <w:lang w:val="fr-FR"/>
        </w:rPr>
        <w:tab/>
      </w:r>
      <w:r w:rsidR="004111D7" w:rsidRPr="00A43940">
        <w:rPr>
          <w:lang w:val="fr-FR"/>
        </w:rPr>
        <w:t>Au 7.2.4.25.5, insérer après le mot « </w:t>
      </w:r>
      <w:r w:rsidR="004111D7" w:rsidRPr="002B7B76">
        <w:rPr>
          <w:lang w:val="fr-FR"/>
        </w:rPr>
        <w:t>gaz-air » les mots « qui s</w:t>
      </w:r>
      <w:r w:rsidR="004111D7">
        <w:rPr>
          <w:rFonts w:hint="eastAsia"/>
          <w:lang w:val="fr-FR"/>
        </w:rPr>
        <w:t>’</w:t>
      </w:r>
      <w:r w:rsidR="004111D7" w:rsidRPr="002B7B76">
        <w:rPr>
          <w:lang w:val="fr-FR"/>
        </w:rPr>
        <w:t>échappent des citernes à cargaison du bateau récepteur lors du [chargement] [remplissage] par une installation à terre ».</w:t>
      </w:r>
    </w:p>
    <w:p w14:paraId="6352A71C" w14:textId="77777777" w:rsidR="004111D7" w:rsidRPr="00F122F3" w:rsidRDefault="004111D7" w:rsidP="00C3452F">
      <w:pPr>
        <w:pStyle w:val="SingleTxtG"/>
        <w:rPr>
          <w:u w:val="single"/>
          <w:lang w:val="fr-FR"/>
        </w:rPr>
      </w:pPr>
      <w:r w:rsidRPr="00F122F3">
        <w:rPr>
          <w:u w:val="single"/>
          <w:lang w:val="fr-FR"/>
        </w:rPr>
        <w:t>Texte consolidé :</w:t>
      </w:r>
    </w:p>
    <w:p w14:paraId="74E1D009" w14:textId="77777777" w:rsidR="004111D7" w:rsidRPr="00A43940" w:rsidRDefault="004111D7" w:rsidP="00F122F3">
      <w:pPr>
        <w:pStyle w:val="SingleTxtG"/>
        <w:ind w:left="1701"/>
        <w:rPr>
          <w:lang w:val="fr-FR"/>
        </w:rPr>
      </w:pPr>
      <w:r w:rsidRPr="002B7B76">
        <w:rPr>
          <w:lang w:val="fr-FR"/>
        </w:rPr>
        <w:t>«</w:t>
      </w:r>
      <w:r w:rsidR="005D02C9" w:rsidRPr="00A43940">
        <w:rPr>
          <w:lang w:val="fr-FR"/>
        </w:rPr>
        <w:t>7.2.4.25.5</w:t>
      </w:r>
      <w:r w:rsidR="00921E8F">
        <w:rPr>
          <w:lang w:val="fr-FR"/>
        </w:rPr>
        <w:tab/>
      </w:r>
      <w:r w:rsidRPr="002B7B76">
        <w:rPr>
          <w:lang w:val="fr-FR"/>
        </w:rPr>
        <w:t> Les mélanges gaz-air qui s</w:t>
      </w:r>
      <w:r>
        <w:rPr>
          <w:rFonts w:hint="eastAsia"/>
          <w:lang w:val="fr-FR"/>
        </w:rPr>
        <w:t>’</w:t>
      </w:r>
      <w:r w:rsidRPr="002B7B76">
        <w:rPr>
          <w:lang w:val="fr-FR"/>
        </w:rPr>
        <w:t>échappent des citernes à cargaison du bateau récepteur lors du [chargement] [remplissage] par une installation à terre doivent être renvoyés à terre au moyen d</w:t>
      </w:r>
      <w:r>
        <w:rPr>
          <w:rFonts w:hint="eastAsia"/>
          <w:lang w:val="fr-FR"/>
        </w:rPr>
        <w:t>’</w:t>
      </w:r>
      <w:r w:rsidRPr="002B7B76">
        <w:rPr>
          <w:lang w:val="fr-FR"/>
        </w:rPr>
        <w:t>une conduite de retour de gaz : »</w:t>
      </w:r>
    </w:p>
    <w:p w14:paraId="15F6D492" w14:textId="77777777" w:rsidR="004111D7" w:rsidRPr="00A43940" w:rsidRDefault="00C3452F" w:rsidP="00C3452F">
      <w:pPr>
        <w:pStyle w:val="SingleTxtG"/>
        <w:rPr>
          <w:lang w:val="fr-FR"/>
        </w:rPr>
      </w:pPr>
      <w:r>
        <w:rPr>
          <w:lang w:val="fr-FR"/>
        </w:rPr>
        <w:tab/>
      </w:r>
      <w:r>
        <w:rPr>
          <w:lang w:val="fr-FR"/>
        </w:rPr>
        <w:tab/>
        <w:t>f)</w:t>
      </w:r>
      <w:r>
        <w:rPr>
          <w:lang w:val="fr-FR"/>
        </w:rPr>
        <w:tab/>
      </w:r>
      <w:r w:rsidR="004111D7" w:rsidRPr="00A43940">
        <w:rPr>
          <w:lang w:val="fr-FR"/>
        </w:rPr>
        <w:t>Le 7.2.4.2.1 ADN est reformulé comme suit :</w:t>
      </w:r>
    </w:p>
    <w:p w14:paraId="39459CB6" w14:textId="39533007" w:rsidR="00C3452F" w:rsidRDefault="00C3452F" w:rsidP="00C3452F">
      <w:pPr>
        <w:pStyle w:val="SingleTxtG"/>
        <w:ind w:left="1701"/>
        <w:rPr>
          <w:lang w:val="fr-FR"/>
        </w:rPr>
      </w:pPr>
      <w:r>
        <w:rPr>
          <w:b/>
          <w:lang w:val="fr-FR"/>
        </w:rPr>
        <w:tab/>
      </w:r>
      <w:r w:rsidR="004111D7" w:rsidRPr="00A43940">
        <w:rPr>
          <w:b/>
          <w:lang w:val="fr-FR"/>
        </w:rPr>
        <w:t>« </w:t>
      </w:r>
      <w:r w:rsidR="004111D7" w:rsidRPr="00A43940">
        <w:rPr>
          <w:lang w:val="fr-FR"/>
        </w:rPr>
        <w:t>7.2.4.2.1</w:t>
      </w:r>
      <w:r w:rsidR="004111D7" w:rsidRPr="00A43940">
        <w:rPr>
          <w:lang w:val="fr-FR"/>
        </w:rPr>
        <w:tab/>
        <w:t>La réception à partir de bateaux de navigation intérieure de déchets liquides non emballés huileux et graisseux survenant lors de l</w:t>
      </w:r>
      <w:r w:rsidR="004111D7">
        <w:rPr>
          <w:rFonts w:hint="eastAsia"/>
          <w:lang w:val="fr-FR"/>
        </w:rPr>
        <w:t>’</w:t>
      </w:r>
      <w:r w:rsidR="004111D7" w:rsidRPr="00A43940">
        <w:rPr>
          <w:lang w:val="fr-FR"/>
        </w:rPr>
        <w:t>exploitation des bateaux doit être assurée par aspiration ; la réception à partir de navires de mer peut aussi être assurée par pressurisation. »</w:t>
      </w:r>
      <w:bookmarkStart w:id="0" w:name="_GoBack"/>
      <w:bookmarkEnd w:id="0"/>
    </w:p>
    <w:p w14:paraId="3E99CA62" w14:textId="77777777" w:rsidR="004111D7" w:rsidRPr="00A43940" w:rsidRDefault="00C3452F" w:rsidP="00C3452F">
      <w:pPr>
        <w:pStyle w:val="HChG"/>
        <w:rPr>
          <w:lang w:val="fr-FR"/>
        </w:rPr>
      </w:pPr>
      <w:r>
        <w:rPr>
          <w:lang w:val="fr-FR"/>
        </w:rPr>
        <w:tab/>
      </w:r>
      <w:r w:rsidR="004111D7" w:rsidRPr="00A43940">
        <w:rPr>
          <w:lang w:val="fr-FR"/>
        </w:rPr>
        <w:t>II.</w:t>
      </w:r>
      <w:r w:rsidR="004111D7" w:rsidRPr="00A43940">
        <w:rPr>
          <w:lang w:val="fr-FR"/>
        </w:rPr>
        <w:tab/>
        <w:t>Motifs</w:t>
      </w:r>
    </w:p>
    <w:p w14:paraId="2CF5EA65" w14:textId="77777777" w:rsidR="004111D7" w:rsidRPr="00A43940" w:rsidRDefault="004111D7" w:rsidP="00C3452F">
      <w:pPr>
        <w:pStyle w:val="SingleTxtG"/>
        <w:rPr>
          <w:lang w:val="fr-FR"/>
        </w:rPr>
      </w:pPr>
      <w:r>
        <w:rPr>
          <w:lang w:val="fr-FR"/>
        </w:rPr>
        <w:t>3</w:t>
      </w:r>
      <w:r w:rsidRPr="00A43940">
        <w:rPr>
          <w:lang w:val="fr-FR"/>
        </w:rPr>
        <w:t>.</w:t>
      </w:r>
      <w:r w:rsidRPr="00A43940">
        <w:rPr>
          <w:lang w:val="fr-FR"/>
        </w:rPr>
        <w:tab/>
        <w:t>En ce qui concerne l</w:t>
      </w:r>
      <w:r>
        <w:rPr>
          <w:rFonts w:hint="eastAsia"/>
          <w:lang w:val="fr-FR"/>
        </w:rPr>
        <w:t>’</w:t>
      </w:r>
      <w:r w:rsidRPr="00A43940">
        <w:rPr>
          <w:lang w:val="fr-FR"/>
        </w:rPr>
        <w:t>ajout d</w:t>
      </w:r>
      <w:r>
        <w:rPr>
          <w:rFonts w:hint="eastAsia"/>
          <w:lang w:val="fr-FR"/>
        </w:rPr>
        <w:t>’</w:t>
      </w:r>
      <w:r w:rsidRPr="00A43940">
        <w:rPr>
          <w:lang w:val="fr-FR"/>
        </w:rPr>
        <w:t xml:space="preserve">une nouvelle entrée dans le tableau C, nous renvoyons aux indications figurant dans le rapport du groupe de travail informel « Matières » soumis lors de la </w:t>
      </w:r>
      <w:r w:rsidR="005D02C9">
        <w:rPr>
          <w:lang w:val="fr-FR"/>
        </w:rPr>
        <w:t>trente-cinquième session</w:t>
      </w:r>
      <w:r w:rsidRPr="00A43940">
        <w:rPr>
          <w:lang w:val="fr-FR"/>
        </w:rPr>
        <w:t xml:space="preserve"> du Comité de sécurité de l</w:t>
      </w:r>
      <w:r>
        <w:rPr>
          <w:rFonts w:hint="eastAsia"/>
          <w:lang w:val="fr-FR"/>
        </w:rPr>
        <w:t>’</w:t>
      </w:r>
      <w:r w:rsidRPr="00A43940">
        <w:rPr>
          <w:lang w:val="fr-FR"/>
        </w:rPr>
        <w:t>ADN (document informel INF.7.).</w:t>
      </w:r>
    </w:p>
    <w:p w14:paraId="712DE188" w14:textId="77777777" w:rsidR="004111D7" w:rsidRPr="00A43940" w:rsidRDefault="004111D7" w:rsidP="004111D7">
      <w:pPr>
        <w:tabs>
          <w:tab w:val="left" w:pos="567"/>
        </w:tabs>
        <w:rPr>
          <w:iCs/>
          <w:szCs w:val="18"/>
          <w:lang w:val="fr-FR"/>
        </w:rPr>
      </w:pPr>
    </w:p>
    <w:p w14:paraId="08320B22" w14:textId="77777777" w:rsidR="004111D7" w:rsidRPr="00A43940" w:rsidRDefault="004111D7" w:rsidP="00C3452F">
      <w:pPr>
        <w:pStyle w:val="SingleTxtG"/>
        <w:rPr>
          <w:lang w:val="fr-FR"/>
        </w:rPr>
      </w:pPr>
      <w:r>
        <w:rPr>
          <w:lang w:val="fr-FR"/>
        </w:rPr>
        <w:lastRenderedPageBreak/>
        <w:t>4</w:t>
      </w:r>
      <w:r w:rsidRPr="00A43940">
        <w:rPr>
          <w:lang w:val="fr-FR"/>
        </w:rPr>
        <w:t>.</w:t>
      </w:r>
      <w:r w:rsidRPr="00A43940">
        <w:rPr>
          <w:lang w:val="fr-FR"/>
        </w:rPr>
        <w:tab/>
        <w:t>La distinction entre cette nouvelle entrée et la nouvelle entrée ONU 3082, MATIÈRE DANGEREUSE DU POINT DE VUE DE L</w:t>
      </w:r>
      <w:r>
        <w:rPr>
          <w:rFonts w:hint="eastAsia"/>
          <w:lang w:val="fr-FR"/>
        </w:rPr>
        <w:t>’</w:t>
      </w:r>
      <w:r w:rsidRPr="00A43940">
        <w:rPr>
          <w:lang w:val="fr-FR"/>
        </w:rPr>
        <w:t>ENVIRONNEMENT, LIQUIDE, N.S.A. (BOUES D</w:t>
      </w:r>
      <w:r>
        <w:rPr>
          <w:rFonts w:hint="eastAsia"/>
          <w:lang w:val="fr-FR"/>
        </w:rPr>
        <w:t>’</w:t>
      </w:r>
      <w:r w:rsidRPr="00A43940">
        <w:rPr>
          <w:lang w:val="fr-FR"/>
        </w:rPr>
        <w:t>HYDROCARBURES) peut être assurée comme suit :</w:t>
      </w:r>
    </w:p>
    <w:p w14:paraId="02E1BA0C" w14:textId="77777777" w:rsidR="004111D7" w:rsidRPr="00A43940" w:rsidRDefault="004111D7" w:rsidP="00C3452F">
      <w:pPr>
        <w:pStyle w:val="SingleTxtG"/>
        <w:ind w:left="1701"/>
        <w:rPr>
          <w:lang w:val="fr-FR"/>
        </w:rPr>
      </w:pPr>
      <w:r w:rsidRPr="00A43940">
        <w:rPr>
          <w:lang w:val="fr-FR"/>
        </w:rPr>
        <w:t xml:space="preserve">Les </w:t>
      </w:r>
      <w:r w:rsidRPr="00A43940">
        <w:rPr>
          <w:b/>
          <w:lang w:val="fr-FR"/>
        </w:rPr>
        <w:t>boues d</w:t>
      </w:r>
      <w:r>
        <w:rPr>
          <w:rFonts w:hint="eastAsia"/>
          <w:b/>
          <w:lang w:val="fr-FR"/>
        </w:rPr>
        <w:t>’</w:t>
      </w:r>
      <w:r w:rsidRPr="00A43940">
        <w:rPr>
          <w:b/>
          <w:lang w:val="fr-FR"/>
        </w:rPr>
        <w:t>hydrocarbures</w:t>
      </w:r>
      <w:r w:rsidRPr="00A43940">
        <w:rPr>
          <w:lang w:val="fr-FR"/>
        </w:rPr>
        <w:t xml:space="preserve"> en tant que telles sont de consistance pâteuse et sont plus proches d</w:t>
      </w:r>
      <w:r>
        <w:rPr>
          <w:rFonts w:hint="eastAsia"/>
          <w:lang w:val="fr-FR"/>
        </w:rPr>
        <w:t>’</w:t>
      </w:r>
      <w:r w:rsidRPr="00A43940">
        <w:rPr>
          <w:lang w:val="fr-FR"/>
        </w:rPr>
        <w:t xml:space="preserve">une matière solide, les </w:t>
      </w:r>
      <w:r w:rsidRPr="00A43940">
        <w:rPr>
          <w:b/>
          <w:lang w:val="fr-FR"/>
        </w:rPr>
        <w:t>eaux de fond de cale</w:t>
      </w:r>
      <w:r w:rsidRPr="00A43940">
        <w:rPr>
          <w:lang w:val="fr-FR"/>
        </w:rPr>
        <w:t xml:space="preserve"> sont des eaux contaminées, par exemple par la condensation (eau de condensation), les eaux de nettoyage et les infiltrations d</w:t>
      </w:r>
      <w:r>
        <w:rPr>
          <w:rFonts w:hint="eastAsia"/>
          <w:lang w:val="fr-FR"/>
        </w:rPr>
        <w:t>’</w:t>
      </w:r>
      <w:r w:rsidRPr="00A43940">
        <w:rPr>
          <w:lang w:val="fr-FR"/>
        </w:rPr>
        <w:t>eau. Aucune différenciation selon les proportions des mélanges intermédiaires qui sont théoriquement possibles n</w:t>
      </w:r>
      <w:r>
        <w:rPr>
          <w:rFonts w:hint="eastAsia"/>
          <w:lang w:val="fr-FR"/>
        </w:rPr>
        <w:t>’</w:t>
      </w:r>
      <w:r w:rsidRPr="00A43940">
        <w:rPr>
          <w:lang w:val="fr-FR"/>
        </w:rPr>
        <w:t>est pratiquée dans le cadre des processus mis en œuvre pour l</w:t>
      </w:r>
      <w:r>
        <w:rPr>
          <w:rFonts w:hint="eastAsia"/>
          <w:lang w:val="fr-FR"/>
        </w:rPr>
        <w:t>’</w:t>
      </w:r>
      <w:r w:rsidRPr="00A43940">
        <w:rPr>
          <w:lang w:val="fr-FR"/>
        </w:rPr>
        <w:t>exploitation quotidienne des bateaux, de sorte qu</w:t>
      </w:r>
      <w:r>
        <w:rPr>
          <w:rFonts w:hint="eastAsia"/>
          <w:lang w:val="fr-FR"/>
        </w:rPr>
        <w:t>’</w:t>
      </w:r>
      <w:r w:rsidRPr="00A43940">
        <w:rPr>
          <w:lang w:val="fr-FR"/>
        </w:rPr>
        <w:t>il n</w:t>
      </w:r>
      <w:r>
        <w:rPr>
          <w:rFonts w:hint="eastAsia"/>
          <w:lang w:val="fr-FR"/>
        </w:rPr>
        <w:t>’</w:t>
      </w:r>
      <w:r w:rsidRPr="00A43940">
        <w:rPr>
          <w:lang w:val="fr-FR"/>
        </w:rPr>
        <w:t>est pas nécessaire de préciser des pourcentages d</w:t>
      </w:r>
      <w:r>
        <w:rPr>
          <w:rFonts w:hint="eastAsia"/>
          <w:lang w:val="fr-FR"/>
        </w:rPr>
        <w:t>’</w:t>
      </w:r>
      <w:r w:rsidRPr="00A43940">
        <w:rPr>
          <w:lang w:val="fr-FR"/>
        </w:rPr>
        <w:t>eau de fond de cale par rapport à ceux des boues d</w:t>
      </w:r>
      <w:r>
        <w:rPr>
          <w:rFonts w:hint="eastAsia"/>
          <w:lang w:val="fr-FR"/>
        </w:rPr>
        <w:t>’</w:t>
      </w:r>
      <w:r w:rsidRPr="00A43940">
        <w:rPr>
          <w:lang w:val="fr-FR"/>
        </w:rPr>
        <w:t>hydrocarbures.</w:t>
      </w:r>
    </w:p>
    <w:p w14:paraId="28AB15A9" w14:textId="77777777" w:rsidR="004111D7" w:rsidRDefault="004111D7" w:rsidP="00C3452F">
      <w:pPr>
        <w:pStyle w:val="SingleTxtG"/>
        <w:rPr>
          <w:iCs/>
          <w:szCs w:val="18"/>
          <w:lang w:val="fr-FR"/>
        </w:rPr>
      </w:pPr>
      <w:r>
        <w:rPr>
          <w:lang w:val="fr-FR"/>
        </w:rPr>
        <w:t>5</w:t>
      </w:r>
      <w:r w:rsidRPr="00A43940">
        <w:rPr>
          <w:lang w:val="fr-FR"/>
        </w:rPr>
        <w:t>.</w:t>
      </w:r>
      <w:r w:rsidRPr="00A43940">
        <w:rPr>
          <w:lang w:val="fr-FR"/>
        </w:rPr>
        <w:tab/>
        <w:t>Les navires de mer ne sont pas équipés de systèmes de retour des gaz pour le dépôt de déchets survenant lors de l</w:t>
      </w:r>
      <w:r>
        <w:rPr>
          <w:rFonts w:hint="eastAsia"/>
          <w:lang w:val="fr-FR"/>
        </w:rPr>
        <w:t>’</w:t>
      </w:r>
      <w:r w:rsidRPr="00A43940">
        <w:rPr>
          <w:lang w:val="fr-FR"/>
        </w:rPr>
        <w:t>exploitation des bateaux ou pour le transbordement de cargaison de leurs citernes à cargaison vers des bateaux-citernes de navigation intérieure. L</w:t>
      </w:r>
      <w:r>
        <w:rPr>
          <w:rFonts w:hint="eastAsia"/>
          <w:lang w:val="fr-FR"/>
        </w:rPr>
        <w:t>’</w:t>
      </w:r>
      <w:r w:rsidRPr="00A43940">
        <w:rPr>
          <w:lang w:val="fr-FR"/>
        </w:rPr>
        <w:t>introduction dans l</w:t>
      </w:r>
      <w:r>
        <w:rPr>
          <w:rFonts w:hint="eastAsia"/>
          <w:lang w:val="fr-FR"/>
        </w:rPr>
        <w:t>’</w:t>
      </w:r>
      <w:r w:rsidRPr="00A43940">
        <w:rPr>
          <w:lang w:val="fr-FR"/>
        </w:rPr>
        <w:t>ADN d</w:t>
      </w:r>
      <w:r>
        <w:rPr>
          <w:rFonts w:hint="eastAsia"/>
          <w:lang w:val="fr-FR"/>
        </w:rPr>
        <w:t>’</w:t>
      </w:r>
      <w:r w:rsidRPr="00A43940">
        <w:rPr>
          <w:lang w:val="fr-FR"/>
        </w:rPr>
        <w:t>une telle prescription relative à la conception entraînerait une contradiction par rapport à la réglementation applicable à la navigation maritime.</w:t>
      </w:r>
    </w:p>
    <w:p w14:paraId="466AA9D2" w14:textId="77777777" w:rsidR="004111D7" w:rsidRPr="00A43940" w:rsidRDefault="004111D7" w:rsidP="00C3452F">
      <w:pPr>
        <w:pStyle w:val="SingleTxtG"/>
        <w:rPr>
          <w:lang w:val="fr-FR"/>
        </w:rPr>
      </w:pPr>
      <w:r>
        <w:rPr>
          <w:lang w:val="fr-FR"/>
        </w:rPr>
        <w:t>6</w:t>
      </w:r>
      <w:r w:rsidRPr="00A43940">
        <w:rPr>
          <w:lang w:val="fr-FR"/>
        </w:rPr>
        <w:t>.</w:t>
      </w:r>
      <w:r w:rsidRPr="00A43940">
        <w:rPr>
          <w:lang w:val="fr-FR"/>
        </w:rPr>
        <w:tab/>
        <w:t>Nous n</w:t>
      </w:r>
      <w:r>
        <w:rPr>
          <w:rFonts w:hint="eastAsia"/>
          <w:lang w:val="fr-FR"/>
        </w:rPr>
        <w:t>’</w:t>
      </w:r>
      <w:r w:rsidRPr="00A43940">
        <w:rPr>
          <w:lang w:val="fr-FR"/>
        </w:rPr>
        <w:t>avons pas connaissance, à bord de bateaux de navigation intérieure, de systèmes permettant l</w:t>
      </w:r>
      <w:r>
        <w:rPr>
          <w:rFonts w:hint="eastAsia"/>
          <w:lang w:val="fr-FR"/>
        </w:rPr>
        <w:t>’</w:t>
      </w:r>
      <w:r w:rsidRPr="00A43940">
        <w:rPr>
          <w:lang w:val="fr-FR"/>
        </w:rPr>
        <w:t>épuration ou la collecte du mélange gaz-air s</w:t>
      </w:r>
      <w:r>
        <w:rPr>
          <w:rFonts w:hint="eastAsia"/>
          <w:lang w:val="fr-FR"/>
        </w:rPr>
        <w:t>’</w:t>
      </w:r>
      <w:r w:rsidRPr="00A43940">
        <w:rPr>
          <w:lang w:val="fr-FR"/>
        </w:rPr>
        <w:t>échappant des citernes à cargaison desdits bateaux de navigation intérieure. De l</w:t>
      </w:r>
      <w:r>
        <w:rPr>
          <w:rFonts w:hint="eastAsia"/>
          <w:lang w:val="fr-FR"/>
        </w:rPr>
        <w:t>’</w:t>
      </w:r>
      <w:r w:rsidRPr="00A43940">
        <w:rPr>
          <w:lang w:val="fr-FR"/>
        </w:rPr>
        <w:t>avis de la délégation allemande, la conception et la mise à disposition de tels systèmes nécessiterait plusieurs années, avec une viabilité économique incertaine.</w:t>
      </w:r>
    </w:p>
    <w:p w14:paraId="0501BB54" w14:textId="77777777" w:rsidR="004111D7" w:rsidRPr="00A43940" w:rsidRDefault="004111D7" w:rsidP="00C3452F">
      <w:pPr>
        <w:pStyle w:val="SingleTxtG"/>
        <w:rPr>
          <w:lang w:val="fr-FR"/>
        </w:rPr>
      </w:pPr>
      <w:r>
        <w:rPr>
          <w:lang w:val="fr-FR"/>
        </w:rPr>
        <w:t>7</w:t>
      </w:r>
      <w:r w:rsidRPr="00A43940">
        <w:rPr>
          <w:lang w:val="fr-FR"/>
        </w:rPr>
        <w:t>.</w:t>
      </w:r>
      <w:r w:rsidRPr="00A43940">
        <w:rPr>
          <w:lang w:val="fr-FR"/>
        </w:rPr>
        <w:tab/>
        <w:t>La réception de déchets survenant lors de l</w:t>
      </w:r>
      <w:r>
        <w:rPr>
          <w:rFonts w:hint="eastAsia"/>
          <w:lang w:val="fr-FR"/>
        </w:rPr>
        <w:t>’</w:t>
      </w:r>
      <w:r w:rsidRPr="00A43940">
        <w:rPr>
          <w:lang w:val="fr-FR"/>
        </w:rPr>
        <w:t>exploitation des bateaux uniquement dans des citernes à cargaison dégazées ou exemptes de gaz serait certes possible sur le plan technique, mais les exploitants des bateaux-citernes récepteurs seraient confrontés à des difficultés logistiques considérables et cela nécessiterait des investissements importants pour l</w:t>
      </w:r>
      <w:r>
        <w:rPr>
          <w:rFonts w:hint="eastAsia"/>
          <w:lang w:val="fr-FR"/>
        </w:rPr>
        <w:t>’</w:t>
      </w:r>
      <w:r w:rsidRPr="00A43940">
        <w:rPr>
          <w:lang w:val="fr-FR"/>
        </w:rPr>
        <w:t>équipement des bateaux.</w:t>
      </w:r>
    </w:p>
    <w:p w14:paraId="2E7C376B" w14:textId="77777777" w:rsidR="004111D7" w:rsidRPr="00A43940" w:rsidRDefault="004111D7" w:rsidP="00C3452F">
      <w:pPr>
        <w:pStyle w:val="SingleTxtG"/>
        <w:rPr>
          <w:lang w:val="fr-FR"/>
        </w:rPr>
      </w:pPr>
      <w:r>
        <w:rPr>
          <w:lang w:val="fr-FR"/>
        </w:rPr>
        <w:t>8</w:t>
      </w:r>
      <w:r w:rsidRPr="00A43940">
        <w:rPr>
          <w:lang w:val="fr-FR"/>
        </w:rPr>
        <w:t>.</w:t>
      </w:r>
      <w:r w:rsidRPr="00A43940">
        <w:rPr>
          <w:lang w:val="fr-FR"/>
        </w:rPr>
        <w:tab/>
        <w:t>Il semble par conséquent disproportionné d</w:t>
      </w:r>
      <w:r>
        <w:rPr>
          <w:rFonts w:hint="eastAsia"/>
          <w:lang w:val="fr-FR"/>
        </w:rPr>
        <w:t>’</w:t>
      </w:r>
      <w:r w:rsidRPr="00A43940">
        <w:rPr>
          <w:lang w:val="fr-FR"/>
        </w:rPr>
        <w:t>appliquer le 7.2.4.2</w:t>
      </w:r>
      <w:r>
        <w:rPr>
          <w:lang w:val="fr-FR"/>
        </w:rPr>
        <w:t>5</w:t>
      </w:r>
      <w:r w:rsidRPr="00A43940">
        <w:rPr>
          <w:lang w:val="fr-FR"/>
        </w:rPr>
        <w:t xml:space="preserve">.5 </w:t>
      </w:r>
      <w:r w:rsidR="005D02C9">
        <w:rPr>
          <w:lang w:val="fr-FR"/>
        </w:rPr>
        <w:t>de l’</w:t>
      </w:r>
      <w:r w:rsidRPr="00A43940">
        <w:rPr>
          <w:lang w:val="fr-FR"/>
        </w:rPr>
        <w:t>ADN pour la réception à bord de bateaux-citernes de navigation intérieure des déchets survenant lors de l</w:t>
      </w:r>
      <w:r>
        <w:rPr>
          <w:rFonts w:hint="eastAsia"/>
          <w:lang w:val="fr-FR"/>
        </w:rPr>
        <w:t>’</w:t>
      </w:r>
      <w:r w:rsidRPr="00A43940">
        <w:rPr>
          <w:lang w:val="fr-FR"/>
        </w:rPr>
        <w:t>exploitation de navires de mer.</w:t>
      </w:r>
    </w:p>
    <w:p w14:paraId="6E66DCA9" w14:textId="77777777" w:rsidR="00C3452F" w:rsidRDefault="004111D7" w:rsidP="00C3452F">
      <w:pPr>
        <w:pStyle w:val="SingleTxtG"/>
        <w:rPr>
          <w:lang w:val="fr-FR"/>
        </w:rPr>
      </w:pPr>
      <w:r>
        <w:rPr>
          <w:lang w:val="fr-FR"/>
        </w:rPr>
        <w:t>9</w:t>
      </w:r>
      <w:r w:rsidRPr="00A43940">
        <w:rPr>
          <w:lang w:val="fr-FR"/>
        </w:rPr>
        <w:t>.</w:t>
      </w:r>
      <w:r w:rsidRPr="00A43940">
        <w:rPr>
          <w:lang w:val="fr-FR"/>
        </w:rPr>
        <w:tab/>
        <w:t>La rédaction du 7.2.4.2</w:t>
      </w:r>
      <w:r>
        <w:rPr>
          <w:lang w:val="fr-FR"/>
        </w:rPr>
        <w:t>5</w:t>
      </w:r>
      <w:r w:rsidRPr="00A43940">
        <w:rPr>
          <w:lang w:val="fr-FR"/>
        </w:rPr>
        <w:t xml:space="preserve">.5 </w:t>
      </w:r>
      <w:r w:rsidR="005D02C9">
        <w:rPr>
          <w:lang w:val="fr-FR"/>
        </w:rPr>
        <w:t>de l’</w:t>
      </w:r>
      <w:r w:rsidRPr="00A43940">
        <w:rPr>
          <w:lang w:val="fr-FR"/>
        </w:rPr>
        <w:t>ADN permet déjà une interprétation selon laquelle il n</w:t>
      </w:r>
      <w:r>
        <w:rPr>
          <w:rFonts w:hint="eastAsia"/>
          <w:lang w:val="fr-FR"/>
        </w:rPr>
        <w:t>’</w:t>
      </w:r>
      <w:r w:rsidRPr="00A43940">
        <w:rPr>
          <w:lang w:val="fr-FR"/>
        </w:rPr>
        <w:t>est pas applicable pour le chargement des citernes d</w:t>
      </w:r>
      <w:r>
        <w:rPr>
          <w:rFonts w:hint="eastAsia"/>
          <w:lang w:val="fr-FR"/>
        </w:rPr>
        <w:t>’</w:t>
      </w:r>
      <w:r w:rsidRPr="00A43940">
        <w:rPr>
          <w:lang w:val="fr-FR"/>
        </w:rPr>
        <w:t>un bateau de navigation intérieure avec des marchandises provenant d</w:t>
      </w:r>
      <w:r>
        <w:rPr>
          <w:rFonts w:hint="eastAsia"/>
          <w:lang w:val="fr-FR"/>
        </w:rPr>
        <w:t>’</w:t>
      </w:r>
      <w:r w:rsidRPr="00A43940">
        <w:rPr>
          <w:lang w:val="fr-FR"/>
        </w:rPr>
        <w:t>un navire (de mer) :</w:t>
      </w:r>
    </w:p>
    <w:p w14:paraId="7B2C2299" w14:textId="77777777" w:rsidR="004111D7" w:rsidRPr="00A43940" w:rsidRDefault="00C3452F" w:rsidP="00C3452F">
      <w:pPr>
        <w:pStyle w:val="SingleTxtG"/>
        <w:ind w:left="1701"/>
        <w:rPr>
          <w:lang w:val="fr-FR"/>
        </w:rPr>
      </w:pPr>
      <w:r>
        <w:rPr>
          <w:lang w:val="fr-FR"/>
        </w:rPr>
        <w:tab/>
      </w:r>
      <w:r w:rsidR="004111D7" w:rsidRPr="00A43940">
        <w:rPr>
          <w:lang w:val="fr-FR"/>
        </w:rPr>
        <w:t xml:space="preserve">« Les mélanges gaz-air survenant lors du chargement doivent être renvoyés </w:t>
      </w:r>
      <w:r w:rsidR="004111D7" w:rsidRPr="00A43940">
        <w:rPr>
          <w:b/>
          <w:u w:val="single"/>
          <w:lang w:val="fr-FR"/>
        </w:rPr>
        <w:t>à terre</w:t>
      </w:r>
      <w:r w:rsidR="004111D7" w:rsidRPr="00A43940">
        <w:rPr>
          <w:lang w:val="fr-FR"/>
        </w:rPr>
        <w:t xml:space="preserve"> au moyen d</w:t>
      </w:r>
      <w:r w:rsidR="004111D7">
        <w:rPr>
          <w:rFonts w:hint="eastAsia"/>
          <w:lang w:val="fr-FR"/>
        </w:rPr>
        <w:t>’</w:t>
      </w:r>
      <w:r w:rsidR="004111D7" w:rsidRPr="00A43940">
        <w:rPr>
          <w:lang w:val="fr-FR"/>
        </w:rPr>
        <w:t>une conduite de retour de gaz : »</w:t>
      </w:r>
    </w:p>
    <w:p w14:paraId="6738344D" w14:textId="77777777" w:rsidR="004111D7" w:rsidRPr="00A43940" w:rsidRDefault="004111D7" w:rsidP="00C3452F">
      <w:pPr>
        <w:pStyle w:val="SingleTxtG"/>
        <w:rPr>
          <w:lang w:val="fr-FR"/>
        </w:rPr>
      </w:pPr>
      <w:r w:rsidRPr="00A43940">
        <w:rPr>
          <w:lang w:val="fr-FR"/>
        </w:rPr>
        <w:t>Cette exigence n</w:t>
      </w:r>
      <w:r>
        <w:rPr>
          <w:rFonts w:hint="eastAsia"/>
          <w:lang w:val="fr-FR"/>
        </w:rPr>
        <w:t>’</w:t>
      </w:r>
      <w:r w:rsidRPr="00A43940">
        <w:rPr>
          <w:lang w:val="fr-FR"/>
        </w:rPr>
        <w:t>est pas pertinente lorsqu</w:t>
      </w:r>
      <w:r>
        <w:rPr>
          <w:rFonts w:hint="eastAsia"/>
          <w:lang w:val="fr-FR"/>
        </w:rPr>
        <w:t>’</w:t>
      </w:r>
      <w:r w:rsidRPr="00A43940">
        <w:rPr>
          <w:lang w:val="fr-FR"/>
        </w:rPr>
        <w:t>il ne s</w:t>
      </w:r>
      <w:r>
        <w:rPr>
          <w:rFonts w:hint="eastAsia"/>
          <w:lang w:val="fr-FR"/>
        </w:rPr>
        <w:t>’</w:t>
      </w:r>
      <w:r w:rsidRPr="00A43940">
        <w:rPr>
          <w:lang w:val="fr-FR"/>
        </w:rPr>
        <w:t>agit pas d</w:t>
      </w:r>
      <w:r>
        <w:rPr>
          <w:rFonts w:hint="eastAsia"/>
          <w:lang w:val="fr-FR"/>
        </w:rPr>
        <w:t>’</w:t>
      </w:r>
      <w:r w:rsidRPr="00A43940">
        <w:rPr>
          <w:lang w:val="fr-FR"/>
        </w:rPr>
        <w:t>un chargement depuis la terre.</w:t>
      </w:r>
    </w:p>
    <w:p w14:paraId="723B5D63" w14:textId="77777777" w:rsidR="004111D7" w:rsidRPr="00A43940" w:rsidRDefault="004111D7" w:rsidP="00C3452F">
      <w:pPr>
        <w:pStyle w:val="SingleTxtG"/>
        <w:rPr>
          <w:iCs/>
          <w:szCs w:val="18"/>
          <w:lang w:val="fr-FR"/>
        </w:rPr>
      </w:pPr>
      <w:r w:rsidRPr="00A43940">
        <w:rPr>
          <w:lang w:val="fr-FR"/>
        </w:rPr>
        <w:t>1</w:t>
      </w:r>
      <w:r>
        <w:rPr>
          <w:lang w:val="fr-FR"/>
        </w:rPr>
        <w:t>0</w:t>
      </w:r>
      <w:r w:rsidRPr="00A43940">
        <w:rPr>
          <w:lang w:val="fr-FR"/>
        </w:rPr>
        <w:t>.</w:t>
      </w:r>
      <w:r w:rsidRPr="00A43940">
        <w:rPr>
          <w:lang w:val="fr-FR"/>
        </w:rPr>
        <w:tab/>
        <w:t>Par souci de clarification, le 7.2.4.2</w:t>
      </w:r>
      <w:r>
        <w:rPr>
          <w:lang w:val="fr-FR"/>
        </w:rPr>
        <w:t>5</w:t>
      </w:r>
      <w:r w:rsidRPr="00A43940">
        <w:rPr>
          <w:lang w:val="fr-FR"/>
        </w:rPr>
        <w:t>.5 devrait être modifié tel que proposé. La proposition comprend aussi une clarification concernant l</w:t>
      </w:r>
      <w:r>
        <w:rPr>
          <w:rFonts w:hint="eastAsia"/>
          <w:lang w:val="fr-FR"/>
        </w:rPr>
        <w:t>’</w:t>
      </w:r>
      <w:r w:rsidRPr="00A43940">
        <w:rPr>
          <w:lang w:val="fr-FR"/>
        </w:rPr>
        <w:t>endroit où surviennent les mélanges gaz-air concernés.</w:t>
      </w:r>
    </w:p>
    <w:p w14:paraId="6A7AA2FC" w14:textId="77777777" w:rsidR="004111D7" w:rsidRPr="00A43940" w:rsidRDefault="004111D7" w:rsidP="00C3452F">
      <w:pPr>
        <w:pStyle w:val="SingleTxtG"/>
        <w:rPr>
          <w:lang w:val="fr-FR"/>
        </w:rPr>
      </w:pPr>
      <w:r w:rsidRPr="00A43940">
        <w:rPr>
          <w:lang w:val="fr-FR"/>
        </w:rPr>
        <w:t>1</w:t>
      </w:r>
      <w:r>
        <w:rPr>
          <w:lang w:val="fr-FR"/>
        </w:rPr>
        <w:t>1</w:t>
      </w:r>
      <w:r w:rsidRPr="00A43940">
        <w:rPr>
          <w:lang w:val="fr-FR"/>
        </w:rPr>
        <w:t>.</w:t>
      </w:r>
      <w:r w:rsidRPr="00A43940">
        <w:rPr>
          <w:lang w:val="fr-FR"/>
        </w:rPr>
        <w:tab/>
        <w:t>Cela signifie toutefois que, bien qu</w:t>
      </w:r>
      <w:r>
        <w:rPr>
          <w:rFonts w:hint="eastAsia"/>
          <w:lang w:val="fr-FR"/>
        </w:rPr>
        <w:t>’</w:t>
      </w:r>
      <w:r w:rsidRPr="00A43940">
        <w:rPr>
          <w:lang w:val="fr-FR"/>
        </w:rPr>
        <w:t xml:space="preserve">aient été identifiées les caractéristiques </w:t>
      </w:r>
      <w:r w:rsidR="002F73B8" w:rsidRPr="002F73B8">
        <w:rPr>
          <w:iCs/>
          <w:sz w:val="22"/>
          <w:szCs w:val="22"/>
          <w:lang w:val="fr-FR"/>
        </w:rPr>
        <w:t>cancérigènes, mutagènes ou toxiques pour la reproduction</w:t>
      </w:r>
      <w:r w:rsidR="002F73B8" w:rsidRPr="00A43940">
        <w:rPr>
          <w:lang w:val="fr-FR"/>
        </w:rPr>
        <w:t xml:space="preserve"> </w:t>
      </w:r>
      <w:r w:rsidR="002F73B8">
        <w:rPr>
          <w:lang w:val="fr-FR"/>
        </w:rPr>
        <w:t>(</w:t>
      </w:r>
      <w:r w:rsidRPr="00A43940">
        <w:rPr>
          <w:lang w:val="fr-FR"/>
        </w:rPr>
        <w:t>CMR</w:t>
      </w:r>
      <w:r w:rsidR="002F73B8">
        <w:rPr>
          <w:lang w:val="fr-FR"/>
        </w:rPr>
        <w:t>)</w:t>
      </w:r>
      <w:r w:rsidRPr="00A43940">
        <w:rPr>
          <w:lang w:val="fr-FR"/>
        </w:rPr>
        <w:t xml:space="preserve"> des déchets survenant lors de l</w:t>
      </w:r>
      <w:r>
        <w:rPr>
          <w:rFonts w:hint="eastAsia"/>
          <w:lang w:val="fr-FR"/>
        </w:rPr>
        <w:t>’</w:t>
      </w:r>
      <w:r w:rsidRPr="00A43940">
        <w:rPr>
          <w:lang w:val="fr-FR"/>
        </w:rPr>
        <w:t>exploitation du bateau, qu</w:t>
      </w:r>
      <w:r>
        <w:rPr>
          <w:rFonts w:hint="eastAsia"/>
          <w:lang w:val="fr-FR"/>
        </w:rPr>
        <w:t>’</w:t>
      </w:r>
      <w:r w:rsidRPr="00A43940">
        <w:rPr>
          <w:lang w:val="fr-FR"/>
        </w:rPr>
        <w:t>il s</w:t>
      </w:r>
      <w:r>
        <w:rPr>
          <w:rFonts w:hint="eastAsia"/>
          <w:lang w:val="fr-FR"/>
        </w:rPr>
        <w:t>’</w:t>
      </w:r>
      <w:r w:rsidRPr="00A43940">
        <w:rPr>
          <w:lang w:val="fr-FR"/>
        </w:rPr>
        <w:t>agisse de « MATIÈRE DANGEREUSE DU POINT DE VUE DE L</w:t>
      </w:r>
      <w:r>
        <w:rPr>
          <w:rFonts w:hint="eastAsia"/>
          <w:lang w:val="fr-FR"/>
        </w:rPr>
        <w:t>’</w:t>
      </w:r>
      <w:r w:rsidRPr="00A43940">
        <w:rPr>
          <w:lang w:val="fr-FR"/>
        </w:rPr>
        <w:t>ENVIRONNEMENT, LIQUIDE, N.S.A., (EAU DE FOND DE CALE, EXEMPTE DE BOUES D</w:t>
      </w:r>
      <w:r>
        <w:rPr>
          <w:rFonts w:hint="eastAsia"/>
          <w:lang w:val="fr-FR"/>
        </w:rPr>
        <w:t>’</w:t>
      </w:r>
      <w:r w:rsidRPr="00A43940">
        <w:rPr>
          <w:lang w:val="fr-FR"/>
        </w:rPr>
        <w:t>HYDROCARBURES) » ou de « MATIÈRE DANGEREUSE DU POINT DE VUE DE L</w:t>
      </w:r>
      <w:r>
        <w:rPr>
          <w:rFonts w:hint="eastAsia"/>
          <w:lang w:val="fr-FR"/>
        </w:rPr>
        <w:t>’</w:t>
      </w:r>
      <w:r w:rsidRPr="00A43940">
        <w:rPr>
          <w:lang w:val="fr-FR"/>
        </w:rPr>
        <w:t>ENVIRONNEMENT, LIQUIDE, N.S.A.,(EAU DE FOND DE CALE, CONTIENT DES BOUES D</w:t>
      </w:r>
      <w:r>
        <w:rPr>
          <w:rFonts w:hint="eastAsia"/>
          <w:lang w:val="fr-FR"/>
        </w:rPr>
        <w:t>’</w:t>
      </w:r>
      <w:r w:rsidRPr="00A43940">
        <w:rPr>
          <w:lang w:val="fr-FR"/>
        </w:rPr>
        <w:t>HYDROCARBURES) », des mélanges gaz-air seraient libérés dans l</w:t>
      </w:r>
      <w:r>
        <w:rPr>
          <w:rFonts w:hint="eastAsia"/>
          <w:lang w:val="fr-FR"/>
        </w:rPr>
        <w:t>’</w:t>
      </w:r>
      <w:r w:rsidRPr="00A43940">
        <w:rPr>
          <w:lang w:val="fr-FR"/>
        </w:rPr>
        <w:t>air ambiant et le personnel présent à bord serait exposé à des matières CMR.</w:t>
      </w:r>
    </w:p>
    <w:p w14:paraId="7DCB9FD8" w14:textId="77777777" w:rsidR="004111D7" w:rsidRPr="00A43940" w:rsidRDefault="004111D7" w:rsidP="00C3452F">
      <w:pPr>
        <w:pStyle w:val="SingleTxtG"/>
        <w:rPr>
          <w:lang w:val="fr-FR"/>
        </w:rPr>
      </w:pPr>
      <w:r w:rsidRPr="00A43940">
        <w:rPr>
          <w:lang w:val="fr-FR"/>
        </w:rPr>
        <w:t>1</w:t>
      </w:r>
      <w:r>
        <w:rPr>
          <w:lang w:val="fr-FR"/>
        </w:rPr>
        <w:t>2</w:t>
      </w:r>
      <w:r w:rsidRPr="00A43940">
        <w:rPr>
          <w:lang w:val="fr-FR"/>
        </w:rPr>
        <w:t>.</w:t>
      </w:r>
      <w:r w:rsidRPr="00A43940">
        <w:rPr>
          <w:lang w:val="fr-FR"/>
        </w:rPr>
        <w:tab/>
        <w:t>ONU 3082 ne fait pas partie des cargaisons pour lesquelles l</w:t>
      </w:r>
      <w:r>
        <w:rPr>
          <w:rFonts w:hint="eastAsia"/>
          <w:lang w:val="fr-FR"/>
        </w:rPr>
        <w:t>’</w:t>
      </w:r>
      <w:r w:rsidRPr="00A43940">
        <w:rPr>
          <w:lang w:val="fr-FR"/>
        </w:rPr>
        <w:t xml:space="preserve">amendement à la </w:t>
      </w:r>
      <w:r w:rsidR="002F73B8">
        <w:rPr>
          <w:lang w:val="fr-FR"/>
        </w:rPr>
        <w:t>C</w:t>
      </w:r>
      <w:proofErr w:type="spellStart"/>
      <w:r w:rsidR="002F73B8" w:rsidRPr="002F73B8">
        <w:rPr>
          <w:rFonts w:asciiTheme="majorBidi" w:hAnsiTheme="majorBidi" w:cstheme="majorBidi"/>
        </w:rPr>
        <w:t>onvention</w:t>
      </w:r>
      <w:proofErr w:type="spellEnd"/>
      <w:r w:rsidR="00CC0C72" w:rsidRPr="002F73B8">
        <w:rPr>
          <w:rFonts w:asciiTheme="majorBidi" w:hAnsiTheme="majorBidi" w:cstheme="majorBidi"/>
        </w:rPr>
        <w:t xml:space="preserve"> relative à la collecte, au dépôt et à la réception des déchets survenant en navigation rhénane et intérieure</w:t>
      </w:r>
      <w:r w:rsidR="00CC0C72" w:rsidRPr="00CC0C72">
        <w:rPr>
          <w:lang w:val="fr-FR"/>
        </w:rPr>
        <w:t xml:space="preserve"> </w:t>
      </w:r>
      <w:r w:rsidR="002F73B8">
        <w:rPr>
          <w:lang w:val="fr-FR"/>
        </w:rPr>
        <w:t>(</w:t>
      </w:r>
      <w:r w:rsidRPr="00A43940">
        <w:rPr>
          <w:lang w:val="fr-FR"/>
        </w:rPr>
        <w:t>CDNI</w:t>
      </w:r>
      <w:r w:rsidR="002F73B8">
        <w:rPr>
          <w:lang w:val="fr-FR"/>
        </w:rPr>
        <w:t>)</w:t>
      </w:r>
      <w:r w:rsidRPr="00A43940">
        <w:rPr>
          <w:lang w:val="fr-FR"/>
        </w:rPr>
        <w:t xml:space="preserve"> adopté en 2017 interdit le dégazage. De même, ONU 3082 n</w:t>
      </w:r>
      <w:r>
        <w:rPr>
          <w:rFonts w:hint="eastAsia"/>
          <w:lang w:val="fr-FR"/>
        </w:rPr>
        <w:t>’</w:t>
      </w:r>
      <w:r w:rsidRPr="00A43940">
        <w:rPr>
          <w:lang w:val="fr-FR"/>
        </w:rPr>
        <w:t>est pas une matière pour laquelle seraient pertinentes la directive européenne sur les COV et ses interdictions de rejet. Le 7.2.3.7</w:t>
      </w:r>
      <w:r w:rsidR="002F73B8">
        <w:rPr>
          <w:lang w:val="fr-FR"/>
        </w:rPr>
        <w:t xml:space="preserve"> de l’</w:t>
      </w:r>
      <w:r w:rsidRPr="00A43940">
        <w:rPr>
          <w:lang w:val="fr-FR"/>
        </w:rPr>
        <w:t xml:space="preserve">ADN ne porte pas sur la libération de </w:t>
      </w:r>
      <w:r w:rsidRPr="00A43940">
        <w:rPr>
          <w:lang w:val="fr-FR"/>
        </w:rPr>
        <w:lastRenderedPageBreak/>
        <w:t>mélanges gaz-air survenant en liaison avec le chargement, mais seulement sur les mesures de dégazage actives et indépendantes.</w:t>
      </w:r>
    </w:p>
    <w:p w14:paraId="07C01CCE" w14:textId="77777777" w:rsidR="004111D7" w:rsidRPr="00A43940" w:rsidRDefault="004111D7" w:rsidP="00C3452F">
      <w:pPr>
        <w:pStyle w:val="SingleTxtG"/>
        <w:rPr>
          <w:lang w:val="fr-FR"/>
        </w:rPr>
      </w:pPr>
      <w:r w:rsidRPr="00A43940">
        <w:rPr>
          <w:lang w:val="fr-FR"/>
        </w:rPr>
        <w:t>1</w:t>
      </w:r>
      <w:r>
        <w:rPr>
          <w:lang w:val="fr-FR"/>
        </w:rPr>
        <w:t>3</w:t>
      </w:r>
      <w:r w:rsidRPr="00A43940">
        <w:rPr>
          <w:lang w:val="fr-FR"/>
        </w:rPr>
        <w:t>.</w:t>
      </w:r>
      <w:r w:rsidRPr="00A43940">
        <w:rPr>
          <w:lang w:val="fr-FR"/>
        </w:rPr>
        <w:tab/>
        <w:t>Dans les ports maritimes sont susceptibles d</w:t>
      </w:r>
      <w:r>
        <w:rPr>
          <w:rFonts w:hint="eastAsia"/>
          <w:lang w:val="fr-FR"/>
        </w:rPr>
        <w:t>’</w:t>
      </w:r>
      <w:r w:rsidRPr="00A43940">
        <w:rPr>
          <w:lang w:val="fr-FR"/>
        </w:rPr>
        <w:t>être applicables des prescriptions locales ou nationales interdisant le rejet du mélange gaz-air dans l</w:t>
      </w:r>
      <w:r>
        <w:rPr>
          <w:rFonts w:hint="eastAsia"/>
          <w:lang w:val="fr-FR"/>
        </w:rPr>
        <w:t>’</w:t>
      </w:r>
      <w:r w:rsidRPr="00A43940">
        <w:rPr>
          <w:lang w:val="fr-FR"/>
        </w:rPr>
        <w:t>atmosphère, indépendamment de la réglementation relative aux marchandises dangereuses. La délégation allemande estime que dans ce cas il incombe aux autorités portuaires nationales de prescrire des installations de collecte et de nettoyage en vertu de réglementations autres que l</w:t>
      </w:r>
      <w:r>
        <w:rPr>
          <w:rFonts w:hint="eastAsia"/>
          <w:lang w:val="fr-FR"/>
        </w:rPr>
        <w:t>’</w:t>
      </w:r>
      <w:r w:rsidRPr="00A43940">
        <w:rPr>
          <w:lang w:val="fr-FR"/>
        </w:rPr>
        <w:t>ADN.</w:t>
      </w:r>
    </w:p>
    <w:p w14:paraId="701DBDB6" w14:textId="77777777" w:rsidR="004111D7" w:rsidRDefault="004111D7" w:rsidP="00C3452F">
      <w:pPr>
        <w:pStyle w:val="SingleTxtG"/>
        <w:rPr>
          <w:lang w:val="fr-FR"/>
        </w:rPr>
      </w:pPr>
      <w:r w:rsidRPr="00A43940">
        <w:rPr>
          <w:lang w:val="fr-FR"/>
        </w:rPr>
        <w:t>1</w:t>
      </w:r>
      <w:r>
        <w:rPr>
          <w:lang w:val="fr-FR"/>
        </w:rPr>
        <w:t>4</w:t>
      </w:r>
      <w:r w:rsidRPr="00A43940">
        <w:rPr>
          <w:lang w:val="fr-FR"/>
        </w:rPr>
        <w:t>.</w:t>
      </w:r>
      <w:r w:rsidRPr="00A43940">
        <w:rPr>
          <w:lang w:val="fr-FR"/>
        </w:rPr>
        <w:tab/>
        <w:t>La protection du personnel qui intervient lors de la réception des déchets survenant lors de l</w:t>
      </w:r>
      <w:r>
        <w:rPr>
          <w:rFonts w:hint="eastAsia"/>
          <w:lang w:val="fr-FR"/>
        </w:rPr>
        <w:t>’</w:t>
      </w:r>
      <w:r w:rsidRPr="00A43940">
        <w:rPr>
          <w:lang w:val="fr-FR"/>
        </w:rPr>
        <w:t>exploitation du bateau peut être assurée par une exposition aussi brève que nécessaire et possible des personnes à bord au mélange gaz-air qui est libéré et en exigeant le port d</w:t>
      </w:r>
      <w:r>
        <w:rPr>
          <w:rFonts w:hint="eastAsia"/>
          <w:lang w:val="fr-FR"/>
        </w:rPr>
        <w:t>’</w:t>
      </w:r>
      <w:r w:rsidRPr="00A43940">
        <w:rPr>
          <w:lang w:val="fr-FR"/>
        </w:rPr>
        <w:t>un équipement de protection individuelle. En outre, le mélange gaz-air survenant dans les citernes à cargaison réceptrices du bateau de navigation intérieure pourrait être évacué par une tuyauterie d</w:t>
      </w:r>
      <w:r>
        <w:rPr>
          <w:rFonts w:hint="eastAsia"/>
          <w:lang w:val="fr-FR"/>
        </w:rPr>
        <w:t>’</w:t>
      </w:r>
      <w:r w:rsidRPr="00A43940">
        <w:rPr>
          <w:lang w:val="fr-FR"/>
        </w:rPr>
        <w:t>évacuation de l</w:t>
      </w:r>
      <w:r>
        <w:rPr>
          <w:rFonts w:hint="eastAsia"/>
          <w:lang w:val="fr-FR"/>
        </w:rPr>
        <w:t>’</w:t>
      </w:r>
      <w:r w:rsidRPr="00A43940">
        <w:rPr>
          <w:lang w:val="fr-FR"/>
        </w:rPr>
        <w:t>air de telle sorte que les personnes à bord des bateaux concernés ne soient pas exposées au mélange gaz-air. Le texte proposé est inspiré de la réglementation nationale allemande sur la santé et la sécurité au travail, elle-même basée sur la réglementation de l</w:t>
      </w:r>
      <w:r>
        <w:rPr>
          <w:rFonts w:hint="eastAsia"/>
          <w:lang w:val="fr-FR"/>
        </w:rPr>
        <w:t>’</w:t>
      </w:r>
      <w:r w:rsidRPr="00A43940">
        <w:rPr>
          <w:lang w:val="fr-FR"/>
        </w:rPr>
        <w:t>Union européenne. La teneur de ces réglementations devrait par conséquent être identique pour toutes les Parties contractantes à l</w:t>
      </w:r>
      <w:r>
        <w:rPr>
          <w:rFonts w:hint="eastAsia"/>
          <w:lang w:val="fr-FR"/>
        </w:rPr>
        <w:t>’</w:t>
      </w:r>
      <w:r w:rsidRPr="00A43940">
        <w:rPr>
          <w:lang w:val="fr-FR"/>
        </w:rPr>
        <w:t>ADN qui sont également membres de l</w:t>
      </w:r>
      <w:r>
        <w:rPr>
          <w:rFonts w:hint="eastAsia"/>
          <w:lang w:val="fr-FR"/>
        </w:rPr>
        <w:t>’</w:t>
      </w:r>
      <w:r w:rsidRPr="00A43940">
        <w:rPr>
          <w:lang w:val="fr-FR"/>
        </w:rPr>
        <w:t>Union européenne.</w:t>
      </w:r>
    </w:p>
    <w:p w14:paraId="4003D5C5" w14:textId="77777777" w:rsidR="004111D7" w:rsidRPr="00A43940" w:rsidRDefault="004111D7" w:rsidP="00C3452F">
      <w:pPr>
        <w:pStyle w:val="SingleTxtG"/>
        <w:rPr>
          <w:iCs/>
          <w:szCs w:val="18"/>
          <w:lang w:val="fr-FR"/>
        </w:rPr>
      </w:pPr>
      <w:r w:rsidRPr="00A43940">
        <w:rPr>
          <w:lang w:val="fr-FR"/>
        </w:rPr>
        <w:t>1</w:t>
      </w:r>
      <w:r>
        <w:rPr>
          <w:lang w:val="fr-FR"/>
        </w:rPr>
        <w:t>5</w:t>
      </w:r>
      <w:r w:rsidRPr="00A43940">
        <w:rPr>
          <w:lang w:val="fr-FR"/>
        </w:rPr>
        <w:t>.</w:t>
      </w:r>
      <w:r w:rsidRPr="00A43940">
        <w:rPr>
          <w:lang w:val="fr-FR"/>
        </w:rPr>
        <w:tab/>
        <w:t>Pour la réception par des bateaux de navigation intérieure de déchets survenant lors de l</w:t>
      </w:r>
      <w:r>
        <w:rPr>
          <w:rFonts w:hint="eastAsia"/>
          <w:lang w:val="fr-FR"/>
        </w:rPr>
        <w:t>’</w:t>
      </w:r>
      <w:r w:rsidRPr="00A43940">
        <w:rPr>
          <w:lang w:val="fr-FR"/>
        </w:rPr>
        <w:t>exploitation des bateaux, il convient en outre de tenir compte du 7.2.4.2.1 ADN. Il est prescrit que la réception à partir de bateaux de navigation intérieure de déchets liquides non emballés huileux et graisseux survenant lors de l</w:t>
      </w:r>
      <w:r>
        <w:rPr>
          <w:rFonts w:hint="eastAsia"/>
          <w:lang w:val="fr-FR"/>
        </w:rPr>
        <w:t>’</w:t>
      </w:r>
      <w:r w:rsidRPr="00A43940">
        <w:rPr>
          <w:lang w:val="fr-FR"/>
        </w:rPr>
        <w:t>exploitation des bateaux doit être assurée par aspiration. Or, selon les informations dont dispose la délégation allemande, la réception de déchets survenant lors de l</w:t>
      </w:r>
      <w:r>
        <w:rPr>
          <w:rFonts w:hint="eastAsia"/>
          <w:lang w:val="fr-FR"/>
        </w:rPr>
        <w:t>’</w:t>
      </w:r>
      <w:r w:rsidRPr="00A43940">
        <w:rPr>
          <w:lang w:val="fr-FR"/>
        </w:rPr>
        <w:t>exploitation des bateaux à partir de navire de mer est toujours assurée par pressurisation à bord du navire de mer et pompage vers le bâtiment qui assure la collecte. Compte tenu du nombre élevé des opérations effectuées dans un port maritime, il ne semble pas réaliste d</w:t>
      </w:r>
      <w:r>
        <w:rPr>
          <w:rFonts w:hint="eastAsia"/>
          <w:lang w:val="fr-FR"/>
        </w:rPr>
        <w:t>’</w:t>
      </w:r>
      <w:r w:rsidRPr="00A43940">
        <w:rPr>
          <w:lang w:val="fr-FR"/>
        </w:rPr>
        <w:t>exiger à chaque fois une dérogation de l</w:t>
      </w:r>
      <w:r>
        <w:rPr>
          <w:rFonts w:hint="eastAsia"/>
          <w:lang w:val="fr-FR"/>
        </w:rPr>
        <w:t>’</w:t>
      </w:r>
      <w:r w:rsidRPr="00A43940">
        <w:rPr>
          <w:lang w:val="fr-FR"/>
        </w:rPr>
        <w:t>autorité compétente conformément au 7.2.4.2.4 ADN.</w:t>
      </w:r>
    </w:p>
    <w:p w14:paraId="6E2CBAB5" w14:textId="77777777" w:rsidR="004111D7" w:rsidRDefault="004111D7" w:rsidP="00C3452F">
      <w:pPr>
        <w:pStyle w:val="SingleTxtG"/>
        <w:rPr>
          <w:iCs/>
          <w:szCs w:val="18"/>
          <w:lang w:val="fr-FR"/>
        </w:rPr>
      </w:pPr>
      <w:r w:rsidRPr="00A43940">
        <w:rPr>
          <w:iCs/>
          <w:szCs w:val="18"/>
          <w:lang w:val="fr-FR"/>
        </w:rPr>
        <w:t>1</w:t>
      </w:r>
      <w:r>
        <w:rPr>
          <w:iCs/>
          <w:szCs w:val="18"/>
          <w:lang w:val="fr-FR"/>
        </w:rPr>
        <w:t>6</w:t>
      </w:r>
      <w:r w:rsidRPr="00A43940">
        <w:rPr>
          <w:iCs/>
          <w:szCs w:val="18"/>
          <w:lang w:val="fr-FR"/>
        </w:rPr>
        <w:t>.</w:t>
      </w:r>
      <w:r w:rsidRPr="00A43940">
        <w:rPr>
          <w:iCs/>
          <w:szCs w:val="18"/>
          <w:lang w:val="fr-FR"/>
        </w:rPr>
        <w:tab/>
        <w:t>L</w:t>
      </w:r>
      <w:r>
        <w:rPr>
          <w:rFonts w:hint="eastAsia"/>
          <w:iCs/>
          <w:szCs w:val="18"/>
          <w:lang w:val="fr-FR"/>
        </w:rPr>
        <w:t>’</w:t>
      </w:r>
      <w:r w:rsidRPr="00A43940">
        <w:rPr>
          <w:iCs/>
          <w:szCs w:val="18"/>
          <w:lang w:val="fr-FR"/>
        </w:rPr>
        <w:t>Allemagne invite le Comité de sécurité à examiner les considérations ci-avant et à prendre les mesures appropriées.</w:t>
      </w:r>
    </w:p>
    <w:p w14:paraId="4503B148" w14:textId="77777777" w:rsidR="00C3452F" w:rsidRPr="00C3452F" w:rsidRDefault="00C3452F" w:rsidP="00C3452F">
      <w:pPr>
        <w:spacing w:before="240"/>
        <w:jc w:val="center"/>
        <w:rPr>
          <w:u w:val="single"/>
          <w:lang w:val="fr-FR"/>
        </w:rPr>
      </w:pPr>
      <w:r>
        <w:rPr>
          <w:u w:val="single"/>
          <w:lang w:val="fr-FR"/>
        </w:rPr>
        <w:tab/>
      </w:r>
      <w:r>
        <w:rPr>
          <w:u w:val="single"/>
          <w:lang w:val="fr-FR"/>
        </w:rPr>
        <w:tab/>
      </w:r>
      <w:r>
        <w:rPr>
          <w:u w:val="single"/>
          <w:lang w:val="fr-FR"/>
        </w:rPr>
        <w:tab/>
      </w:r>
    </w:p>
    <w:sectPr w:rsidR="00C3452F" w:rsidRPr="00C3452F" w:rsidSect="00C3452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FB719" w14:textId="77777777" w:rsidR="0001671C" w:rsidRDefault="0001671C" w:rsidP="00F95C08">
      <w:pPr>
        <w:spacing w:line="240" w:lineRule="auto"/>
      </w:pPr>
    </w:p>
  </w:endnote>
  <w:endnote w:type="continuationSeparator" w:id="0">
    <w:p w14:paraId="779AB0F9" w14:textId="77777777" w:rsidR="0001671C" w:rsidRPr="00AC3823" w:rsidRDefault="0001671C" w:rsidP="00AC3823">
      <w:pPr>
        <w:pStyle w:val="Footer"/>
      </w:pPr>
    </w:p>
  </w:endnote>
  <w:endnote w:type="continuationNotice" w:id="1">
    <w:p w14:paraId="60CB43E7" w14:textId="77777777" w:rsidR="0001671C" w:rsidRDefault="000167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06C8" w14:textId="77777777" w:rsidR="0001671C" w:rsidRPr="0001671C" w:rsidRDefault="0001671C" w:rsidP="0001671C">
    <w:pPr>
      <w:pStyle w:val="Footer"/>
      <w:tabs>
        <w:tab w:val="right" w:pos="9638"/>
      </w:tabs>
      <w:rPr>
        <w:sz w:val="18"/>
      </w:rPr>
    </w:pPr>
    <w:r w:rsidRPr="0001671C">
      <w:rPr>
        <w:b/>
        <w:sz w:val="18"/>
      </w:rPr>
      <w:fldChar w:fldCharType="begin"/>
    </w:r>
    <w:r w:rsidRPr="0001671C">
      <w:rPr>
        <w:b/>
        <w:sz w:val="18"/>
      </w:rPr>
      <w:instrText xml:space="preserve"> PAGE  \* MERGEFORMAT </w:instrText>
    </w:r>
    <w:r w:rsidRPr="0001671C">
      <w:rPr>
        <w:b/>
        <w:sz w:val="18"/>
      </w:rPr>
      <w:fldChar w:fldCharType="separate"/>
    </w:r>
    <w:r w:rsidRPr="0001671C">
      <w:rPr>
        <w:b/>
        <w:noProof/>
        <w:sz w:val="18"/>
      </w:rPr>
      <w:t>2</w:t>
    </w:r>
    <w:r w:rsidRPr="000167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B261" w14:textId="77777777" w:rsidR="0001671C" w:rsidRPr="0001671C" w:rsidRDefault="0001671C" w:rsidP="0001671C">
    <w:pPr>
      <w:pStyle w:val="Footer"/>
      <w:tabs>
        <w:tab w:val="right" w:pos="9638"/>
      </w:tabs>
      <w:rPr>
        <w:b/>
        <w:sz w:val="18"/>
      </w:rPr>
    </w:pPr>
    <w:r>
      <w:tab/>
    </w:r>
    <w:r w:rsidRPr="0001671C">
      <w:rPr>
        <w:b/>
        <w:sz w:val="18"/>
      </w:rPr>
      <w:fldChar w:fldCharType="begin"/>
    </w:r>
    <w:r w:rsidRPr="0001671C">
      <w:rPr>
        <w:b/>
        <w:sz w:val="18"/>
      </w:rPr>
      <w:instrText xml:space="preserve"> PAGE  \* MERGEFORMAT </w:instrText>
    </w:r>
    <w:r w:rsidRPr="0001671C">
      <w:rPr>
        <w:b/>
        <w:sz w:val="18"/>
      </w:rPr>
      <w:fldChar w:fldCharType="separate"/>
    </w:r>
    <w:r w:rsidRPr="0001671C">
      <w:rPr>
        <w:b/>
        <w:noProof/>
        <w:sz w:val="18"/>
      </w:rPr>
      <w:t>3</w:t>
    </w:r>
    <w:r w:rsidRPr="000167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EF8F" w14:textId="77777777" w:rsidR="000D3EE9" w:rsidRPr="0001671C"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1F57" w14:textId="77777777" w:rsidR="0001671C" w:rsidRPr="00AC3823" w:rsidRDefault="0001671C" w:rsidP="00AC3823">
      <w:pPr>
        <w:pStyle w:val="Footer"/>
        <w:tabs>
          <w:tab w:val="right" w:pos="2155"/>
        </w:tabs>
        <w:spacing w:after="80" w:line="240" w:lineRule="atLeast"/>
        <w:ind w:left="680"/>
        <w:rPr>
          <w:u w:val="single"/>
        </w:rPr>
      </w:pPr>
      <w:r>
        <w:rPr>
          <w:u w:val="single"/>
        </w:rPr>
        <w:tab/>
      </w:r>
    </w:p>
  </w:footnote>
  <w:footnote w:type="continuationSeparator" w:id="0">
    <w:p w14:paraId="23A9D559" w14:textId="77777777" w:rsidR="0001671C" w:rsidRPr="00AC3823" w:rsidRDefault="0001671C" w:rsidP="00AC3823">
      <w:pPr>
        <w:pStyle w:val="Footer"/>
        <w:tabs>
          <w:tab w:val="right" w:pos="2155"/>
        </w:tabs>
        <w:spacing w:after="80" w:line="240" w:lineRule="atLeast"/>
        <w:ind w:left="680"/>
        <w:rPr>
          <w:u w:val="single"/>
        </w:rPr>
      </w:pPr>
      <w:r>
        <w:rPr>
          <w:u w:val="single"/>
        </w:rPr>
        <w:tab/>
      </w:r>
    </w:p>
  </w:footnote>
  <w:footnote w:type="continuationNotice" w:id="1">
    <w:p w14:paraId="22DA6778" w14:textId="77777777" w:rsidR="0001671C" w:rsidRPr="00AC3823" w:rsidRDefault="0001671C">
      <w:pPr>
        <w:spacing w:line="240" w:lineRule="auto"/>
        <w:rPr>
          <w:sz w:val="2"/>
          <w:szCs w:val="2"/>
        </w:rPr>
      </w:pPr>
    </w:p>
  </w:footnote>
  <w:footnote w:id="2">
    <w:p w14:paraId="2A5AA74D" w14:textId="77777777" w:rsidR="0069256E" w:rsidRPr="0069256E" w:rsidRDefault="0069256E">
      <w:pPr>
        <w:pStyle w:val="FootnoteText"/>
        <w:rPr>
          <w:szCs w:val="18"/>
        </w:rPr>
      </w:pPr>
      <w:r>
        <w:rPr>
          <w:rStyle w:val="FootnoteReference"/>
        </w:rPr>
        <w:tab/>
      </w:r>
      <w:r w:rsidRPr="00CD4C64">
        <w:rPr>
          <w:rStyle w:val="FootnoteReference"/>
          <w:sz w:val="20"/>
        </w:rPr>
        <w:t>*</w:t>
      </w:r>
      <w:r>
        <w:rPr>
          <w:rStyle w:val="FootnoteReference"/>
          <w:sz w:val="20"/>
          <w:vertAlign w:val="baseline"/>
        </w:rPr>
        <w:tab/>
      </w:r>
      <w:r w:rsidRPr="0069256E">
        <w:rPr>
          <w:szCs w:val="18"/>
          <w:lang w:val="fr-FR"/>
        </w:rPr>
        <w:t>Diffusé en langue allemande par la Commission centrale pour la navigation du Rhin sous la cote CCNR/ZKR/ADN/WP.15/AC.2/2020/</w:t>
      </w:r>
      <w:r w:rsidR="00563C67">
        <w:rPr>
          <w:szCs w:val="18"/>
          <w:lang w:val="fr-FR"/>
        </w:rPr>
        <w:t>7</w:t>
      </w:r>
      <w:r w:rsidRPr="0069256E">
        <w:rPr>
          <w:szCs w:val="18"/>
          <w:lang w:val="fr-FR"/>
        </w:rPr>
        <w:t>.</w:t>
      </w:r>
    </w:p>
  </w:footnote>
  <w:footnote w:id="3">
    <w:p w14:paraId="72D11182" w14:textId="77777777" w:rsidR="0069256E" w:rsidRPr="0069256E" w:rsidRDefault="0069256E">
      <w:pPr>
        <w:pStyle w:val="FootnoteText"/>
      </w:pPr>
      <w:r>
        <w:rPr>
          <w:rStyle w:val="FootnoteReference"/>
        </w:rPr>
        <w:tab/>
      </w:r>
      <w:r w:rsidRPr="00CD4C64">
        <w:rPr>
          <w:rStyle w:val="FootnoteReference"/>
          <w:sz w:val="20"/>
        </w:rPr>
        <w:t>**</w:t>
      </w:r>
      <w:r>
        <w:rPr>
          <w:rStyle w:val="FootnoteReference"/>
          <w:sz w:val="20"/>
          <w:vertAlign w:val="baseline"/>
        </w:rPr>
        <w:tab/>
      </w:r>
      <w:r w:rsidRPr="0069256E">
        <w:rPr>
          <w:szCs w:val="18"/>
          <w:lang w:val="fr-FR"/>
        </w:rPr>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058BB" w14:textId="77777777" w:rsidR="0001671C" w:rsidRPr="0001671C" w:rsidRDefault="00C3452F">
    <w:pPr>
      <w:pStyle w:val="Header"/>
    </w:pPr>
    <w:r>
      <w:t>ECE/TRANS/WP.15/AC.2/2020/7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277E" w14:textId="77777777" w:rsidR="0001671C" w:rsidRPr="0001671C" w:rsidRDefault="00C3452F" w:rsidP="00C3452F">
    <w:pPr>
      <w:pStyle w:val="Header"/>
      <w:jc w:val="right"/>
    </w:pPr>
    <w:r>
      <w:t>ECE/TRANS/WP.15/AC.2/2020/7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D7B1310"/>
    <w:multiLevelType w:val="hybridMultilevel"/>
    <w:tmpl w:val="4B9C12D8"/>
    <w:lvl w:ilvl="0" w:tplc="2F121E3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C954DE9"/>
    <w:multiLevelType w:val="hybridMultilevel"/>
    <w:tmpl w:val="4B9C12D8"/>
    <w:lvl w:ilvl="0" w:tplc="2F121E3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01671C"/>
    <w:rsid w:val="0001207F"/>
    <w:rsid w:val="0001671C"/>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60309"/>
    <w:rsid w:val="00176178"/>
    <w:rsid w:val="00177140"/>
    <w:rsid w:val="001D400F"/>
    <w:rsid w:val="001F525A"/>
    <w:rsid w:val="00223272"/>
    <w:rsid w:val="00240333"/>
    <w:rsid w:val="0024779E"/>
    <w:rsid w:val="002832AC"/>
    <w:rsid w:val="002D67B1"/>
    <w:rsid w:val="002D7C93"/>
    <w:rsid w:val="002F73B8"/>
    <w:rsid w:val="0037241C"/>
    <w:rsid w:val="003819FF"/>
    <w:rsid w:val="004111D7"/>
    <w:rsid w:val="00441C3B"/>
    <w:rsid w:val="00446B0A"/>
    <w:rsid w:val="00446FE5"/>
    <w:rsid w:val="00452396"/>
    <w:rsid w:val="00471288"/>
    <w:rsid w:val="0049687C"/>
    <w:rsid w:val="004A584A"/>
    <w:rsid w:val="004E468C"/>
    <w:rsid w:val="004F44D5"/>
    <w:rsid w:val="005316B0"/>
    <w:rsid w:val="005505B7"/>
    <w:rsid w:val="00563C67"/>
    <w:rsid w:val="00573BE5"/>
    <w:rsid w:val="0057592B"/>
    <w:rsid w:val="00586ED3"/>
    <w:rsid w:val="00596AA9"/>
    <w:rsid w:val="005B4D0F"/>
    <w:rsid w:val="005D02C9"/>
    <w:rsid w:val="0069256E"/>
    <w:rsid w:val="00703D0F"/>
    <w:rsid w:val="00706363"/>
    <w:rsid w:val="007158BB"/>
    <w:rsid w:val="0071601D"/>
    <w:rsid w:val="00717F30"/>
    <w:rsid w:val="0072165C"/>
    <w:rsid w:val="0075410D"/>
    <w:rsid w:val="007A62E6"/>
    <w:rsid w:val="0080684C"/>
    <w:rsid w:val="008204DA"/>
    <w:rsid w:val="008535AD"/>
    <w:rsid w:val="00871C75"/>
    <w:rsid w:val="008767E8"/>
    <w:rsid w:val="008776DC"/>
    <w:rsid w:val="00883605"/>
    <w:rsid w:val="008A0BE7"/>
    <w:rsid w:val="008B7349"/>
    <w:rsid w:val="008E6043"/>
    <w:rsid w:val="00921E8F"/>
    <w:rsid w:val="00961E7B"/>
    <w:rsid w:val="009705C8"/>
    <w:rsid w:val="009C1CF4"/>
    <w:rsid w:val="009F02C9"/>
    <w:rsid w:val="00A144DD"/>
    <w:rsid w:val="00A30353"/>
    <w:rsid w:val="00A62D91"/>
    <w:rsid w:val="00A90D54"/>
    <w:rsid w:val="00AA113A"/>
    <w:rsid w:val="00AC3823"/>
    <w:rsid w:val="00AE323C"/>
    <w:rsid w:val="00AF774C"/>
    <w:rsid w:val="00B00181"/>
    <w:rsid w:val="00B00B0D"/>
    <w:rsid w:val="00B0775E"/>
    <w:rsid w:val="00B37CC3"/>
    <w:rsid w:val="00B40927"/>
    <w:rsid w:val="00B50E25"/>
    <w:rsid w:val="00B64918"/>
    <w:rsid w:val="00B765F7"/>
    <w:rsid w:val="00BA0CA9"/>
    <w:rsid w:val="00C02897"/>
    <w:rsid w:val="00C1626B"/>
    <w:rsid w:val="00C3452F"/>
    <w:rsid w:val="00C66A47"/>
    <w:rsid w:val="00C7616F"/>
    <w:rsid w:val="00CB16B5"/>
    <w:rsid w:val="00CC0C72"/>
    <w:rsid w:val="00CD4C64"/>
    <w:rsid w:val="00CE0608"/>
    <w:rsid w:val="00D3439C"/>
    <w:rsid w:val="00D44CF3"/>
    <w:rsid w:val="00D46C8C"/>
    <w:rsid w:val="00DB1831"/>
    <w:rsid w:val="00DD3BFD"/>
    <w:rsid w:val="00DE239D"/>
    <w:rsid w:val="00DF431C"/>
    <w:rsid w:val="00DF6678"/>
    <w:rsid w:val="00E04245"/>
    <w:rsid w:val="00E428C8"/>
    <w:rsid w:val="00EF2E22"/>
    <w:rsid w:val="00F0592C"/>
    <w:rsid w:val="00F06ED4"/>
    <w:rsid w:val="00F122F3"/>
    <w:rsid w:val="00F13EC7"/>
    <w:rsid w:val="00F43289"/>
    <w:rsid w:val="00F660DF"/>
    <w:rsid w:val="00F953E0"/>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060CB4"/>
  <w15:docId w15:val="{27F8F36A-85AB-4A7B-BBFD-2A4F67C5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styleId="ListParagraph">
    <w:name w:val="List Paragraph"/>
    <w:basedOn w:val="Normal"/>
    <w:uiPriority w:val="34"/>
    <w:qFormat/>
    <w:rsid w:val="004111D7"/>
    <w:pPr>
      <w:widowControl w:val="0"/>
      <w:suppressAutoHyphens w:val="0"/>
      <w:kinsoku/>
      <w:snapToGrid/>
      <w:spacing w:line="240" w:lineRule="auto"/>
      <w:ind w:left="720" w:hanging="1134"/>
      <w:contextualSpacing/>
      <w:jc w:val="both"/>
      <w:textAlignment w:val="baseline"/>
    </w:pPr>
    <w:rPr>
      <w:lang w:val="de-DE" w:eastAsia="fr-FR"/>
    </w:rPr>
  </w:style>
  <w:style w:type="character" w:styleId="CommentReference">
    <w:name w:val="annotation reference"/>
    <w:basedOn w:val="DefaultParagraphFont"/>
    <w:uiPriority w:val="99"/>
    <w:semiHidden/>
    <w:unhideWhenUsed/>
    <w:rsid w:val="004A584A"/>
    <w:rPr>
      <w:sz w:val="16"/>
      <w:szCs w:val="16"/>
    </w:rPr>
  </w:style>
  <w:style w:type="paragraph" w:styleId="CommentText">
    <w:name w:val="annotation text"/>
    <w:basedOn w:val="Normal"/>
    <w:link w:val="CommentTextChar"/>
    <w:uiPriority w:val="99"/>
    <w:semiHidden/>
    <w:unhideWhenUsed/>
    <w:rsid w:val="004A584A"/>
    <w:pPr>
      <w:spacing w:line="240" w:lineRule="auto"/>
    </w:pPr>
  </w:style>
  <w:style w:type="character" w:customStyle="1" w:styleId="CommentTextChar">
    <w:name w:val="Comment Text Char"/>
    <w:basedOn w:val="DefaultParagraphFont"/>
    <w:link w:val="CommentText"/>
    <w:uiPriority w:val="99"/>
    <w:semiHidden/>
    <w:rsid w:val="004A584A"/>
  </w:style>
  <w:style w:type="paragraph" w:styleId="CommentSubject">
    <w:name w:val="annotation subject"/>
    <w:basedOn w:val="CommentText"/>
    <w:next w:val="CommentText"/>
    <w:link w:val="CommentSubjectChar"/>
    <w:uiPriority w:val="99"/>
    <w:semiHidden/>
    <w:unhideWhenUsed/>
    <w:rsid w:val="004A584A"/>
    <w:rPr>
      <w:b/>
      <w:bCs/>
    </w:rPr>
  </w:style>
  <w:style w:type="character" w:customStyle="1" w:styleId="CommentSubjectChar">
    <w:name w:val="Comment Subject Char"/>
    <w:basedOn w:val="CommentTextChar"/>
    <w:link w:val="CommentSubject"/>
    <w:uiPriority w:val="99"/>
    <w:semiHidden/>
    <w:rsid w:val="004A584A"/>
    <w:rPr>
      <w:b/>
      <w:bCs/>
    </w:rPr>
  </w:style>
  <w:style w:type="paragraph" w:styleId="Revision">
    <w:name w:val="Revision"/>
    <w:hidden/>
    <w:uiPriority w:val="99"/>
    <w:semiHidden/>
    <w:rsid w:val="004A5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0</TotalTime>
  <Pages>4</Pages>
  <Words>1849</Words>
  <Characters>9787</Characters>
  <Application>Microsoft Office Word</Application>
  <DocSecurity>0</DocSecurity>
  <Lines>815</Lines>
  <Paragraphs>554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ECE/TRANS/WP.15/AC.2/2020/6</vt:lpstr>
      <vt:lpstr>ECE/EX/22</vt:lpstr>
    </vt:vector>
  </TitlesOfParts>
  <Company>DCM</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ECE/TRANS/WP.15/AC.2/2020/6</dc:title>
  <dc:subject>FINAL</dc:subject>
  <dc:creator>Marie-Claude Collet</dc:creator>
  <cp:keywords/>
  <dc:description/>
  <cp:lastModifiedBy>Marie-Claude Collet</cp:lastModifiedBy>
  <cp:revision>2</cp:revision>
  <cp:lastPrinted>2019-11-11T14:32:00Z</cp:lastPrinted>
  <dcterms:created xsi:type="dcterms:W3CDTF">2019-11-15T10:13:00Z</dcterms:created>
  <dcterms:modified xsi:type="dcterms:W3CDTF">2019-11-15T10:13:00Z</dcterms:modified>
</cp:coreProperties>
</file>