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6081749F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7B8DA36" w14:textId="7F3EE73C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998040F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7E0A75D" w14:textId="3FA1975D" w:rsidR="001433FD" w:rsidRPr="00DB58B5" w:rsidRDefault="00C378C8" w:rsidP="00B3309A">
            <w:pPr>
              <w:jc w:val="right"/>
            </w:pPr>
            <w:r w:rsidRPr="00C378C8">
              <w:rPr>
                <w:sz w:val="40"/>
              </w:rPr>
              <w:t>ECE</w:t>
            </w:r>
            <w:r>
              <w:t>/TRANS/WP.15/AC.2/2020/26</w:t>
            </w:r>
          </w:p>
        </w:tc>
      </w:tr>
      <w:tr w:rsidR="001433FD" w:rsidRPr="00DB58B5" w14:paraId="15D2886D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163EFCC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5CE3AF0" wp14:editId="03B7FC8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F33E80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B182B9" w14:textId="77777777" w:rsidR="0001207F" w:rsidRDefault="00B3309A" w:rsidP="00B3309A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63F0E552" w14:textId="28D8299E" w:rsidR="00B3309A" w:rsidRDefault="00937FD3" w:rsidP="00B3309A">
            <w:pPr>
              <w:spacing w:line="240" w:lineRule="exact"/>
            </w:pPr>
            <w:r>
              <w:t>29</w:t>
            </w:r>
            <w:r w:rsidR="00725913">
              <w:t xml:space="preserve"> </w:t>
            </w:r>
            <w:r w:rsidR="00A818A2">
              <w:t>mai</w:t>
            </w:r>
            <w:r w:rsidR="00B3309A">
              <w:t xml:space="preserve"> 20</w:t>
            </w:r>
            <w:r w:rsidR="00733A99">
              <w:t>20</w:t>
            </w:r>
          </w:p>
          <w:p w14:paraId="2B9A6D35" w14:textId="77777777" w:rsidR="00B3309A" w:rsidRDefault="00B3309A" w:rsidP="00B3309A">
            <w:pPr>
              <w:spacing w:line="240" w:lineRule="exact"/>
            </w:pPr>
          </w:p>
          <w:p w14:paraId="5E5C4BBD" w14:textId="77777777" w:rsidR="00B3309A" w:rsidRPr="00DB58B5" w:rsidRDefault="00B3309A" w:rsidP="00B3309A">
            <w:pPr>
              <w:spacing w:line="240" w:lineRule="exact"/>
            </w:pPr>
            <w:r>
              <w:t>Original : français</w:t>
            </w:r>
          </w:p>
        </w:tc>
      </w:tr>
    </w:tbl>
    <w:p w14:paraId="48C86D40" w14:textId="0B9093B6" w:rsidR="00996B54" w:rsidRDefault="00996B54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</w:t>
      </w:r>
      <w:r w:rsidR="00B6085B">
        <w:rPr>
          <w:rFonts w:hint="eastAsia"/>
          <w:b/>
          <w:sz w:val="28"/>
          <w:szCs w:val="28"/>
        </w:rPr>
        <w:t>'</w:t>
      </w:r>
      <w:r w:rsidRPr="00883605">
        <w:rPr>
          <w:b/>
          <w:sz w:val="28"/>
          <w:szCs w:val="28"/>
        </w:rPr>
        <w:t>Europe</w:t>
      </w:r>
    </w:p>
    <w:p w14:paraId="4C141E2B" w14:textId="339AD400" w:rsidR="00996B54" w:rsidRDefault="00996B54" w:rsidP="0081170A">
      <w:pPr>
        <w:tabs>
          <w:tab w:val="left" w:pos="5691"/>
        </w:tabs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AD6435E" w14:textId="77777777" w:rsidR="00996B54" w:rsidRPr="009E01B8" w:rsidRDefault="00996B54" w:rsidP="00FD1581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48E34EA1" w14:textId="77777777" w:rsidR="00996B54" w:rsidRPr="004812F5" w:rsidRDefault="00996B54" w:rsidP="00FD1581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1D5D0E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BE75AE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BE75AE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534C5C64" w14:textId="43DB2CC6" w:rsidR="00996B54" w:rsidRPr="00234E40" w:rsidRDefault="00996B54" w:rsidP="00FD1581">
      <w:pPr>
        <w:spacing w:before="120"/>
        <w:rPr>
          <w:b/>
        </w:rPr>
      </w:pPr>
      <w:r>
        <w:rPr>
          <w:b/>
        </w:rPr>
        <w:t>Trente-</w:t>
      </w:r>
      <w:r w:rsidR="00733A99">
        <w:rPr>
          <w:b/>
        </w:rPr>
        <w:t>septi</w:t>
      </w:r>
      <w:r>
        <w:rPr>
          <w:b/>
        </w:rPr>
        <w:t xml:space="preserve">ème </w:t>
      </w:r>
      <w:r w:rsidRPr="00234E40">
        <w:rPr>
          <w:b/>
        </w:rPr>
        <w:t>session</w:t>
      </w:r>
    </w:p>
    <w:p w14:paraId="3381435E" w14:textId="6F489325" w:rsidR="00996B54" w:rsidRDefault="00996B54" w:rsidP="00FD1581">
      <w:r>
        <w:t>Genève, 2</w:t>
      </w:r>
      <w:r w:rsidR="00733A99">
        <w:t>4</w:t>
      </w:r>
      <w:r>
        <w:t>-</w:t>
      </w:r>
      <w:r w:rsidR="00733A99">
        <w:t>28</w:t>
      </w:r>
      <w:r>
        <w:t xml:space="preserve"> </w:t>
      </w:r>
      <w:r w:rsidR="00733A99">
        <w:t>août</w:t>
      </w:r>
      <w:r w:rsidR="00BD650C">
        <w:t xml:space="preserve"> 2020</w:t>
      </w:r>
    </w:p>
    <w:p w14:paraId="01023B3A" w14:textId="4F99BB06" w:rsidR="00996B54" w:rsidRDefault="00996B54" w:rsidP="00FD1581">
      <w:r w:rsidRPr="00B93E72">
        <w:t xml:space="preserve">Point </w:t>
      </w:r>
      <w:r w:rsidR="00937FD3">
        <w:t>3 c</w:t>
      </w:r>
      <w:r w:rsidR="00BD650C">
        <w:t>)</w:t>
      </w:r>
      <w:r>
        <w:t xml:space="preserve"> </w:t>
      </w:r>
      <w:r w:rsidRPr="00B93E72">
        <w:t>de l</w:t>
      </w:r>
      <w:r w:rsidR="00BE75AE">
        <w:t>’</w:t>
      </w:r>
      <w:r w:rsidRPr="00B93E72">
        <w:t>ordre du jour provisoire</w:t>
      </w:r>
    </w:p>
    <w:p w14:paraId="4DA6DDE3" w14:textId="56488AD6" w:rsidR="00C1626B" w:rsidRPr="00937FD3" w:rsidRDefault="00937FD3" w:rsidP="00F06ED4">
      <w:pPr>
        <w:rPr>
          <w:b/>
          <w:bCs/>
        </w:rPr>
      </w:pPr>
      <w:r w:rsidRPr="00A818A2">
        <w:rPr>
          <w:b/>
          <w:bCs/>
        </w:rPr>
        <w:t>Mise en œuvre</w:t>
      </w:r>
      <w:r w:rsidRPr="00A818A2">
        <w:rPr>
          <w:b/>
          <w:bCs/>
          <w:lang w:val="fr-FR"/>
        </w:rPr>
        <w:t xml:space="preserve"> de l’Accord européen relatif au transport</w:t>
      </w:r>
      <w:r w:rsidR="00721A42">
        <w:rPr>
          <w:b/>
          <w:bCs/>
          <w:lang w:val="fr-FR"/>
        </w:rPr>
        <w:br/>
      </w:r>
      <w:r w:rsidRPr="00A818A2">
        <w:rPr>
          <w:b/>
          <w:bCs/>
          <w:lang w:val="fr-FR"/>
        </w:rPr>
        <w:t xml:space="preserve">international des marchandises dangereuses par voies </w:t>
      </w:r>
      <w:r w:rsidR="00721A42">
        <w:rPr>
          <w:b/>
          <w:bCs/>
          <w:lang w:val="fr-FR"/>
        </w:rPr>
        <w:br/>
      </w:r>
      <w:r w:rsidRPr="00A818A2">
        <w:rPr>
          <w:b/>
          <w:bCs/>
          <w:lang w:val="fr-FR"/>
        </w:rPr>
        <w:t>de navigation intérieures (ADN</w:t>
      </w:r>
      <w:proofErr w:type="gramStart"/>
      <w:r w:rsidRPr="00A818A2">
        <w:rPr>
          <w:b/>
          <w:bCs/>
          <w:lang w:val="fr-FR"/>
        </w:rPr>
        <w:t>):</w:t>
      </w:r>
      <w:proofErr w:type="gramEnd"/>
      <w:r w:rsidR="00BD650C" w:rsidRPr="00937FD3">
        <w:rPr>
          <w:b/>
          <w:bCs/>
        </w:rPr>
        <w:br/>
      </w:r>
      <w:r w:rsidRPr="00A818A2">
        <w:rPr>
          <w:b/>
          <w:bCs/>
        </w:rPr>
        <w:t>interprétation du Règlement annexé à l'ADN</w:t>
      </w:r>
    </w:p>
    <w:p w14:paraId="34EEDE14" w14:textId="2CF2781F" w:rsidR="00160F85" w:rsidRPr="00160F85" w:rsidRDefault="00BD650C" w:rsidP="00160F85">
      <w:pPr>
        <w:pStyle w:val="HChG"/>
        <w:rPr>
          <w:b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160F85" w:rsidRPr="00160F85">
        <w:rPr>
          <w:bCs/>
          <w:lang w:val="fr-FR"/>
        </w:rPr>
        <w:t xml:space="preserve">3.2.3.2 Tableau C de l'ADN, </w:t>
      </w:r>
      <w:r w:rsidR="00937FD3">
        <w:rPr>
          <w:bCs/>
          <w:lang w:val="fr-FR"/>
        </w:rPr>
        <w:t xml:space="preserve">No. </w:t>
      </w:r>
      <w:r w:rsidR="00160F85" w:rsidRPr="00160F85">
        <w:rPr>
          <w:bCs/>
          <w:lang w:val="fr-FR"/>
        </w:rPr>
        <w:t>ONU 1999</w:t>
      </w:r>
    </w:p>
    <w:p w14:paraId="7B68222B" w14:textId="3B6BF79E" w:rsidR="00BD650C" w:rsidRPr="00F262D2" w:rsidRDefault="00BD650C" w:rsidP="0081170A">
      <w:pPr>
        <w:pStyle w:val="H1G"/>
        <w:rPr>
          <w:snapToGrid w:val="0"/>
          <w:vertAlign w:val="superscript"/>
          <w:lang w:val="fr-FR"/>
        </w:rPr>
      </w:pP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="003F7675" w:rsidRPr="003F7675">
        <w:rPr>
          <w:snapToGrid w:val="0"/>
          <w:lang w:val="fr-FR"/>
        </w:rPr>
        <w:t>Communication du Gouvernement de l’</w:t>
      </w:r>
      <w:r w:rsidR="0081170A" w:rsidRPr="0081170A">
        <w:rPr>
          <w:snapToGrid w:val="0"/>
          <w:lang w:val="fr-FR"/>
        </w:rPr>
        <w:t>Allemagne</w:t>
      </w:r>
      <w:r w:rsidR="003F7675" w:rsidRPr="003F7675">
        <w:rPr>
          <w:snapToGrid w:val="0"/>
        </w:rPr>
        <w:t xml:space="preserve"> </w:t>
      </w:r>
      <w:r w:rsidRPr="00946636">
        <w:rPr>
          <w:rStyle w:val="FootnoteReference"/>
          <w:snapToGrid w:val="0"/>
          <w:sz w:val="20"/>
        </w:rPr>
        <w:footnoteReference w:customMarkFollows="1" w:id="2"/>
        <w:t>*</w:t>
      </w:r>
      <w:r w:rsidRPr="00946636">
        <w:rPr>
          <w:snapToGrid w:val="0"/>
          <w:sz w:val="20"/>
          <w:vertAlign w:val="superscript"/>
        </w:rPr>
        <w:t>,</w:t>
      </w:r>
      <w:r w:rsidR="00C60354" w:rsidRPr="00946636">
        <w:rPr>
          <w:rStyle w:val="FootnoteReference"/>
          <w:snapToGrid w:val="0"/>
          <w:sz w:val="20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160F85" w14:paraId="311BBD39" w14:textId="77777777" w:rsidTr="00160F85">
        <w:trPr>
          <w:jc w:val="center"/>
        </w:trPr>
        <w:tc>
          <w:tcPr>
            <w:tcW w:w="9628" w:type="dxa"/>
            <w:shd w:val="clear" w:color="auto" w:fill="auto"/>
          </w:tcPr>
          <w:p w14:paraId="0EB782A5" w14:textId="77777777" w:rsidR="00160F85" w:rsidRPr="00C6263E" w:rsidRDefault="00160F85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 xml:space="preserve">Résumé </w:t>
            </w:r>
          </w:p>
        </w:tc>
      </w:tr>
      <w:tr w:rsidR="00160F85" w14:paraId="29045D12" w14:textId="77777777" w:rsidTr="00160F85">
        <w:trPr>
          <w:jc w:val="center"/>
        </w:trPr>
        <w:tc>
          <w:tcPr>
            <w:tcW w:w="9628" w:type="dxa"/>
            <w:shd w:val="clear" w:color="auto" w:fill="auto"/>
          </w:tcPr>
          <w:p w14:paraId="16BABEA5" w14:textId="3EC4E7FB" w:rsidR="00160F85" w:rsidRDefault="00160F85" w:rsidP="00160F85">
            <w:pPr>
              <w:pStyle w:val="SingleTxtG"/>
              <w:ind w:left="2552" w:right="560" w:hanging="2268"/>
            </w:pPr>
            <w:r w:rsidRPr="006A79FD">
              <w:rPr>
                <w:b/>
                <w:snapToGrid w:val="0"/>
                <w:lang w:val="fr-FR"/>
              </w:rPr>
              <w:t>Résumé analytique :</w:t>
            </w:r>
            <w:r>
              <w:rPr>
                <w:b/>
                <w:snapToGrid w:val="0"/>
                <w:lang w:val="fr-FR"/>
              </w:rPr>
              <w:tab/>
            </w:r>
            <w:r w:rsidRPr="006A79FD">
              <w:rPr>
                <w:rFonts w:cs="Arial"/>
                <w:snapToGrid w:val="0"/>
                <w:lang w:val="fr-FR"/>
              </w:rPr>
              <w:t xml:space="preserve">L'entrée pour </w:t>
            </w:r>
            <w:r w:rsidR="00937FD3">
              <w:rPr>
                <w:rFonts w:cs="Arial"/>
                <w:snapToGrid w:val="0"/>
                <w:lang w:val="fr-FR"/>
              </w:rPr>
              <w:t xml:space="preserve">le No. </w:t>
            </w:r>
            <w:r w:rsidRPr="006A79FD">
              <w:rPr>
                <w:rFonts w:cs="Arial"/>
                <w:snapToGrid w:val="0"/>
                <w:lang w:val="fr-FR"/>
              </w:rPr>
              <w:t>ONU 1999 n'est pas cohérente. Pour une citerne à cargaison de type N ouvert est exigée la protection contre les explosions</w:t>
            </w:r>
          </w:p>
          <w:p w14:paraId="007D8DE4" w14:textId="16D00423" w:rsidR="00160F85" w:rsidRDefault="00160F85" w:rsidP="00160F85">
            <w:pPr>
              <w:pStyle w:val="SingleTxtG"/>
              <w:ind w:left="2552" w:right="560" w:hanging="2268"/>
            </w:pPr>
            <w:r w:rsidRPr="006A79FD">
              <w:rPr>
                <w:b/>
                <w:snapToGrid w:val="0"/>
                <w:lang w:val="fr-FR"/>
              </w:rPr>
              <w:t>Mesures à prendre :</w:t>
            </w:r>
            <w:r>
              <w:rPr>
                <w:b/>
                <w:snapToGrid w:val="0"/>
                <w:lang w:val="fr-FR"/>
              </w:rPr>
              <w:t xml:space="preserve"> </w:t>
            </w:r>
            <w:r>
              <w:rPr>
                <w:b/>
                <w:snapToGrid w:val="0"/>
                <w:lang w:val="fr-FR"/>
              </w:rPr>
              <w:tab/>
            </w:r>
            <w:r w:rsidRPr="006A79FD">
              <w:rPr>
                <w:snapToGrid w:val="0"/>
                <w:lang w:val="fr-FR"/>
              </w:rPr>
              <w:t>Le groupe de travail informel « Matières » pourrait être invité à réexaminer les conditions de transport.</w:t>
            </w:r>
          </w:p>
          <w:p w14:paraId="1036FFEA" w14:textId="6EBFECBC" w:rsidR="00160F85" w:rsidRDefault="00160F85" w:rsidP="00160F85">
            <w:pPr>
              <w:pStyle w:val="SingleTxtG"/>
              <w:ind w:left="2552" w:right="560" w:hanging="2268"/>
            </w:pPr>
            <w:r w:rsidRPr="006A79FD">
              <w:rPr>
                <w:b/>
                <w:snapToGrid w:val="0"/>
                <w:lang w:val="fr-FR"/>
              </w:rPr>
              <w:t>Documents connexes :</w:t>
            </w:r>
            <w:r>
              <w:rPr>
                <w:b/>
                <w:snapToGrid w:val="0"/>
                <w:lang w:val="fr-FR"/>
              </w:rPr>
              <w:t xml:space="preserve"> </w:t>
            </w:r>
            <w:r>
              <w:rPr>
                <w:b/>
                <w:snapToGrid w:val="0"/>
                <w:lang w:val="fr-FR"/>
              </w:rPr>
              <w:tab/>
            </w:r>
            <w:r w:rsidRPr="006A79FD">
              <w:rPr>
                <w:snapToGrid w:val="0"/>
                <w:lang w:val="fr-FR"/>
              </w:rPr>
              <w:t>Aucun</w:t>
            </w:r>
          </w:p>
        </w:tc>
      </w:tr>
      <w:tr w:rsidR="00160F85" w14:paraId="0BF8DA6F" w14:textId="77777777" w:rsidTr="00160F85">
        <w:trPr>
          <w:jc w:val="center"/>
        </w:trPr>
        <w:tc>
          <w:tcPr>
            <w:tcW w:w="9628" w:type="dxa"/>
            <w:shd w:val="clear" w:color="auto" w:fill="auto"/>
          </w:tcPr>
          <w:p w14:paraId="277343B2" w14:textId="77777777" w:rsidR="00160F85" w:rsidRDefault="00160F85" w:rsidP="006E5E26"/>
        </w:tc>
      </w:tr>
    </w:tbl>
    <w:p w14:paraId="48BBCF38" w14:textId="2F99019C" w:rsidR="00160F85" w:rsidRPr="00160F85" w:rsidRDefault="00C67BF4" w:rsidP="00C67BF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160F85" w:rsidRPr="00160F85">
        <w:rPr>
          <w:lang w:val="fr-FR"/>
        </w:rPr>
        <w:t>Introduction</w:t>
      </w:r>
    </w:p>
    <w:p w14:paraId="4DEBC260" w14:textId="38C0997E" w:rsidR="00160F85" w:rsidRPr="00160F85" w:rsidRDefault="00160F85" w:rsidP="00160F85">
      <w:pPr>
        <w:pStyle w:val="SingleTxtG"/>
      </w:pPr>
      <w:r w:rsidRPr="00160F85">
        <w:t>1.</w:t>
      </w:r>
      <w:r w:rsidRPr="00160F85">
        <w:tab/>
        <w:t xml:space="preserve">Selon le tableau C, les matières du </w:t>
      </w:r>
      <w:r w:rsidR="00937FD3">
        <w:t>No.</w:t>
      </w:r>
      <w:r w:rsidRPr="00160F85">
        <w:t xml:space="preserve"> ONU 1999 GOUDRONS LIQUIDES, y compris les liants routiers et les cutbacks bitumineux peuvent être transportés dans des citernes à cargaison </w:t>
      </w:r>
      <w:proofErr w:type="spellStart"/>
      <w:r w:rsidRPr="00160F85">
        <w:t>N-ouvertes</w:t>
      </w:r>
      <w:proofErr w:type="spellEnd"/>
      <w:r w:rsidRPr="00160F85">
        <w:t xml:space="preserve"> sans coupe-flammes (ou supérieures sur une base volontaire).</w:t>
      </w:r>
    </w:p>
    <w:p w14:paraId="78840513" w14:textId="77777777" w:rsidR="00160F85" w:rsidRPr="00160F85" w:rsidRDefault="00160F85" w:rsidP="00160F85">
      <w:pPr>
        <w:pStyle w:val="SingleTxtG"/>
      </w:pPr>
      <w:r w:rsidRPr="00160F85">
        <w:lastRenderedPageBreak/>
        <w:t>Selon la colonne (17) du tableau C est cependant exigée aussi une protection contre l'explosion pour le trans</w:t>
      </w:r>
      <w:bookmarkStart w:id="0" w:name="_GoBack"/>
      <w:bookmarkEnd w:id="0"/>
      <w:r w:rsidRPr="00160F85">
        <w:t>port de cette matière.</w:t>
      </w:r>
    </w:p>
    <w:p w14:paraId="18EF2730" w14:textId="6771A00D" w:rsidR="00160F85" w:rsidRPr="00160F85" w:rsidRDefault="00C67BF4" w:rsidP="00C67BF4">
      <w:pPr>
        <w:pStyle w:val="HChG"/>
      </w:pPr>
      <w:r>
        <w:tab/>
      </w:r>
      <w:r>
        <w:tab/>
      </w:r>
      <w:r w:rsidR="00160F85" w:rsidRPr="00160F85">
        <w:t>Proposition</w:t>
      </w:r>
    </w:p>
    <w:p w14:paraId="21A457C0" w14:textId="2525733A" w:rsidR="00160F85" w:rsidRPr="00160F85" w:rsidRDefault="00160F85" w:rsidP="00160F85">
      <w:pPr>
        <w:pStyle w:val="SingleTxtG"/>
      </w:pPr>
      <w:r w:rsidRPr="00160F85">
        <w:t>2.</w:t>
      </w:r>
      <w:r w:rsidRPr="00160F85">
        <w:tab/>
        <w:t xml:space="preserve">Le groupe de travail informel « Matières » pourrait être invité à réexaminer les conditions de transport fixées pour </w:t>
      </w:r>
      <w:r w:rsidR="00937FD3">
        <w:t xml:space="preserve">le No. </w:t>
      </w:r>
      <w:r w:rsidRPr="00160F85">
        <w:t>ONU 1999, à confirmer l'entrée ou, le cas échéant, à proposer au Comité de sécurité de l'ADN les modifications nécessaires.</w:t>
      </w:r>
    </w:p>
    <w:p w14:paraId="0CE9FCD6" w14:textId="1F1DEB19" w:rsidR="00160F85" w:rsidRPr="00160F85" w:rsidRDefault="00C67BF4" w:rsidP="00C67BF4">
      <w:pPr>
        <w:pStyle w:val="HChG"/>
      </w:pPr>
      <w:r>
        <w:tab/>
      </w:r>
      <w:r>
        <w:tab/>
      </w:r>
      <w:r w:rsidR="00160F85" w:rsidRPr="00160F85">
        <w:t>Motifs</w:t>
      </w:r>
    </w:p>
    <w:p w14:paraId="07AFB3A1" w14:textId="641DD6AA" w:rsidR="00160F85" w:rsidRPr="00160F85" w:rsidRDefault="00160F85" w:rsidP="00160F85">
      <w:pPr>
        <w:pStyle w:val="SingleTxtG"/>
      </w:pPr>
      <w:r w:rsidRPr="00160F85">
        <w:t>3.</w:t>
      </w:r>
      <w:r w:rsidRPr="00160F85">
        <w:tab/>
        <w:t xml:space="preserve">Les conditions de transport pour </w:t>
      </w:r>
      <w:r w:rsidR="00937FD3">
        <w:t xml:space="preserve">le No. </w:t>
      </w:r>
      <w:r w:rsidRPr="00160F85">
        <w:t>ONU 1999 sont contradictoires, ce qui peut poser des problèmes lors du choix de bateaux appropriés.</w:t>
      </w:r>
    </w:p>
    <w:p w14:paraId="3D2CD9D3" w14:textId="4FCD528F" w:rsidR="00160F85" w:rsidRPr="00160F85" w:rsidRDefault="00160F85" w:rsidP="00160F85">
      <w:pPr>
        <w:pStyle w:val="SingleTxtG"/>
      </w:pPr>
      <w:r w:rsidRPr="00160F85">
        <w:t>4.</w:t>
      </w:r>
      <w:r w:rsidRPr="00160F85">
        <w:tab/>
        <w:t xml:space="preserve">Une première évaluation technique a révélé que, </w:t>
      </w:r>
      <w:proofErr w:type="gramStart"/>
      <w:r w:rsidRPr="00160F85">
        <w:t>de par</w:t>
      </w:r>
      <w:proofErr w:type="gramEnd"/>
      <w:r w:rsidRPr="00160F85">
        <w:t xml:space="preserve"> leurs propriétés physico-chimiques, les mélanges et produits </w:t>
      </w:r>
      <w:r w:rsidR="00937FD3">
        <w:t xml:space="preserve">No. </w:t>
      </w:r>
      <w:r w:rsidRPr="00160F85">
        <w:t xml:space="preserve">ONU 1999 sont toujours des matières liquides inflammables ayant un point d'éclair inférieur à </w:t>
      </w:r>
      <w:r w:rsidR="00937FD3" w:rsidRPr="00160F85">
        <w:t>60</w:t>
      </w:r>
      <w:r w:rsidR="00937FD3">
        <w:t> </w:t>
      </w:r>
      <w:r w:rsidRPr="00160F85">
        <w:t>°C, lesquels sont susceptibles d'être chauffés durant le transport.</w:t>
      </w:r>
    </w:p>
    <w:p w14:paraId="0833B61C" w14:textId="109D4893" w:rsidR="0081170A" w:rsidRPr="00160F85" w:rsidRDefault="00C67BF4" w:rsidP="00160F85">
      <w:pPr>
        <w:pStyle w:val="SingleTxtG"/>
      </w:pPr>
      <w:r>
        <w:t>5.</w:t>
      </w:r>
      <w:r>
        <w:tab/>
      </w:r>
      <w:r w:rsidR="00160F85" w:rsidRPr="00160F85">
        <w:t xml:space="preserve">Pour le transport à bord d'un bateau de navigation intérieure, le type de citerne à cargaison devrait être le type 3 « ouvert avec </w:t>
      </w:r>
      <w:proofErr w:type="spellStart"/>
      <w:r w:rsidR="00160F85" w:rsidRPr="00160F85">
        <w:t>coupe­flammes</w:t>
      </w:r>
      <w:proofErr w:type="spellEnd"/>
      <w:r w:rsidR="00160F85" w:rsidRPr="00160F85">
        <w:t> » (dans la colonne 7), pour le bateau de type N.</w:t>
      </w:r>
    </w:p>
    <w:p w14:paraId="6A6D1512" w14:textId="77777777" w:rsidR="00BD650C" w:rsidRPr="00C60354" w:rsidRDefault="00C60354" w:rsidP="00C6035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650C" w:rsidRPr="00C60354" w:rsidSect="00733A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A3AD" w14:textId="77777777" w:rsidR="00B3309A" w:rsidRDefault="00B3309A" w:rsidP="00F95C08">
      <w:pPr>
        <w:spacing w:line="240" w:lineRule="auto"/>
      </w:pPr>
    </w:p>
  </w:endnote>
  <w:endnote w:type="continuationSeparator" w:id="0">
    <w:p w14:paraId="605DFEAC" w14:textId="77777777" w:rsidR="00B3309A" w:rsidRPr="00AC3823" w:rsidRDefault="00B3309A" w:rsidP="00AC3823">
      <w:pPr>
        <w:pStyle w:val="Footer"/>
      </w:pPr>
    </w:p>
  </w:endnote>
  <w:endnote w:type="continuationNotice" w:id="1">
    <w:p w14:paraId="48B772D7" w14:textId="77777777" w:rsidR="00B3309A" w:rsidRDefault="00B330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A9B9" w14:textId="77777777" w:rsidR="00B3309A" w:rsidRPr="00B3309A" w:rsidRDefault="00B3309A" w:rsidP="00B3309A">
    <w:pPr>
      <w:pStyle w:val="Footer"/>
      <w:tabs>
        <w:tab w:val="right" w:pos="9638"/>
      </w:tabs>
      <w:rPr>
        <w:sz w:val="18"/>
      </w:rPr>
    </w:pPr>
    <w:r w:rsidRPr="00B3309A">
      <w:rPr>
        <w:b/>
        <w:sz w:val="18"/>
      </w:rPr>
      <w:fldChar w:fldCharType="begin"/>
    </w:r>
    <w:r w:rsidRPr="00B3309A">
      <w:rPr>
        <w:b/>
        <w:sz w:val="18"/>
      </w:rPr>
      <w:instrText xml:space="preserve"> PAGE  \* MERGEFORMAT </w:instrText>
    </w:r>
    <w:r w:rsidRPr="00B3309A">
      <w:rPr>
        <w:b/>
        <w:sz w:val="18"/>
      </w:rPr>
      <w:fldChar w:fldCharType="separate"/>
    </w:r>
    <w:r w:rsidRPr="00B3309A">
      <w:rPr>
        <w:b/>
        <w:noProof/>
        <w:sz w:val="18"/>
      </w:rPr>
      <w:t>2</w:t>
    </w:r>
    <w:r w:rsidRPr="00B3309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BE41" w14:textId="77777777" w:rsidR="00B3309A" w:rsidRPr="00B3309A" w:rsidRDefault="00B3309A" w:rsidP="00B3309A">
    <w:pPr>
      <w:pStyle w:val="Footer"/>
      <w:tabs>
        <w:tab w:val="right" w:pos="9638"/>
      </w:tabs>
      <w:rPr>
        <w:b/>
        <w:sz w:val="18"/>
      </w:rPr>
    </w:pPr>
    <w:r>
      <w:tab/>
    </w:r>
    <w:r w:rsidRPr="00B3309A">
      <w:rPr>
        <w:b/>
        <w:sz w:val="18"/>
      </w:rPr>
      <w:fldChar w:fldCharType="begin"/>
    </w:r>
    <w:r w:rsidRPr="00B3309A">
      <w:rPr>
        <w:b/>
        <w:sz w:val="18"/>
      </w:rPr>
      <w:instrText xml:space="preserve"> PAGE  \* MERGEFORMAT </w:instrText>
    </w:r>
    <w:r w:rsidRPr="00B3309A">
      <w:rPr>
        <w:b/>
        <w:sz w:val="18"/>
      </w:rPr>
      <w:fldChar w:fldCharType="separate"/>
    </w:r>
    <w:r w:rsidRPr="00B3309A">
      <w:rPr>
        <w:b/>
        <w:noProof/>
        <w:sz w:val="18"/>
      </w:rPr>
      <w:t>3</w:t>
    </w:r>
    <w:r w:rsidRPr="00B330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E4A6" w14:textId="77777777" w:rsidR="000D3EE9" w:rsidRPr="00B3309A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27B10" w14:textId="77777777" w:rsidR="00B3309A" w:rsidRPr="00AC3823" w:rsidRDefault="00B330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16D227" w14:textId="77777777" w:rsidR="00B3309A" w:rsidRPr="00AC3823" w:rsidRDefault="00B330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1CC53F" w14:textId="77777777" w:rsidR="00B3309A" w:rsidRPr="00AC3823" w:rsidRDefault="00B3309A">
      <w:pPr>
        <w:spacing w:line="240" w:lineRule="auto"/>
        <w:rPr>
          <w:sz w:val="2"/>
          <w:szCs w:val="2"/>
        </w:rPr>
      </w:pPr>
    </w:p>
  </w:footnote>
  <w:footnote w:id="2">
    <w:p w14:paraId="37347FD4" w14:textId="0354FDA7" w:rsidR="00BD650C" w:rsidRPr="00BD650C" w:rsidRDefault="00BD650C">
      <w:pPr>
        <w:pStyle w:val="FootnoteText"/>
      </w:pPr>
      <w:r>
        <w:rPr>
          <w:rStyle w:val="FootnoteReference"/>
        </w:rPr>
        <w:tab/>
      </w:r>
      <w:r w:rsidRPr="00C60354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904815">
        <w:rPr>
          <w:lang w:val="fr-FR"/>
        </w:rPr>
        <w:t>Diffusé en langue allemande par la Commission centrale pour la navigation du Rhin sous la cote CCNR/ZKR/ADN/WP.15/AC.2/2020/</w:t>
      </w:r>
      <w:r w:rsidR="003F7675">
        <w:rPr>
          <w:lang w:val="fr-FR"/>
        </w:rPr>
        <w:t>2</w:t>
      </w:r>
      <w:r w:rsidR="00C67BF4">
        <w:rPr>
          <w:lang w:val="fr-FR"/>
        </w:rPr>
        <w:t>6</w:t>
      </w:r>
      <w:r w:rsidRPr="00904815">
        <w:rPr>
          <w:lang w:val="fr-FR"/>
        </w:rPr>
        <w:t>.</w:t>
      </w:r>
    </w:p>
  </w:footnote>
  <w:footnote w:id="3">
    <w:p w14:paraId="7418C260" w14:textId="37DC5368" w:rsidR="00C60354" w:rsidRPr="00C60354" w:rsidRDefault="00C60354" w:rsidP="0027401B">
      <w:pPr>
        <w:pStyle w:val="FootnoteText"/>
      </w:pPr>
      <w:r w:rsidRPr="00C60354">
        <w:rPr>
          <w:rStyle w:val="FootnoteReference"/>
        </w:rPr>
        <w:tab/>
      </w:r>
      <w:r w:rsidRPr="00C60354">
        <w:rPr>
          <w:rStyle w:val="FootnoteReference"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 w:rsidR="0027401B" w:rsidRPr="00937FD3">
        <w:t xml:space="preserve"> Conformément au programme de travail du Comité des transports intérieurs pour 2020 tel qu’il figure dans le projet de budget-programme pour 2020 (A/74/6 (titre V, chap. 20), par. 20.37)</w:t>
      </w:r>
      <w:r w:rsidRPr="00904815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812B" w14:textId="6BE58DE9" w:rsidR="00B3309A" w:rsidRPr="00B3309A" w:rsidRDefault="00C378C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7A84" w14:textId="14C7972C" w:rsidR="00B3309A" w:rsidRPr="00B3309A" w:rsidRDefault="00C378C8" w:rsidP="00B330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C40B37"/>
    <w:multiLevelType w:val="hybridMultilevel"/>
    <w:tmpl w:val="82382EB4"/>
    <w:lvl w:ilvl="0" w:tplc="013EE3D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B3309A"/>
    <w:rsid w:val="0001207F"/>
    <w:rsid w:val="00017F94"/>
    <w:rsid w:val="00023842"/>
    <w:rsid w:val="000334F9"/>
    <w:rsid w:val="0004639C"/>
    <w:rsid w:val="0005789A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60F85"/>
    <w:rsid w:val="00176178"/>
    <w:rsid w:val="00177140"/>
    <w:rsid w:val="001D400F"/>
    <w:rsid w:val="001D5D0E"/>
    <w:rsid w:val="001D7625"/>
    <w:rsid w:val="001E2CC1"/>
    <w:rsid w:val="001F525A"/>
    <w:rsid w:val="00223272"/>
    <w:rsid w:val="00240333"/>
    <w:rsid w:val="0024779E"/>
    <w:rsid w:val="0027401B"/>
    <w:rsid w:val="002832AC"/>
    <w:rsid w:val="002D7C93"/>
    <w:rsid w:val="0037241C"/>
    <w:rsid w:val="003819FF"/>
    <w:rsid w:val="003F7675"/>
    <w:rsid w:val="00441C3B"/>
    <w:rsid w:val="00446B0A"/>
    <w:rsid w:val="00446FE5"/>
    <w:rsid w:val="00452396"/>
    <w:rsid w:val="00471288"/>
    <w:rsid w:val="0049687C"/>
    <w:rsid w:val="004E468C"/>
    <w:rsid w:val="005316B0"/>
    <w:rsid w:val="005505B7"/>
    <w:rsid w:val="00573BE5"/>
    <w:rsid w:val="00586ED3"/>
    <w:rsid w:val="00596AA9"/>
    <w:rsid w:val="005B4D0F"/>
    <w:rsid w:val="00627B2C"/>
    <w:rsid w:val="0067451D"/>
    <w:rsid w:val="00703D0F"/>
    <w:rsid w:val="00706363"/>
    <w:rsid w:val="007158BB"/>
    <w:rsid w:val="0071601D"/>
    <w:rsid w:val="00721A42"/>
    <w:rsid w:val="00725913"/>
    <w:rsid w:val="00733A99"/>
    <w:rsid w:val="0075410D"/>
    <w:rsid w:val="007A62E6"/>
    <w:rsid w:val="0080684C"/>
    <w:rsid w:val="00807F83"/>
    <w:rsid w:val="0081170A"/>
    <w:rsid w:val="008204DA"/>
    <w:rsid w:val="008535AD"/>
    <w:rsid w:val="00871C75"/>
    <w:rsid w:val="008767E8"/>
    <w:rsid w:val="008776DC"/>
    <w:rsid w:val="00883605"/>
    <w:rsid w:val="008E6043"/>
    <w:rsid w:val="00937FD3"/>
    <w:rsid w:val="00946636"/>
    <w:rsid w:val="00947EEC"/>
    <w:rsid w:val="00961E7B"/>
    <w:rsid w:val="009705C8"/>
    <w:rsid w:val="00996B54"/>
    <w:rsid w:val="009C1CF4"/>
    <w:rsid w:val="009F02C9"/>
    <w:rsid w:val="00A30353"/>
    <w:rsid w:val="00A62D91"/>
    <w:rsid w:val="00A818A2"/>
    <w:rsid w:val="00A90D54"/>
    <w:rsid w:val="00AA113A"/>
    <w:rsid w:val="00AC3823"/>
    <w:rsid w:val="00AE323C"/>
    <w:rsid w:val="00AF774C"/>
    <w:rsid w:val="00B00181"/>
    <w:rsid w:val="00B00B0D"/>
    <w:rsid w:val="00B3309A"/>
    <w:rsid w:val="00B40927"/>
    <w:rsid w:val="00B50E25"/>
    <w:rsid w:val="00B6085B"/>
    <w:rsid w:val="00B64918"/>
    <w:rsid w:val="00B765F7"/>
    <w:rsid w:val="00BA0CA9"/>
    <w:rsid w:val="00BD396C"/>
    <w:rsid w:val="00BD650C"/>
    <w:rsid w:val="00BE75AE"/>
    <w:rsid w:val="00C02897"/>
    <w:rsid w:val="00C1626B"/>
    <w:rsid w:val="00C378C8"/>
    <w:rsid w:val="00C60354"/>
    <w:rsid w:val="00C66A47"/>
    <w:rsid w:val="00C67BF4"/>
    <w:rsid w:val="00C7616F"/>
    <w:rsid w:val="00CB16B5"/>
    <w:rsid w:val="00CE0608"/>
    <w:rsid w:val="00D31476"/>
    <w:rsid w:val="00D3439C"/>
    <w:rsid w:val="00D44CF3"/>
    <w:rsid w:val="00D46C8C"/>
    <w:rsid w:val="00DB1831"/>
    <w:rsid w:val="00DD3BFD"/>
    <w:rsid w:val="00DE239D"/>
    <w:rsid w:val="00DF431C"/>
    <w:rsid w:val="00DF6678"/>
    <w:rsid w:val="00E428C8"/>
    <w:rsid w:val="00E478F2"/>
    <w:rsid w:val="00E70056"/>
    <w:rsid w:val="00EF2E22"/>
    <w:rsid w:val="00F0592C"/>
    <w:rsid w:val="00F06ED4"/>
    <w:rsid w:val="00F43289"/>
    <w:rsid w:val="00F660DF"/>
    <w:rsid w:val="00F95C08"/>
    <w:rsid w:val="00FA62BA"/>
    <w:rsid w:val="00FD1581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4B62E3F"/>
  <w15:docId w15:val="{0B2C2902-CEAD-4B13-8667-A7C86A1B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24</TotalTime>
  <Pages>2</Pages>
  <Words>378</Words>
  <Characters>2096</Characters>
  <Application>Microsoft Office Word</Application>
  <DocSecurity>0</DocSecurity>
  <Lines>53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ECE/TRANS/WP.15/AC.2/2020/14</vt:lpstr>
      <vt:lpstr>ECE/EX/22</vt:lpstr>
    </vt:vector>
  </TitlesOfParts>
  <Company>DCM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ECE/TRANS/WP.15/AC.2/2020/26</dc:title>
  <dc:subject>FINAL</dc:subject>
  <dc:creator>Marie-Claude Collet</dc:creator>
  <cp:keywords/>
  <dc:description/>
  <cp:lastModifiedBy>Secretariat</cp:lastModifiedBy>
  <cp:revision>13</cp:revision>
  <cp:lastPrinted>2020-05-29T13:13:00Z</cp:lastPrinted>
  <dcterms:created xsi:type="dcterms:W3CDTF">2020-05-27T09:36:00Z</dcterms:created>
  <dcterms:modified xsi:type="dcterms:W3CDTF">2020-05-29T13:14:00Z</dcterms:modified>
</cp:coreProperties>
</file>