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EE5ECB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CB7BFD" w14:textId="77777777" w:rsidR="002D5AAC" w:rsidRDefault="002D5AAC" w:rsidP="005F34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604CF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76429B" w14:textId="77777777" w:rsidR="002D5AAC" w:rsidRDefault="005F3449" w:rsidP="005F3449">
            <w:pPr>
              <w:jc w:val="right"/>
            </w:pPr>
            <w:r w:rsidRPr="005F3449">
              <w:rPr>
                <w:sz w:val="40"/>
              </w:rPr>
              <w:t>ECE</w:t>
            </w:r>
            <w:r>
              <w:t>/TRANS/WP.15/AC.2/2020/27</w:t>
            </w:r>
          </w:p>
        </w:tc>
      </w:tr>
      <w:tr w:rsidR="002D5AAC" w:rsidRPr="005F3449" w14:paraId="04DDCCD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B7932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8819AE" wp14:editId="194E25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953B7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1777E9" w14:textId="77777777" w:rsidR="002D5AAC" w:rsidRDefault="005F344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5FEF27" w14:textId="77777777" w:rsidR="005F3449" w:rsidRDefault="005F3449" w:rsidP="005F34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May 2020</w:t>
            </w:r>
          </w:p>
          <w:p w14:paraId="4C6665E9" w14:textId="77777777" w:rsidR="005F3449" w:rsidRDefault="005F3449" w:rsidP="005F34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608512" w14:textId="77777777" w:rsidR="005F3449" w:rsidRPr="008D53B6" w:rsidRDefault="005F3449" w:rsidP="005F34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C07607E" w14:textId="77777777" w:rsidR="005F344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9079DE" w14:textId="77777777" w:rsidR="00446E42" w:rsidRPr="00977AC5" w:rsidRDefault="00446E42" w:rsidP="00446E42">
      <w:pPr>
        <w:tabs>
          <w:tab w:val="left" w:pos="5691"/>
        </w:tabs>
        <w:spacing w:before="120"/>
        <w:rPr>
          <w:sz w:val="28"/>
          <w:szCs w:val="28"/>
        </w:rPr>
      </w:pPr>
      <w:r w:rsidRPr="00977AC5">
        <w:rPr>
          <w:sz w:val="28"/>
          <w:szCs w:val="28"/>
        </w:rPr>
        <w:t>Комитет по внутреннему транспорту</w:t>
      </w:r>
    </w:p>
    <w:p w14:paraId="6BA00FE3" w14:textId="77777777" w:rsidR="00446E42" w:rsidRPr="00977AC5" w:rsidRDefault="00446E42" w:rsidP="00446E42">
      <w:pPr>
        <w:spacing w:before="120"/>
        <w:rPr>
          <w:b/>
          <w:sz w:val="24"/>
          <w:szCs w:val="24"/>
        </w:rPr>
      </w:pPr>
      <w:r w:rsidRPr="00977AC5">
        <w:rPr>
          <w:b/>
          <w:bCs/>
          <w:sz w:val="24"/>
          <w:szCs w:val="24"/>
        </w:rPr>
        <w:t>Рабочая группа по перевозкам опасных грузов</w:t>
      </w:r>
    </w:p>
    <w:p w14:paraId="768E7A49" w14:textId="09052D82" w:rsidR="00446E42" w:rsidRPr="00977AC5" w:rsidRDefault="00446E42" w:rsidP="00446E42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4D5422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4D5422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4D5422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4D5422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52F6486A" w14:textId="77777777" w:rsidR="00446E42" w:rsidRPr="00977AC5" w:rsidRDefault="00446E42" w:rsidP="00446E42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4D44FB20" w14:textId="77777777" w:rsidR="00446E42" w:rsidRPr="00977AC5" w:rsidRDefault="00446E42" w:rsidP="00446E42">
      <w:r>
        <w:t>Женева, 24–28 августа 2020 года</w:t>
      </w:r>
    </w:p>
    <w:p w14:paraId="6A62D4B0" w14:textId="77777777" w:rsidR="00446E42" w:rsidRPr="00977AC5" w:rsidRDefault="00446E42" w:rsidP="00446E42">
      <w:r>
        <w:t>Пункт 4 b) предварительной повестки дня</w:t>
      </w:r>
    </w:p>
    <w:p w14:paraId="76E576FA" w14:textId="568BE136" w:rsidR="00446E42" w:rsidRPr="00977AC5" w:rsidRDefault="00446E42" w:rsidP="00446E42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4D5422">
        <w:rPr>
          <w:b/>
          <w:bCs/>
        </w:rPr>
        <w:br/>
      </w:r>
      <w:r>
        <w:rPr>
          <w:b/>
          <w:bCs/>
        </w:rPr>
        <w:t>прилагаемые к ВОПОГ:</w:t>
      </w:r>
      <w:r w:rsidR="004D5422" w:rsidRPr="004D5422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5C124A88" w14:textId="2692E31E" w:rsidR="00446E42" w:rsidRPr="00977AC5" w:rsidRDefault="00446E42" w:rsidP="00446E42">
      <w:pPr>
        <w:pStyle w:val="HChG"/>
        <w:rPr>
          <w:bCs/>
        </w:rPr>
      </w:pPr>
      <w:r>
        <w:tab/>
      </w:r>
      <w:r>
        <w:tab/>
      </w:r>
      <w:r>
        <w:rPr>
          <w:bCs/>
        </w:rPr>
        <w:t>Реестр свидетельств экспертов, реестр свидетельств о</w:t>
      </w:r>
      <w:r w:rsidR="004D5422">
        <w:rPr>
          <w:bCs/>
          <w:lang w:val="en-US"/>
        </w:rPr>
        <w:t> </w:t>
      </w:r>
      <w:r>
        <w:rPr>
          <w:bCs/>
        </w:rPr>
        <w:t>допущении, пункты 1.10.1.6 и 1.16.15.1 ВОПОГ</w:t>
      </w:r>
    </w:p>
    <w:p w14:paraId="44C22B08" w14:textId="77777777" w:rsidR="00446E42" w:rsidRPr="00977AC5" w:rsidRDefault="00446E42" w:rsidP="00446E42">
      <w:pPr>
        <w:pStyle w:val="H1G"/>
        <w:rPr>
          <w:snapToGrid w:val="0"/>
          <w:vertAlign w:val="superscript"/>
        </w:rPr>
      </w:pPr>
      <w:r>
        <w:tab/>
      </w:r>
      <w:r>
        <w:tab/>
      </w:r>
      <w:r>
        <w:tab/>
      </w:r>
      <w:r>
        <w:rPr>
          <w:bCs/>
        </w:rPr>
        <w:t>Передано правительством Германии</w:t>
      </w:r>
      <w:r w:rsidRPr="004D5422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1"/>
        <w:t>*</w:t>
      </w:r>
      <w:r w:rsidRPr="00A11A4E">
        <w:rPr>
          <w:snapToGrid w:val="0"/>
          <w:sz w:val="20"/>
        </w:rPr>
        <w:t xml:space="preserve"> </w:t>
      </w:r>
      <w:r w:rsidRPr="004D5422">
        <w:rPr>
          <w:rStyle w:val="FootnoteReference"/>
          <w:b w:val="0"/>
          <w:bCs/>
          <w:snapToGrid w:val="0"/>
          <w:sz w:val="20"/>
          <w:vertAlign w:val="baseline"/>
        </w:rPr>
        <w:footnoteReference w:customMarkFollows="1" w:id="2"/>
        <w:t>**</w:t>
      </w:r>
    </w:p>
    <w:p w14:paraId="67F9B3C3" w14:textId="1CCAB4F5" w:rsidR="00446E42" w:rsidRPr="00977AC5" w:rsidRDefault="004D5422" w:rsidP="00446E42">
      <w:pPr>
        <w:pStyle w:val="HChG"/>
      </w:pPr>
      <w:r>
        <w:rPr>
          <w:bCs/>
        </w:rPr>
        <w:tab/>
      </w:r>
      <w:r>
        <w:rPr>
          <w:bCs/>
        </w:rPr>
        <w:tab/>
      </w:r>
      <w:r w:rsidR="00446E42">
        <w:rPr>
          <w:bCs/>
        </w:rPr>
        <w:t>Введение</w:t>
      </w:r>
    </w:p>
    <w:p w14:paraId="71722238" w14:textId="278CEABB" w:rsidR="00446E42" w:rsidRPr="00977AC5" w:rsidRDefault="00446E42" w:rsidP="00446E42">
      <w:pPr>
        <w:pStyle w:val="SingleTxtG"/>
      </w:pPr>
      <w:r>
        <w:t>1.</w:t>
      </w:r>
      <w:r>
        <w:tab/>
        <w:t xml:space="preserve">В контексте требований раздела 1.8.1 ВОПОГ </w:t>
      </w:r>
      <w:r w:rsidRPr="00977AC5">
        <w:t>«</w:t>
      </w:r>
      <w:r>
        <w:rPr>
          <w:i/>
          <w:iCs/>
        </w:rPr>
        <w:t>Проверки и прочие вспомогательные меры, направленные на обеспечение соблюдения предписаний, касающихся безопасности</w:t>
      </w:r>
      <w:r>
        <w:t>» часто возникает необходимость проверки точности находящихся на борту документов, в частности имеющегося у судоводителя</w:t>
      </w:r>
      <w:r w:rsidRPr="00A11A4E">
        <w:t xml:space="preserve"> </w:t>
      </w:r>
      <w:r>
        <w:t>свидетельства эксперта и свидетельства о допущении ВОПОГ. Такая проверка затруднена, когда эти документы выданы другой договаривающейся стороной ВОПОГ.</w:t>
      </w:r>
    </w:p>
    <w:p w14:paraId="4297AB24" w14:textId="77777777" w:rsidR="00446E42" w:rsidRPr="00977AC5" w:rsidRDefault="00446E42" w:rsidP="00446E42">
      <w:pPr>
        <w:pStyle w:val="SingleTxtG"/>
        <w:rPr>
          <w:bCs/>
        </w:rPr>
      </w:pPr>
      <w:r>
        <w:t>2.</w:t>
      </w:r>
      <w:r>
        <w:tab/>
        <w:t>Реестры свидетельств экспертов согласно пункту 1.10.1.6 ВОПОГ и свидетельств об утверждении согласно пункту 1.16.15.1 ВОПОГ, которые ведутся каждой договаривающейся стороной, сегодня приносят мало пользы, поскольку не существует никакого положения, предусматривающего взаимный обмен информацией, содержащейся в этих национальных реестрах.</w:t>
      </w:r>
    </w:p>
    <w:p w14:paraId="4F8D5407" w14:textId="77777777" w:rsidR="00446E42" w:rsidRPr="00977AC5" w:rsidRDefault="00446E42" w:rsidP="00446E42">
      <w:pPr>
        <w:pStyle w:val="SingleTxtG"/>
      </w:pPr>
      <w:r>
        <w:lastRenderedPageBreak/>
        <w:t>3.</w:t>
      </w:r>
      <w:r>
        <w:tab/>
        <w:t>Реестр свидетельств экспертов содержит персональные данные владельцев, так что к сбору, ведению и защите этих данных должны предъявляться высокие требования, которые должны быть изложены в правилах.</w:t>
      </w:r>
    </w:p>
    <w:p w14:paraId="7BDD631C" w14:textId="77777777" w:rsidR="00446E42" w:rsidRPr="00977AC5" w:rsidRDefault="00446E42" w:rsidP="00446E42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7302FD1" w14:textId="77777777" w:rsidR="00446E42" w:rsidRPr="00977AC5" w:rsidRDefault="00446E42" w:rsidP="00446E42">
      <w:pPr>
        <w:pStyle w:val="SingleTxtG"/>
        <w:rPr>
          <w:bCs/>
        </w:rPr>
      </w:pPr>
      <w:r>
        <w:t>4.</w:t>
      </w:r>
      <w:r>
        <w:tab/>
        <w:t>В пункт 1.10.1.6 ВОПОГ добавить следующие предложения:</w:t>
      </w:r>
    </w:p>
    <w:p w14:paraId="0EA74E81" w14:textId="77777777" w:rsidR="00446E42" w:rsidRPr="00977AC5" w:rsidRDefault="00446E42" w:rsidP="00446E42">
      <w:pPr>
        <w:pStyle w:val="SingleTxtG"/>
      </w:pPr>
      <w:r>
        <w:t>«Этот реестр должен содержать, по крайней мере, информацию, предусмотренную в образце свидетельства, приведенном в разделе 8.6.2 (без подписи и фотографии эксперта). Компетентные органы Договаривающихся сторон сообщают друг другу информацию, содержащуюся в их соответствующих реестрах, в рамках взаимной помощи, предусмотренной в пункте 1.8.1.4.4.1.</w:t>
      </w:r>
    </w:p>
    <w:p w14:paraId="437B5BCB" w14:textId="2599D80D" w:rsidR="00446E42" w:rsidRPr="00977AC5" w:rsidRDefault="00446E42" w:rsidP="00446E42">
      <w:pPr>
        <w:pStyle w:val="SingleTxtG"/>
      </w:pPr>
      <w:r>
        <w:t>Договаривающиеся стороны сообщают секретариату Европейской экономической комиссии Организации Объединенных Наций (ЕЭК ООН) контактную информацию о назначенных ими органах, обладающих компетенцией, в соответствии с внутригосударственным правом, в вопросах ведения реестра. Секретариат ЕЭК ООН доводит эту информацию до сведения Договаривающихся сторон через свой веб</w:t>
      </w:r>
      <w:r w:rsidR="004E62E6">
        <w:noBreakHyphen/>
      </w:r>
      <w:r>
        <w:t xml:space="preserve">сайт.». </w:t>
      </w:r>
    </w:p>
    <w:p w14:paraId="6E7D45AC" w14:textId="77777777" w:rsidR="00446E42" w:rsidRPr="00977AC5" w:rsidRDefault="00446E42" w:rsidP="00446E42">
      <w:pPr>
        <w:pStyle w:val="SingleTxtG"/>
        <w:rPr>
          <w:bCs/>
        </w:rPr>
      </w:pPr>
      <w:r>
        <w:t>5.</w:t>
      </w:r>
      <w:r>
        <w:tab/>
        <w:t>Пункт 1.16.15.1 ВОПОГ изменить следующим образом:</w:t>
      </w:r>
    </w:p>
    <w:p w14:paraId="56E6C9E6" w14:textId="77777777" w:rsidR="00446E42" w:rsidRPr="00977AC5" w:rsidRDefault="00446E42" w:rsidP="00446E42">
      <w:pPr>
        <w:pStyle w:val="SingleTxtG"/>
      </w:pPr>
      <w:r>
        <w:t>«1.16.15.1</w:t>
      </w:r>
      <w:r>
        <w:tab/>
        <w:t>Компетентный орган ведет реестр всех выданных им свидетельств о допущении и временных свидетельств о допущении.</w:t>
      </w:r>
    </w:p>
    <w:p w14:paraId="6EDC647A" w14:textId="77777777" w:rsidR="00446E42" w:rsidRPr="00977AC5" w:rsidRDefault="00446E42" w:rsidP="00446E42">
      <w:pPr>
        <w:pStyle w:val="SingleTxtG"/>
      </w:pPr>
      <w:r>
        <w:t>В реестре должны содержаться, по крайней мере, следующие записи:</w:t>
      </w:r>
    </w:p>
    <w:p w14:paraId="18079A0E" w14:textId="77777777" w:rsidR="00446E42" w:rsidRPr="00977AC5" w:rsidRDefault="00446E42" w:rsidP="00446E42">
      <w:pPr>
        <w:pStyle w:val="SingleTxtG"/>
      </w:pPr>
      <w:r>
        <w:t>1.</w:t>
      </w:r>
      <w:r>
        <w:tab/>
        <w:t>Номер свидетельства (временного свидетельства) о допущении;</w:t>
      </w:r>
    </w:p>
    <w:p w14:paraId="76ADB6C4" w14:textId="77777777" w:rsidR="00446E42" w:rsidRPr="00977AC5" w:rsidRDefault="00446E42" w:rsidP="00446E42">
      <w:pPr>
        <w:pStyle w:val="SingleTxtG"/>
      </w:pPr>
      <w:r>
        <w:t>2.</w:t>
      </w:r>
      <w:r>
        <w:tab/>
        <w:t>Название судна;</w:t>
      </w:r>
    </w:p>
    <w:p w14:paraId="01497970" w14:textId="77777777" w:rsidR="00446E42" w:rsidRPr="00977AC5" w:rsidRDefault="00446E42" w:rsidP="00446E42">
      <w:pPr>
        <w:pStyle w:val="SingleTxtG"/>
      </w:pPr>
      <w:r>
        <w:t>3.</w:t>
      </w:r>
      <w:r>
        <w:tab/>
        <w:t>Регистровый номер;</w:t>
      </w:r>
    </w:p>
    <w:p w14:paraId="7AC47774" w14:textId="1A022FA9" w:rsidR="00446E42" w:rsidRPr="00977AC5" w:rsidRDefault="00446E42" w:rsidP="00446E42">
      <w:pPr>
        <w:pStyle w:val="SingleTxtG"/>
      </w:pPr>
      <w:r>
        <w:t>4.</w:t>
      </w:r>
      <w:r>
        <w:tab/>
        <w:t>Тип судна;</w:t>
      </w:r>
    </w:p>
    <w:p w14:paraId="5E279F11" w14:textId="77777777" w:rsidR="00446E42" w:rsidRPr="00977AC5" w:rsidRDefault="00446E42" w:rsidP="00446E42">
      <w:pPr>
        <w:pStyle w:val="SingleTxtG"/>
      </w:pPr>
      <w:r>
        <w:t>5.</w:t>
      </w:r>
      <w:r>
        <w:tab/>
        <w:t>Дата выдачи;</w:t>
      </w:r>
    </w:p>
    <w:p w14:paraId="310E3335" w14:textId="77777777" w:rsidR="00446E42" w:rsidRPr="00977AC5" w:rsidRDefault="00446E42" w:rsidP="00446E42">
      <w:pPr>
        <w:pStyle w:val="SingleTxtG"/>
      </w:pPr>
      <w:r>
        <w:t>6.</w:t>
      </w:r>
      <w:r>
        <w:tab/>
        <w:t>Дата истечения срока действия;</w:t>
      </w:r>
    </w:p>
    <w:p w14:paraId="08CF3E8A" w14:textId="77777777" w:rsidR="00446E42" w:rsidRPr="00977AC5" w:rsidRDefault="00446E42" w:rsidP="00446E42">
      <w:pPr>
        <w:pStyle w:val="SingleTxtG"/>
      </w:pPr>
      <w:r>
        <w:t>7.</w:t>
      </w:r>
      <w:r>
        <w:tab/>
        <w:t>Наименование собственника и оператора.</w:t>
      </w:r>
    </w:p>
    <w:p w14:paraId="119EF626" w14:textId="36ED4A71" w:rsidR="00446E42" w:rsidRPr="00977AC5" w:rsidRDefault="00446E42" w:rsidP="00446E42">
      <w:pPr>
        <w:pStyle w:val="SingleTxtG"/>
      </w:pPr>
      <w:r>
        <w:t>При необходимости в реестр вносится дата выдачи дубликата, упомянутого в разделе</w:t>
      </w:r>
      <w:r w:rsidR="004E62E6">
        <w:rPr>
          <w:lang w:val="en-US"/>
        </w:rPr>
        <w:t> </w:t>
      </w:r>
      <w:r>
        <w:t>1.16.14.</w:t>
      </w:r>
    </w:p>
    <w:p w14:paraId="1A55C442" w14:textId="77777777" w:rsidR="00446E42" w:rsidRPr="00977AC5" w:rsidRDefault="00446E42" w:rsidP="00446E42">
      <w:pPr>
        <w:pStyle w:val="SingleTxtG"/>
      </w:pPr>
      <w:r>
        <w:t>Компетентные органы Договаривающихся сторон сообщают друг другу информацию, содержащуюся в их соответствующих реестрах, в рамках взаимной помощи, предусмотренной в пункте 1.8.1.4.4.1, и в случаях, упомянутых в пункте 1.16.12.1 и разделе 1.16.13.</w:t>
      </w:r>
    </w:p>
    <w:p w14:paraId="6756D125" w14:textId="6679804F" w:rsidR="00446E42" w:rsidRPr="00977AC5" w:rsidRDefault="00446E42" w:rsidP="00446E42">
      <w:pPr>
        <w:pStyle w:val="SingleTxtG"/>
      </w:pPr>
      <w:r>
        <w:t>Договаривающиеся стороны сообщают секретариату Европейской экономической комиссии Организации Объединенных Наций (ЕЭК ООН) контактную информацию о назначенных ими органах, обладающих компетенцией, в соответствии с внутригосударственным правом, в вопросах ведения реестра. Секретариат ЕЭК ООН доводит эту информацию до сведения Договаривающихся сторон через свой веб</w:t>
      </w:r>
      <w:r w:rsidR="004E62E6">
        <w:noBreakHyphen/>
      </w:r>
      <w:r>
        <w:t xml:space="preserve">сайт.». </w:t>
      </w:r>
    </w:p>
    <w:p w14:paraId="08A268FD" w14:textId="77777777" w:rsidR="00446E42" w:rsidRPr="00977AC5" w:rsidRDefault="00446E42" w:rsidP="00446E42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59A25EA4" w14:textId="77777777" w:rsidR="00446E42" w:rsidRPr="00977AC5" w:rsidRDefault="00446E42" w:rsidP="00446E42">
      <w:pPr>
        <w:pStyle w:val="H1G"/>
      </w:pPr>
      <w:r>
        <w:tab/>
      </w:r>
      <w:r>
        <w:tab/>
      </w:r>
      <w:r>
        <w:rPr>
          <w:bCs/>
        </w:rPr>
        <w:t>По пункту 1.10.1.6:</w:t>
      </w:r>
    </w:p>
    <w:p w14:paraId="4515A447" w14:textId="77777777" w:rsidR="00446E42" w:rsidRPr="00977AC5" w:rsidRDefault="00446E42" w:rsidP="00446E42">
      <w:pPr>
        <w:pStyle w:val="SingleTxtG"/>
        <w:rPr>
          <w:bCs/>
        </w:rPr>
      </w:pPr>
      <w:r>
        <w:t>6.</w:t>
      </w:r>
      <w:r>
        <w:tab/>
        <w:t xml:space="preserve">Персональные данные, собранные и зарегистрированные в реестрах, а также возможность передачи информации из реестров должны быть закреплены в законе или сопоставимом нормативном акте в соответствии с общеевропейскими правовыми </w:t>
      </w:r>
      <w:bookmarkStart w:id="0" w:name="_GoBack"/>
      <w:bookmarkEnd w:id="0"/>
      <w:r>
        <w:lastRenderedPageBreak/>
        <w:t>положениями о защите данных. Благодаря предписанию, включенному в ВОПОГ, договаривающиеся стороны ВОПОГ смогут избежать необходимости принятия дополнительных национальных требований.</w:t>
      </w:r>
    </w:p>
    <w:p w14:paraId="6A4C0471" w14:textId="77777777" w:rsidR="00446E42" w:rsidRPr="00977AC5" w:rsidRDefault="00446E42" w:rsidP="00446E42">
      <w:pPr>
        <w:pStyle w:val="SingleTxtG"/>
        <w:rPr>
          <w:bCs/>
        </w:rPr>
      </w:pPr>
      <w:r>
        <w:t>7.</w:t>
      </w:r>
      <w:r>
        <w:tab/>
        <w:t>Единая база данных облегчает оперативный обмен данными между проверяющими органами договаривающихся сторон ВОПОГ и, таким образом, позволяет им быстро проверять подлинность документов, представляемых во время проверок.</w:t>
      </w:r>
    </w:p>
    <w:p w14:paraId="01535C4A" w14:textId="77777777" w:rsidR="00446E42" w:rsidRPr="00977AC5" w:rsidRDefault="00446E42" w:rsidP="00446E42">
      <w:pPr>
        <w:pStyle w:val="SingleTxtG"/>
        <w:rPr>
          <w:bCs/>
        </w:rPr>
      </w:pPr>
      <w:r>
        <w:t>8.</w:t>
      </w:r>
      <w:r>
        <w:tab/>
        <w:t>Такой обмен данными пока еще не предусмотрен. В результате национальные реестры приносят мало пользы при осуществлении контроля за международным движением.</w:t>
      </w:r>
    </w:p>
    <w:p w14:paraId="7608324F" w14:textId="77777777" w:rsidR="00446E42" w:rsidRPr="00977AC5" w:rsidRDefault="00446E42" w:rsidP="00446E42">
      <w:pPr>
        <w:pStyle w:val="H1G"/>
      </w:pPr>
      <w:r>
        <w:tab/>
      </w:r>
      <w:r>
        <w:tab/>
      </w:r>
      <w:r>
        <w:rPr>
          <w:bCs/>
        </w:rPr>
        <w:t>По пункту 1.16.15.1:</w:t>
      </w:r>
    </w:p>
    <w:p w14:paraId="337F0014" w14:textId="77777777" w:rsidR="00446E42" w:rsidRPr="00977AC5" w:rsidRDefault="00446E42" w:rsidP="00446E42">
      <w:pPr>
        <w:pStyle w:val="SingleTxtG"/>
      </w:pPr>
      <w:r>
        <w:t>9.</w:t>
      </w:r>
      <w:r>
        <w:tab/>
        <w:t>Согласно пункту 1.16.1.2.1 ВОПОГ, по своему содержанию, форме и расположению текста свидетельство о допущении должно соответствовать образцу, приведенному в подразделе 8.6.1.1 или 8.6.1.3. Оно должно содержать соответствующие требуемые сведения.</w:t>
      </w:r>
    </w:p>
    <w:p w14:paraId="2A32DC8E" w14:textId="77777777" w:rsidR="00446E42" w:rsidRPr="00977AC5" w:rsidRDefault="00446E42" w:rsidP="00446E42">
      <w:pPr>
        <w:pStyle w:val="SingleTxtG"/>
      </w:pPr>
      <w:r>
        <w:t>10.</w:t>
      </w:r>
      <w:r>
        <w:tab/>
        <w:t>Индивидуальный порядковый номер уже предписан в третьей строке образца свидетельства о допущении. Поэтому нет необходимости повторять это в пункте, посвященном реестрам.</w:t>
      </w:r>
    </w:p>
    <w:p w14:paraId="7C43EC87" w14:textId="77777777" w:rsidR="00446E42" w:rsidRPr="00977AC5" w:rsidRDefault="00446E42" w:rsidP="00446E42">
      <w:pPr>
        <w:pStyle w:val="SingleTxtG"/>
      </w:pPr>
      <w:r>
        <w:t>11.</w:t>
      </w:r>
      <w:r>
        <w:tab/>
        <w:t>В ВОПОГ имеются отдельные подразделы (1.16.1.2 и 1.16.1.3), касающиеся свидетельств о допущении и временных свидетельств о допущении, для которых также предусмотрены отдельные образцы. Поэтому следует упомянуть оба свидетельства в связи с ведением реестра.</w:t>
      </w:r>
    </w:p>
    <w:p w14:paraId="54D5F90B" w14:textId="77777777" w:rsidR="00446E42" w:rsidRPr="00977AC5" w:rsidRDefault="00446E42" w:rsidP="00446E42">
      <w:pPr>
        <w:pStyle w:val="SingleTxtG"/>
      </w:pPr>
      <w:r>
        <w:t>12.</w:t>
      </w:r>
      <w:r>
        <w:tab/>
        <w:t>Записи 1–5 взяты из образцов свидетельства о допущении и временного свидетельства о допущении, приведенных в подразделах 8.6.1.1 и 8.6.1.3 ВОПОГ.</w:t>
      </w:r>
    </w:p>
    <w:p w14:paraId="2FBFFA88" w14:textId="77777777" w:rsidR="00446E42" w:rsidRPr="00977AC5" w:rsidRDefault="00446E42" w:rsidP="00446E42">
      <w:pPr>
        <w:pStyle w:val="SingleTxtG"/>
      </w:pPr>
      <w:r>
        <w:t>13.</w:t>
      </w:r>
      <w:r>
        <w:tab/>
        <w:t>Запись 6 взята из пункта 1.16.1.2.1 ВОПОГ, в котором предписывается ограничение срока действия свидетельств о допущении. Ограничение срока действия временных свидетельств о допущении уточняется в пункте 1.16.1.3.1 ВОПОГ.</w:t>
      </w:r>
    </w:p>
    <w:p w14:paraId="72FAFD95" w14:textId="77777777" w:rsidR="00446E42" w:rsidRPr="00977AC5" w:rsidRDefault="00446E42" w:rsidP="00446E42">
      <w:pPr>
        <w:pStyle w:val="SingleTxtG"/>
      </w:pPr>
      <w:r>
        <w:t>14.</w:t>
      </w:r>
      <w:r>
        <w:tab/>
        <w:t>Запись 7 добавлена по следующей причине: в соответствии с главой 1.16 собственник или оператор судна обязан принимать определенные меры и может быть адресатом административных распоряжений. Для этого компетентные органы должны иметь его контактные данные.</w:t>
      </w:r>
    </w:p>
    <w:p w14:paraId="21DF3697" w14:textId="77777777" w:rsidR="00446E42" w:rsidRPr="00977AC5" w:rsidRDefault="00446E42" w:rsidP="00446E42">
      <w:pPr>
        <w:pStyle w:val="SingleTxtG"/>
        <w:rPr>
          <w:bCs/>
        </w:rPr>
      </w:pPr>
      <w:r>
        <w:t>15.</w:t>
      </w:r>
      <w:r>
        <w:tab/>
        <w:t>Запись о выдаче дубликата необходима для предотвращения неправомерного использования свидетельства о допущении, о котором было сообщено, что оно утеряно, украдено или уничтожено.</w:t>
      </w:r>
    </w:p>
    <w:p w14:paraId="0B3E0345" w14:textId="77777777" w:rsidR="00446E42" w:rsidRPr="00977AC5" w:rsidRDefault="00446E42" w:rsidP="00446E42">
      <w:pPr>
        <w:pStyle w:val="HChG"/>
      </w:pPr>
      <w:r>
        <w:tab/>
      </w:r>
      <w:r>
        <w:tab/>
      </w:r>
      <w:r>
        <w:rPr>
          <w:bCs/>
        </w:rPr>
        <w:t>Безопасность</w:t>
      </w:r>
    </w:p>
    <w:p w14:paraId="65101B52" w14:textId="77777777" w:rsidR="00446E42" w:rsidRPr="00977AC5" w:rsidRDefault="00446E42" w:rsidP="00446E42">
      <w:pPr>
        <w:pStyle w:val="SingleTxtG"/>
        <w:rPr>
          <w:bCs/>
        </w:rPr>
      </w:pPr>
      <w:r>
        <w:t>16.</w:t>
      </w:r>
      <w:r>
        <w:tab/>
        <w:t>Данное изменение не влияет на безопасность перевозки. Облегчаются задачи проверяющих органов.</w:t>
      </w:r>
    </w:p>
    <w:p w14:paraId="35F50DE7" w14:textId="77777777" w:rsidR="00446E42" w:rsidRPr="00977AC5" w:rsidRDefault="00446E42" w:rsidP="00446E42">
      <w:pPr>
        <w:pStyle w:val="HChG"/>
      </w:pPr>
      <w:r>
        <w:tab/>
      </w:r>
      <w:r>
        <w:tab/>
      </w:r>
      <w:r>
        <w:rPr>
          <w:bCs/>
        </w:rPr>
        <w:t>Осуществление</w:t>
      </w:r>
    </w:p>
    <w:p w14:paraId="15232D17" w14:textId="77777777" w:rsidR="00446E42" w:rsidRPr="00977AC5" w:rsidRDefault="00446E42" w:rsidP="00446E42">
      <w:pPr>
        <w:pStyle w:val="SingleTxtG"/>
      </w:pPr>
      <w:r>
        <w:t>17.</w:t>
      </w:r>
      <w:r>
        <w:tab/>
        <w:t>Никаких изменений в области судостроения или логистики не требуется. Содержание реестров в предписанном виде, вероятно, уже соответствует административной практике. Нет никаких указаний в отношении формы реестров. Они могут вестись как в аналоговом, так и в цифровом виде. Для передачи информации может оказаться целесообразным установление электронной связи между компетентными органами договаривающихся сторон.</w:t>
      </w:r>
    </w:p>
    <w:p w14:paraId="01857A7D" w14:textId="5FE156AD" w:rsidR="00446E42" w:rsidRDefault="00446E42" w:rsidP="00446E42">
      <w:pPr>
        <w:pStyle w:val="SingleTxtG"/>
      </w:pPr>
      <w:r>
        <w:lastRenderedPageBreak/>
        <w:t>18.</w:t>
      </w:r>
      <w:r>
        <w:tab/>
        <w:t>В среднесрочной перспективе договаривающимся сторонам, возможно, будет целесообразно предоставить друг другу электронный доступ к национальным реестрам через Интернет.</w:t>
      </w:r>
    </w:p>
    <w:p w14:paraId="520D9132" w14:textId="12EEDEA5" w:rsidR="00E12C5F" w:rsidRPr="008D53B6" w:rsidRDefault="00446E42" w:rsidP="00446E42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5F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6E5A" w14:textId="77777777" w:rsidR="00C96706" w:rsidRPr="00A312BC" w:rsidRDefault="00C96706" w:rsidP="00A312BC"/>
  </w:endnote>
  <w:endnote w:type="continuationSeparator" w:id="0">
    <w:p w14:paraId="2F783F03" w14:textId="77777777" w:rsidR="00C96706" w:rsidRPr="00A312BC" w:rsidRDefault="00C967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0918" w14:textId="77777777" w:rsidR="005F3449" w:rsidRPr="005F3449" w:rsidRDefault="005F3449">
    <w:pPr>
      <w:pStyle w:val="Footer"/>
    </w:pPr>
    <w:r w:rsidRPr="005F3449">
      <w:rPr>
        <w:b/>
        <w:sz w:val="18"/>
      </w:rPr>
      <w:fldChar w:fldCharType="begin"/>
    </w:r>
    <w:r w:rsidRPr="005F3449">
      <w:rPr>
        <w:b/>
        <w:sz w:val="18"/>
      </w:rPr>
      <w:instrText xml:space="preserve"> PAGE  \* MERGEFORMAT </w:instrText>
    </w:r>
    <w:r w:rsidRPr="005F3449">
      <w:rPr>
        <w:b/>
        <w:sz w:val="18"/>
      </w:rPr>
      <w:fldChar w:fldCharType="separate"/>
    </w:r>
    <w:r w:rsidRPr="005F3449">
      <w:rPr>
        <w:b/>
        <w:noProof/>
        <w:sz w:val="18"/>
      </w:rPr>
      <w:t>2</w:t>
    </w:r>
    <w:r w:rsidRPr="005F3449">
      <w:rPr>
        <w:b/>
        <w:sz w:val="18"/>
      </w:rPr>
      <w:fldChar w:fldCharType="end"/>
    </w:r>
    <w:r>
      <w:rPr>
        <w:b/>
        <w:sz w:val="18"/>
      </w:rPr>
      <w:tab/>
    </w:r>
    <w:r>
      <w:t>GE.20-07140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17F7" w14:textId="77777777" w:rsidR="005F3449" w:rsidRPr="005F3449" w:rsidRDefault="005F3449" w:rsidP="005F3449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GE.20-07140</w:t>
    </w:r>
    <w:r>
      <w:tab/>
    </w:r>
    <w:r w:rsidRPr="005F3449">
      <w:rPr>
        <w:b/>
        <w:sz w:val="18"/>
      </w:rPr>
      <w:fldChar w:fldCharType="begin"/>
    </w:r>
    <w:r w:rsidRPr="005F3449">
      <w:rPr>
        <w:b/>
        <w:sz w:val="18"/>
      </w:rPr>
      <w:instrText xml:space="preserve"> PAGE  \* MERGEFORMAT </w:instrText>
    </w:r>
    <w:r w:rsidRPr="005F3449">
      <w:rPr>
        <w:b/>
        <w:sz w:val="18"/>
      </w:rPr>
      <w:fldChar w:fldCharType="separate"/>
    </w:r>
    <w:r w:rsidRPr="005F3449">
      <w:rPr>
        <w:b/>
        <w:noProof/>
        <w:sz w:val="18"/>
      </w:rPr>
      <w:t>3</w:t>
    </w:r>
    <w:r w:rsidRPr="005F34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7FBD" w14:textId="44FE2676" w:rsidR="00042B72" w:rsidRPr="005F3449" w:rsidRDefault="005F3449" w:rsidP="005F344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A80A4E1" wp14:editId="244225C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20-07140  (R)</w:t>
    </w:r>
    <w:r>
      <w:rPr>
        <w:lang w:val="en-US"/>
      </w:rPr>
      <w:t xml:space="preserve">  030620  080620</w:t>
    </w:r>
    <w:r>
      <w:br/>
    </w:r>
    <w:r w:rsidRPr="005F3449">
      <w:rPr>
        <w:rFonts w:ascii="C39T30Lfz" w:hAnsi="C39T30Lfz"/>
        <w:kern w:val="14"/>
        <w:sz w:val="56"/>
      </w:rPr>
      <w:t></w:t>
    </w:r>
    <w:r w:rsidRPr="005F3449">
      <w:rPr>
        <w:rFonts w:ascii="C39T30Lfz" w:hAnsi="C39T30Lfz"/>
        <w:kern w:val="14"/>
        <w:sz w:val="56"/>
      </w:rPr>
      <w:t></w:t>
    </w:r>
    <w:r w:rsidRPr="005F3449">
      <w:rPr>
        <w:rFonts w:ascii="C39T30Lfz" w:hAnsi="C39T30Lfz"/>
        <w:kern w:val="14"/>
        <w:sz w:val="56"/>
      </w:rPr>
      <w:t></w:t>
    </w:r>
    <w:r w:rsidRPr="005F3449">
      <w:rPr>
        <w:rFonts w:ascii="C39T30Lfz" w:hAnsi="C39T30Lfz"/>
        <w:kern w:val="14"/>
        <w:sz w:val="56"/>
      </w:rPr>
      <w:t></w:t>
    </w:r>
    <w:r w:rsidRPr="005F3449">
      <w:rPr>
        <w:rFonts w:ascii="C39T30Lfz" w:hAnsi="C39T30Lfz"/>
        <w:kern w:val="14"/>
        <w:sz w:val="56"/>
      </w:rPr>
      <w:t></w:t>
    </w:r>
    <w:r w:rsidRPr="005F3449">
      <w:rPr>
        <w:rFonts w:ascii="C39T30Lfz" w:hAnsi="C39T30Lfz"/>
        <w:kern w:val="14"/>
        <w:sz w:val="56"/>
      </w:rPr>
      <w:t></w:t>
    </w:r>
    <w:r w:rsidRPr="005F3449">
      <w:rPr>
        <w:rFonts w:ascii="C39T30Lfz" w:hAnsi="C39T30Lfz"/>
        <w:kern w:val="14"/>
        <w:sz w:val="56"/>
      </w:rPr>
      <w:t></w:t>
    </w:r>
    <w:r w:rsidRPr="005F3449">
      <w:rPr>
        <w:rFonts w:ascii="C39T30Lfz" w:hAnsi="C39T30Lfz"/>
        <w:kern w:val="14"/>
        <w:sz w:val="56"/>
      </w:rPr>
      <w:t></w:t>
    </w:r>
    <w:r w:rsidRPr="005F344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456F2E" wp14:editId="51C6ECE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5AEBC" w14:textId="77777777" w:rsidR="00C96706" w:rsidRPr="001075E9" w:rsidRDefault="00C967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A7CD13" w14:textId="77777777" w:rsidR="00C96706" w:rsidRDefault="00C967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3F6574" w14:textId="77777777" w:rsidR="00446E42" w:rsidRPr="008006E0" w:rsidRDefault="00446E42" w:rsidP="00446E42">
      <w:pPr>
        <w:pStyle w:val="FootnoteText"/>
      </w:pPr>
      <w:r>
        <w:tab/>
      </w:r>
      <w:r w:rsidRPr="004D5422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CCNR/ZKR/ADN/WP.15/AC.2/2020/27.</w:t>
      </w:r>
    </w:p>
  </w:footnote>
  <w:footnote w:id="2">
    <w:p w14:paraId="6F23FD9C" w14:textId="06CABA82" w:rsidR="00446E42" w:rsidRPr="008006E0" w:rsidRDefault="00446E42" w:rsidP="00446E42">
      <w:pPr>
        <w:pStyle w:val="FootnoteText"/>
      </w:pPr>
      <w:r>
        <w:tab/>
      </w:r>
      <w:r w:rsidRPr="004D5422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2020 год, содержащейся в предлагаемом бюджете по программам на 2020 год (A/74/6 (часть V, раздел</w:t>
      </w:r>
      <w:r w:rsidR="004D5422">
        <w:rPr>
          <w:lang w:val="en-US"/>
        </w:rPr>
        <w:t> </w:t>
      </w:r>
      <w:r>
        <w:t>20), пункт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9345" w14:textId="3018CC97" w:rsidR="005F3449" w:rsidRPr="005F3449" w:rsidRDefault="005E6FE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647DB">
      <w:t>ECE/TRANS/WP.15/AC.2/2020/27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14D5" w14:textId="7E9A5A98" w:rsidR="005F3449" w:rsidRPr="005F3449" w:rsidRDefault="005E6FEC" w:rsidP="005F34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647DB">
      <w:t>ECE/TRANS/WP.15/AC.2/2020/27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37AF" w14:textId="77777777" w:rsidR="005F3449" w:rsidRDefault="005F3449" w:rsidP="005F34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0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47D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4E5C"/>
    <w:rsid w:val="003E0B46"/>
    <w:rsid w:val="00407B78"/>
    <w:rsid w:val="00424203"/>
    <w:rsid w:val="00446E42"/>
    <w:rsid w:val="00452493"/>
    <w:rsid w:val="00453318"/>
    <w:rsid w:val="00454AF2"/>
    <w:rsid w:val="00454E07"/>
    <w:rsid w:val="00472C5C"/>
    <w:rsid w:val="004D5422"/>
    <w:rsid w:val="004E05B7"/>
    <w:rsid w:val="004E62E6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6FEC"/>
    <w:rsid w:val="005F0B42"/>
    <w:rsid w:val="005F344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36C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454D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6706"/>
    <w:rsid w:val="00CA1679"/>
    <w:rsid w:val="00CB151C"/>
    <w:rsid w:val="00CE5A1A"/>
    <w:rsid w:val="00CF55F6"/>
    <w:rsid w:val="00D33D63"/>
    <w:rsid w:val="00D5253A"/>
    <w:rsid w:val="00D7277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1100D"/>
  <w15:docId w15:val="{397E2F0A-276A-4DD3-B97E-2BDA38FE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46E42"/>
    <w:rPr>
      <w:lang w:val="ru-RU" w:eastAsia="en-US"/>
    </w:rPr>
  </w:style>
  <w:style w:type="character" w:customStyle="1" w:styleId="HChGChar">
    <w:name w:val="_ H _Ch_G Char"/>
    <w:link w:val="HChG"/>
    <w:rsid w:val="00446E4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F0B3-60C5-47FF-AEA7-75D97632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5979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ECE/TRANS/WP.15/AC.2/2020/27</vt:lpstr>
      <vt:lpstr>A/</vt:lpstr>
      <vt:lpstr>A/</vt:lpstr>
    </vt:vector>
  </TitlesOfParts>
  <Company>DCM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ECE/TRANS/WP.15/AC.2/2020/27</dc:title>
  <dc:subject/>
  <dc:creator>Olga OVTCHINNIKOVA</dc:creator>
  <cp:keywords/>
  <cp:lastModifiedBy>Secretariat</cp:lastModifiedBy>
  <cp:revision>2</cp:revision>
  <cp:lastPrinted>2020-06-08T12:54:00Z</cp:lastPrinted>
  <dcterms:created xsi:type="dcterms:W3CDTF">2020-06-11T14:54:00Z</dcterms:created>
  <dcterms:modified xsi:type="dcterms:W3CDTF">2020-06-11T14:54:00Z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