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15B8B" w:rsidRPr="00FF658F" w14:paraId="6BB9F6D2" w14:textId="77777777" w:rsidTr="00EE2CDD">
        <w:trPr>
          <w:cantSplit/>
          <w:trHeight w:hRule="exact" w:val="851"/>
        </w:trPr>
        <w:tc>
          <w:tcPr>
            <w:tcW w:w="1276" w:type="dxa"/>
            <w:tcBorders>
              <w:bottom w:val="single" w:sz="4" w:space="0" w:color="auto"/>
            </w:tcBorders>
            <w:vAlign w:val="bottom"/>
          </w:tcPr>
          <w:p w14:paraId="7FF49310" w14:textId="77777777" w:rsidR="00D15B8B" w:rsidRPr="00FF658F" w:rsidRDefault="00D15B8B" w:rsidP="00EE2CDD">
            <w:pPr>
              <w:rPr>
                <w:lang w:eastAsia="en-GB"/>
              </w:rPr>
            </w:pPr>
          </w:p>
        </w:tc>
        <w:tc>
          <w:tcPr>
            <w:tcW w:w="8363" w:type="dxa"/>
            <w:gridSpan w:val="2"/>
            <w:tcBorders>
              <w:bottom w:val="single" w:sz="4" w:space="0" w:color="auto"/>
            </w:tcBorders>
            <w:vAlign w:val="bottom"/>
          </w:tcPr>
          <w:p w14:paraId="64BAC239" w14:textId="57C86966" w:rsidR="00D15B8B" w:rsidRPr="00FF658F" w:rsidRDefault="00D15B8B" w:rsidP="00EE2CDD">
            <w:pPr>
              <w:jc w:val="right"/>
            </w:pPr>
            <w:r w:rsidRPr="003C435B">
              <w:rPr>
                <w:b/>
                <w:sz w:val="40"/>
                <w:szCs w:val="40"/>
              </w:rPr>
              <w:t>INF.</w:t>
            </w:r>
            <w:r>
              <w:rPr>
                <w:b/>
                <w:sz w:val="40"/>
                <w:szCs w:val="40"/>
              </w:rPr>
              <w:t>5</w:t>
            </w:r>
          </w:p>
        </w:tc>
      </w:tr>
      <w:tr w:rsidR="00D15B8B" w:rsidRPr="00FF658F" w14:paraId="37B1C77A" w14:textId="77777777" w:rsidTr="00EE2CDD">
        <w:trPr>
          <w:cantSplit/>
          <w:trHeight w:hRule="exact" w:val="3271"/>
        </w:trPr>
        <w:tc>
          <w:tcPr>
            <w:tcW w:w="6804" w:type="dxa"/>
            <w:gridSpan w:val="2"/>
            <w:tcBorders>
              <w:top w:val="single" w:sz="4" w:space="0" w:color="auto"/>
              <w:bottom w:val="single" w:sz="12" w:space="0" w:color="auto"/>
            </w:tcBorders>
          </w:tcPr>
          <w:p w14:paraId="583EC8A1" w14:textId="77777777" w:rsidR="00D15B8B" w:rsidRPr="002E7DCB" w:rsidRDefault="00D15B8B" w:rsidP="00EE2CDD">
            <w:pPr>
              <w:spacing w:before="120"/>
              <w:rPr>
                <w:b/>
                <w:sz w:val="28"/>
                <w:szCs w:val="28"/>
              </w:rPr>
            </w:pPr>
            <w:r>
              <w:rPr>
                <w:b/>
                <w:bCs/>
                <w:sz w:val="28"/>
                <w:szCs w:val="28"/>
              </w:rPr>
              <w:t>Economic Commission for Europe</w:t>
            </w:r>
          </w:p>
          <w:p w14:paraId="7BA3A984" w14:textId="77777777" w:rsidR="00D15B8B" w:rsidRPr="002E7DCB" w:rsidRDefault="00D15B8B" w:rsidP="00EE2CDD">
            <w:pPr>
              <w:spacing w:before="120"/>
              <w:rPr>
                <w:sz w:val="28"/>
                <w:szCs w:val="28"/>
              </w:rPr>
            </w:pPr>
            <w:r>
              <w:rPr>
                <w:sz w:val="28"/>
                <w:szCs w:val="28"/>
              </w:rPr>
              <w:t>Inland Transport Committee</w:t>
            </w:r>
          </w:p>
          <w:p w14:paraId="50AB35C6" w14:textId="77777777" w:rsidR="00D15B8B" w:rsidRPr="002E7DCB" w:rsidRDefault="00D15B8B" w:rsidP="00EE2CDD">
            <w:pPr>
              <w:spacing w:before="120"/>
              <w:rPr>
                <w:b/>
                <w:sz w:val="24"/>
                <w:szCs w:val="24"/>
              </w:rPr>
            </w:pPr>
            <w:r>
              <w:rPr>
                <w:b/>
                <w:sz w:val="24"/>
                <w:szCs w:val="24"/>
              </w:rPr>
              <w:t>Working Party on the Transport of Dangerous Goods</w:t>
            </w:r>
          </w:p>
          <w:p w14:paraId="533ABA7B" w14:textId="77777777" w:rsidR="00D15B8B" w:rsidRPr="00FF658F" w:rsidRDefault="00D15B8B" w:rsidP="00EE2CDD">
            <w:pPr>
              <w:spacing w:before="120"/>
              <w:rPr>
                <w:b/>
              </w:rPr>
            </w:pPr>
            <w:r>
              <w:rPr>
                <w:b/>
              </w:rPr>
              <w:t>Joint Meeting of Experts on the Regulations annexed to the</w:t>
            </w:r>
          </w:p>
          <w:p w14:paraId="0F10DA73" w14:textId="77777777" w:rsidR="00D15B8B" w:rsidRPr="00FF658F" w:rsidRDefault="00D15B8B" w:rsidP="00EE2CDD">
            <w:pPr>
              <w:rPr>
                <w:b/>
              </w:rPr>
            </w:pPr>
            <w:r>
              <w:rPr>
                <w:b/>
              </w:rPr>
              <w:t>European Agreement concerning the International Carriage</w:t>
            </w:r>
          </w:p>
          <w:p w14:paraId="1499387C" w14:textId="77777777" w:rsidR="00D15B8B" w:rsidRPr="002E7DCB" w:rsidRDefault="00D15B8B" w:rsidP="00EE2CDD">
            <w:pPr>
              <w:rPr>
                <w:b/>
              </w:rPr>
            </w:pPr>
            <w:r>
              <w:rPr>
                <w:b/>
              </w:rPr>
              <w:t>of Dangerous Goods by Inland Waterways (ADN)</w:t>
            </w:r>
          </w:p>
          <w:p w14:paraId="5518A431" w14:textId="77777777" w:rsidR="00D15B8B" w:rsidRPr="00614AA5" w:rsidRDefault="00D15B8B" w:rsidP="00EE2CDD">
            <w:pPr>
              <w:spacing w:before="120"/>
              <w:rPr>
                <w:b/>
              </w:rPr>
            </w:pPr>
            <w:r w:rsidRPr="00614AA5">
              <w:rPr>
                <w:b/>
              </w:rPr>
              <w:t>Thirty-sixth session</w:t>
            </w:r>
          </w:p>
          <w:p w14:paraId="2D5FE004" w14:textId="77777777" w:rsidR="00D15B8B" w:rsidRPr="00614AA5" w:rsidRDefault="00D15B8B" w:rsidP="00EE2CDD">
            <w:r w:rsidRPr="00614AA5">
              <w:t>Geneva, 27-31 January 2020</w:t>
            </w:r>
            <w:r w:rsidRPr="00614AA5">
              <w:br/>
              <w:t>Item 6 of the provisional agenda</w:t>
            </w:r>
          </w:p>
          <w:p w14:paraId="5221C8BA" w14:textId="77777777" w:rsidR="00D15B8B" w:rsidRPr="00FF658F" w:rsidRDefault="00D15B8B" w:rsidP="00EE2CDD">
            <w:pPr>
              <w:rPr>
                <w:b/>
              </w:rPr>
            </w:pPr>
            <w:r w:rsidRPr="00614AA5">
              <w:rPr>
                <w:b/>
                <w:bCs/>
              </w:rPr>
              <w:t>Reports of informal working groups</w:t>
            </w:r>
            <w:r w:rsidRPr="00614AA5">
              <w:rPr>
                <w:b/>
              </w:rPr>
              <w:t xml:space="preserve">  </w:t>
            </w:r>
            <w:r>
              <w:rPr>
                <w:b/>
              </w:rPr>
              <w:t xml:space="preserve"> </w:t>
            </w:r>
          </w:p>
        </w:tc>
        <w:tc>
          <w:tcPr>
            <w:tcW w:w="2835" w:type="dxa"/>
            <w:tcBorders>
              <w:top w:val="single" w:sz="4" w:space="0" w:color="auto"/>
              <w:bottom w:val="single" w:sz="12" w:space="0" w:color="auto"/>
            </w:tcBorders>
          </w:tcPr>
          <w:p w14:paraId="751E6826" w14:textId="77777777" w:rsidR="00D15B8B" w:rsidRPr="00FF658F" w:rsidRDefault="00D15B8B" w:rsidP="00EE2CDD">
            <w:pPr>
              <w:spacing w:before="120"/>
              <w:rPr>
                <w:lang w:eastAsia="en-GB"/>
              </w:rPr>
            </w:pPr>
          </w:p>
          <w:p w14:paraId="2A8E7F2E" w14:textId="5A52D73D" w:rsidR="00D15B8B" w:rsidRPr="00FF658F" w:rsidRDefault="00D15B8B" w:rsidP="00EE2CDD">
            <w:pPr>
              <w:spacing w:before="120"/>
              <w:ind w:left="431"/>
            </w:pPr>
            <w:r>
              <w:t>20 December</w:t>
            </w:r>
            <w:r>
              <w:t xml:space="preserve"> 2019</w:t>
            </w:r>
            <w:r>
              <w:br/>
              <w:t>English</w:t>
            </w:r>
          </w:p>
        </w:tc>
      </w:tr>
    </w:tbl>
    <w:p w14:paraId="5271C67A" w14:textId="77777777" w:rsidR="00F1616D" w:rsidRPr="003134DF" w:rsidRDefault="00F1616D" w:rsidP="002F7D50">
      <w:pPr>
        <w:pStyle w:val="HChG"/>
      </w:pPr>
      <w:bookmarkStart w:id="0" w:name="_GoBack"/>
      <w:bookmarkEnd w:id="0"/>
      <w:r w:rsidRPr="003134DF">
        <w:tab/>
      </w:r>
      <w:r w:rsidRPr="003134DF">
        <w:tab/>
      </w:r>
      <w:r w:rsidR="00B50FCB">
        <w:t xml:space="preserve">Report </w:t>
      </w:r>
      <w:r w:rsidR="00B50FCB">
        <w:rPr>
          <w:bCs/>
          <w:iCs/>
        </w:rPr>
        <w:t xml:space="preserve">of the </w:t>
      </w:r>
      <w:r w:rsidR="00532AD7">
        <w:rPr>
          <w:bCs/>
          <w:iCs/>
        </w:rPr>
        <w:t>fourth</w:t>
      </w:r>
      <w:r w:rsidR="002F7D50" w:rsidRPr="002F7D50">
        <w:rPr>
          <w:bCs/>
          <w:iCs/>
        </w:rPr>
        <w:t xml:space="preserve"> meeting of the informal working group </w:t>
      </w:r>
      <w:r w:rsidR="00004B7A" w:rsidRPr="00004B7A">
        <w:rPr>
          <w:rFonts w:eastAsia="Calibri"/>
        </w:rPr>
        <w:t>“</w:t>
      </w:r>
      <w:r w:rsidR="002F7D50" w:rsidRPr="002F7D50">
        <w:rPr>
          <w:bCs/>
          <w:iCs/>
        </w:rPr>
        <w:t>loading on top in barges</w:t>
      </w:r>
      <w:r w:rsidR="00004B7A" w:rsidRPr="00004B7A">
        <w:rPr>
          <w:rFonts w:eastAsia="Calibri"/>
        </w:rPr>
        <w:t>”</w:t>
      </w:r>
    </w:p>
    <w:p w14:paraId="71D81F71" w14:textId="77777777" w:rsidR="00F1616D" w:rsidRDefault="00F1616D" w:rsidP="002F7D50">
      <w:pPr>
        <w:pStyle w:val="H1G"/>
        <w:rPr>
          <w:bCs/>
          <w:sz w:val="20"/>
          <w:vertAlign w:val="superscript"/>
          <w:lang w:val="en-US"/>
        </w:rPr>
      </w:pPr>
      <w:r w:rsidRPr="003134DF">
        <w:tab/>
      </w:r>
      <w:r w:rsidRPr="003134DF">
        <w:tab/>
      </w:r>
      <w:r w:rsidR="004D1C6E">
        <w:rPr>
          <w:bCs/>
          <w:lang w:val="en-US"/>
        </w:rPr>
        <w:t>Transmitted</w:t>
      </w:r>
      <w:r w:rsidR="000532C7" w:rsidRPr="000532C7">
        <w:rPr>
          <w:bCs/>
          <w:lang w:val="en-US"/>
        </w:rPr>
        <w:t xml:space="preserve"> by </w:t>
      </w:r>
      <w:r w:rsidR="002F7D50" w:rsidRPr="002F7D50">
        <w:rPr>
          <w:bCs/>
        </w:rPr>
        <w:t xml:space="preserve">the </w:t>
      </w:r>
      <w:r w:rsidR="00B50FCB">
        <w:rPr>
          <w:bCs/>
        </w:rPr>
        <w:t>Netherlands</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904294" w:rsidRPr="003134DF" w14:paraId="3AA63D82" w14:textId="77777777" w:rsidTr="00585131">
        <w:trPr>
          <w:jc w:val="center"/>
        </w:trPr>
        <w:tc>
          <w:tcPr>
            <w:tcW w:w="2552" w:type="dxa"/>
            <w:tcBorders>
              <w:top w:val="single" w:sz="4" w:space="0" w:color="auto"/>
            </w:tcBorders>
          </w:tcPr>
          <w:p w14:paraId="0B3B2C30" w14:textId="77777777" w:rsidR="00904294" w:rsidRPr="003134DF" w:rsidRDefault="00904294" w:rsidP="00585131">
            <w:pPr>
              <w:tabs>
                <w:tab w:val="left" w:pos="284"/>
              </w:tabs>
              <w:spacing w:before="120" w:after="120"/>
            </w:pPr>
            <w:r w:rsidRPr="003134DF">
              <w:rPr>
                <w:i/>
                <w:sz w:val="24"/>
              </w:rPr>
              <w:tab/>
              <w:t>Summary</w:t>
            </w:r>
          </w:p>
        </w:tc>
        <w:tc>
          <w:tcPr>
            <w:tcW w:w="5953" w:type="dxa"/>
            <w:tcBorders>
              <w:top w:val="single" w:sz="4" w:space="0" w:color="auto"/>
            </w:tcBorders>
          </w:tcPr>
          <w:p w14:paraId="781AE3E8" w14:textId="77777777" w:rsidR="00904294" w:rsidRPr="003134DF" w:rsidRDefault="00904294" w:rsidP="00585131">
            <w:pPr>
              <w:spacing w:before="120" w:after="120"/>
            </w:pPr>
          </w:p>
        </w:tc>
      </w:tr>
      <w:tr w:rsidR="00904294" w:rsidRPr="003134DF" w14:paraId="66B28E47" w14:textId="77777777" w:rsidTr="00585131">
        <w:trPr>
          <w:jc w:val="center"/>
        </w:trPr>
        <w:tc>
          <w:tcPr>
            <w:tcW w:w="2552" w:type="dxa"/>
          </w:tcPr>
          <w:p w14:paraId="16927261" w14:textId="77777777" w:rsidR="00904294" w:rsidRPr="003134DF" w:rsidRDefault="00904294" w:rsidP="00585131">
            <w:pPr>
              <w:tabs>
                <w:tab w:val="left" w:pos="284"/>
              </w:tabs>
              <w:spacing w:before="120"/>
            </w:pPr>
            <w:r w:rsidRPr="003134DF">
              <w:rPr>
                <w:b/>
              </w:rPr>
              <w:tab/>
              <w:t>Executive summary:</w:t>
            </w:r>
          </w:p>
        </w:tc>
        <w:tc>
          <w:tcPr>
            <w:tcW w:w="5953" w:type="dxa"/>
          </w:tcPr>
          <w:p w14:paraId="0B3AB807" w14:textId="77777777" w:rsidR="00904294" w:rsidRPr="003134DF" w:rsidRDefault="00405683" w:rsidP="003618B3">
            <w:pPr>
              <w:spacing w:before="120"/>
            </w:pPr>
            <w:r>
              <w:t xml:space="preserve">The informal working group </w:t>
            </w:r>
            <w:r w:rsidR="009F7F33">
              <w:t>worked on the inventory of items to be addressed and the identification of case-studies.</w:t>
            </w:r>
          </w:p>
        </w:tc>
      </w:tr>
      <w:tr w:rsidR="00904294" w:rsidRPr="003134DF" w14:paraId="70C1EFAE" w14:textId="77777777" w:rsidTr="00585131">
        <w:trPr>
          <w:trHeight w:val="509"/>
          <w:jc w:val="center"/>
        </w:trPr>
        <w:tc>
          <w:tcPr>
            <w:tcW w:w="2552" w:type="dxa"/>
          </w:tcPr>
          <w:p w14:paraId="6B091A4C" w14:textId="77777777" w:rsidR="00904294" w:rsidRPr="003134DF" w:rsidRDefault="00904294" w:rsidP="00585131">
            <w:pPr>
              <w:tabs>
                <w:tab w:val="left" w:pos="284"/>
              </w:tabs>
              <w:spacing w:before="120"/>
              <w:rPr>
                <w:b/>
              </w:rPr>
            </w:pPr>
            <w:r w:rsidRPr="003134DF">
              <w:rPr>
                <w:b/>
              </w:rPr>
              <w:tab/>
              <w:t>Action to be taken:</w:t>
            </w:r>
          </w:p>
        </w:tc>
        <w:tc>
          <w:tcPr>
            <w:tcW w:w="5953" w:type="dxa"/>
          </w:tcPr>
          <w:p w14:paraId="5742D403" w14:textId="77777777" w:rsidR="00904294" w:rsidRDefault="00C7613D" w:rsidP="00904294">
            <w:pPr>
              <w:spacing w:before="120"/>
            </w:pPr>
            <w:r>
              <w:t>The Safety Committee is requested in paragraph</w:t>
            </w:r>
            <w:r w:rsidR="00405683">
              <w:t xml:space="preserve"> 7 to consider the results of the informal working group and to decide whether the informal working group can proceed </w:t>
            </w:r>
          </w:p>
          <w:p w14:paraId="39CC616A" w14:textId="77777777" w:rsidR="00405683" w:rsidRPr="003134DF" w:rsidRDefault="00405683" w:rsidP="00904294">
            <w:pPr>
              <w:spacing w:before="120"/>
            </w:pPr>
          </w:p>
        </w:tc>
      </w:tr>
      <w:tr w:rsidR="00904294" w:rsidRPr="00B50FCB" w14:paraId="14D7DA01" w14:textId="77777777" w:rsidTr="00585131">
        <w:trPr>
          <w:jc w:val="center"/>
        </w:trPr>
        <w:tc>
          <w:tcPr>
            <w:tcW w:w="2552" w:type="dxa"/>
            <w:tcBorders>
              <w:bottom w:val="single" w:sz="4" w:space="0" w:color="auto"/>
            </w:tcBorders>
          </w:tcPr>
          <w:p w14:paraId="5B14CDB0" w14:textId="77777777" w:rsidR="00904294" w:rsidRPr="003134DF" w:rsidRDefault="00904294" w:rsidP="00585131">
            <w:pPr>
              <w:tabs>
                <w:tab w:val="left" w:pos="284"/>
              </w:tabs>
              <w:spacing w:before="120" w:after="120"/>
              <w:rPr>
                <w:b/>
              </w:rPr>
            </w:pPr>
            <w:r w:rsidRPr="003134DF">
              <w:rPr>
                <w:b/>
              </w:rPr>
              <w:tab/>
              <w:t>Related documents:</w:t>
            </w:r>
          </w:p>
        </w:tc>
        <w:tc>
          <w:tcPr>
            <w:tcW w:w="5953" w:type="dxa"/>
            <w:tcBorders>
              <w:bottom w:val="single" w:sz="4" w:space="0" w:color="auto"/>
            </w:tcBorders>
          </w:tcPr>
          <w:p w14:paraId="4823ACEF" w14:textId="77777777" w:rsidR="00904294" w:rsidRPr="00904294" w:rsidRDefault="004D1C6E" w:rsidP="00532AD7">
            <w:pPr>
              <w:spacing w:before="120" w:line="240" w:lineRule="auto"/>
              <w:contextualSpacing/>
              <w:rPr>
                <w:lang w:val="en-US"/>
              </w:rPr>
            </w:pPr>
            <w:r>
              <w:rPr>
                <w:lang w:val="en-US"/>
              </w:rPr>
              <w:t xml:space="preserve">Informal document </w:t>
            </w:r>
            <w:r w:rsidR="00904294" w:rsidRPr="00904294">
              <w:rPr>
                <w:lang w:val="en-US"/>
              </w:rPr>
              <w:t>INF.15</w:t>
            </w:r>
            <w:r>
              <w:rPr>
                <w:lang w:val="en-US"/>
              </w:rPr>
              <w:t xml:space="preserve"> of the thirtieth session</w:t>
            </w:r>
          </w:p>
          <w:p w14:paraId="1BAE180E" w14:textId="77777777" w:rsidR="00904294" w:rsidRPr="00904294" w:rsidRDefault="004D1C6E" w:rsidP="00532AD7">
            <w:pPr>
              <w:spacing w:line="240" w:lineRule="auto"/>
              <w:contextualSpacing/>
              <w:rPr>
                <w:lang w:val="en-US"/>
              </w:rPr>
            </w:pPr>
            <w:r>
              <w:rPr>
                <w:lang w:val="en-US"/>
              </w:rPr>
              <w:t>Informal document</w:t>
            </w:r>
            <w:r w:rsidRPr="00904294">
              <w:rPr>
                <w:lang w:val="en-US"/>
              </w:rPr>
              <w:t xml:space="preserve"> </w:t>
            </w:r>
            <w:r w:rsidR="00904294" w:rsidRPr="00904294">
              <w:rPr>
                <w:lang w:val="en-US"/>
              </w:rPr>
              <w:t xml:space="preserve">INF.6 </w:t>
            </w:r>
            <w:r>
              <w:rPr>
                <w:lang w:val="en-US"/>
              </w:rPr>
              <w:t xml:space="preserve">of the thirty-first session </w:t>
            </w:r>
            <w:r w:rsidR="00904294" w:rsidRPr="00904294">
              <w:rPr>
                <w:lang w:val="en-US"/>
              </w:rPr>
              <w:t xml:space="preserve">as addendum to document </w:t>
            </w:r>
            <w:r w:rsidR="00904294" w:rsidRPr="00904294">
              <w:rPr>
                <w:bCs/>
                <w:lang w:val="en-US"/>
              </w:rPr>
              <w:t>ECE/TRANS/WP.15/AC.2/2017/44</w:t>
            </w:r>
          </w:p>
          <w:p w14:paraId="00DD92A7" w14:textId="77777777" w:rsidR="00B50FCB" w:rsidRDefault="004D1C6E" w:rsidP="00532AD7">
            <w:pPr>
              <w:spacing w:after="120" w:line="240" w:lineRule="auto"/>
              <w:contextualSpacing/>
            </w:pPr>
            <w:r>
              <w:rPr>
                <w:lang w:val="en-US"/>
              </w:rPr>
              <w:t>Informal document</w:t>
            </w:r>
            <w:r w:rsidRPr="00904294">
              <w:rPr>
                <w:lang w:val="en-US"/>
              </w:rPr>
              <w:t xml:space="preserve"> </w:t>
            </w:r>
            <w:r w:rsidR="00904294" w:rsidRPr="00B50FCB">
              <w:t>INF.9</w:t>
            </w:r>
            <w:r w:rsidRPr="00B50FCB">
              <w:t xml:space="preserve"> of the thirty-second session</w:t>
            </w:r>
          </w:p>
          <w:p w14:paraId="4F4FC1AC" w14:textId="77777777" w:rsidR="00B50FCB" w:rsidRPr="00C8603F" w:rsidRDefault="00B50FCB" w:rsidP="00532AD7">
            <w:pPr>
              <w:spacing w:after="120" w:line="240" w:lineRule="auto"/>
              <w:contextualSpacing/>
              <w:rPr>
                <w:bCs/>
                <w:color w:val="000000"/>
                <w:spacing w:val="-4"/>
              </w:rPr>
            </w:pPr>
            <w:r w:rsidRPr="00C8603F">
              <w:rPr>
                <w:bCs/>
                <w:color w:val="000000"/>
                <w:spacing w:val="-4"/>
              </w:rPr>
              <w:t>ECE/TRANS/WP.15/AC.2/2018/39</w:t>
            </w:r>
          </w:p>
          <w:p w14:paraId="41C5B562" w14:textId="77777777" w:rsidR="00B50FCB" w:rsidRDefault="00B50FCB" w:rsidP="00532AD7">
            <w:pPr>
              <w:spacing w:after="120" w:line="240" w:lineRule="auto"/>
              <w:contextualSpacing/>
              <w:rPr>
                <w:bCs/>
                <w:color w:val="4C4845"/>
                <w:spacing w:val="-4"/>
              </w:rPr>
            </w:pPr>
            <w:r w:rsidRPr="00B50FCB">
              <w:rPr>
                <w:bCs/>
                <w:color w:val="4C4845"/>
                <w:spacing w:val="-4"/>
              </w:rPr>
              <w:t>ECE/TRANS/WP.15/AC.2/70</w:t>
            </w:r>
          </w:p>
          <w:p w14:paraId="58CC43FF" w14:textId="77777777" w:rsidR="00532AD7" w:rsidRPr="00C8603F" w:rsidRDefault="00532AD7" w:rsidP="00532AD7">
            <w:pPr>
              <w:spacing w:after="120" w:line="240" w:lineRule="auto"/>
              <w:contextualSpacing/>
            </w:pPr>
            <w:r w:rsidRPr="00C8603F">
              <w:t>Informal document INF.5 of the thirty-fifth session</w:t>
            </w:r>
          </w:p>
          <w:p w14:paraId="2F596DD9" w14:textId="77777777" w:rsidR="00532AD7" w:rsidRPr="00B50FCB" w:rsidRDefault="00532AD7" w:rsidP="00532AD7">
            <w:pPr>
              <w:spacing w:after="120" w:line="240" w:lineRule="auto"/>
              <w:contextualSpacing/>
              <w:rPr>
                <w:lang w:val="fr-FR"/>
              </w:rPr>
            </w:pPr>
            <w:r>
              <w:rPr>
                <w:lang w:val="fr-FR"/>
              </w:rPr>
              <w:t>ECE/TRANS/WP.</w:t>
            </w:r>
            <w:r w:rsidR="00780C0C">
              <w:rPr>
                <w:lang w:val="fr-FR"/>
              </w:rPr>
              <w:t>15/AC.2/72</w:t>
            </w:r>
          </w:p>
        </w:tc>
      </w:tr>
    </w:tbl>
    <w:p w14:paraId="37D3065F" w14:textId="77777777" w:rsidR="000532C7" w:rsidRPr="004A0104" w:rsidRDefault="000532C7" w:rsidP="000532C7">
      <w:pPr>
        <w:pStyle w:val="HChG"/>
        <w:rPr>
          <w:sz w:val="24"/>
          <w:szCs w:val="24"/>
        </w:rPr>
      </w:pPr>
      <w:r w:rsidRPr="004A0104">
        <w:rPr>
          <w:sz w:val="24"/>
          <w:szCs w:val="24"/>
          <w:lang w:val="fr-FR"/>
        </w:rPr>
        <w:tab/>
      </w:r>
      <w:r w:rsidRPr="004A0104">
        <w:rPr>
          <w:sz w:val="24"/>
          <w:szCs w:val="24"/>
          <w:lang w:val="fr-FR"/>
        </w:rPr>
        <w:tab/>
      </w:r>
      <w:r w:rsidRPr="004A0104">
        <w:rPr>
          <w:sz w:val="24"/>
          <w:szCs w:val="24"/>
        </w:rPr>
        <w:t>Introduction</w:t>
      </w:r>
    </w:p>
    <w:p w14:paraId="35A83238" w14:textId="77777777" w:rsidR="00C05F2B" w:rsidRPr="00C05F2B" w:rsidRDefault="00FB0389" w:rsidP="00FB0389">
      <w:pPr>
        <w:pStyle w:val="SingleTxtG"/>
        <w:numPr>
          <w:ilvl w:val="0"/>
          <w:numId w:val="34"/>
        </w:numPr>
        <w:rPr>
          <w:i/>
        </w:rPr>
      </w:pPr>
      <w:r>
        <w:t>The Committee may recall that at its 3</w:t>
      </w:r>
      <w:r w:rsidR="008B7809">
        <w:t>5</w:t>
      </w:r>
      <w:r w:rsidRPr="00C05F2B">
        <w:rPr>
          <w:vertAlign w:val="superscript"/>
        </w:rPr>
        <w:t>th</w:t>
      </w:r>
      <w:r>
        <w:t xml:space="preserve"> session the mandate </w:t>
      </w:r>
      <w:r w:rsidR="008B7809">
        <w:t xml:space="preserve">for the informal working group was extended </w:t>
      </w:r>
      <w:r w:rsidR="00C05F2B">
        <w:t>under the terms agreed during the 34</w:t>
      </w:r>
      <w:r w:rsidR="00C05F2B" w:rsidRPr="00C05F2B">
        <w:rPr>
          <w:vertAlign w:val="superscript"/>
        </w:rPr>
        <w:t>th</w:t>
      </w:r>
      <w:r w:rsidR="00C05F2B">
        <w:t xml:space="preserve"> session:</w:t>
      </w:r>
    </w:p>
    <w:p w14:paraId="109B61AB" w14:textId="77777777" w:rsidR="00FB0389" w:rsidRPr="00C05F2B" w:rsidRDefault="00C8603F" w:rsidP="00C05F2B">
      <w:pPr>
        <w:pStyle w:val="SingleTxtG"/>
        <w:ind w:left="720"/>
        <w:rPr>
          <w:i/>
        </w:rPr>
      </w:pPr>
      <w:r>
        <w:rPr>
          <w:i/>
        </w:rPr>
        <w:t>“</w:t>
      </w:r>
      <w:r w:rsidR="00FB0389" w:rsidRPr="00C05F2B">
        <w:rPr>
          <w:i/>
        </w:rPr>
        <w:t>After some discussion, the Safety Committee agreed to limit the scope of the work on this matter to activities already covered by ADN provisions. Considering that loading was one of the operations addressed by ADN, the Safety Committee agreed to set up an informal working group that would address specifically loading on top of the same cargo, in accordance with the following step-by-step approach:</w:t>
      </w:r>
    </w:p>
    <w:p w14:paraId="33FE9000" w14:textId="77777777" w:rsidR="00FB0389" w:rsidRPr="00FB0389" w:rsidRDefault="00FB0389" w:rsidP="00FB0389">
      <w:pPr>
        <w:pStyle w:val="Bullet1G"/>
        <w:rPr>
          <w:i/>
        </w:rPr>
      </w:pPr>
      <w:r w:rsidRPr="00FB0389">
        <w:rPr>
          <w:i/>
        </w:rPr>
        <w:t>Step 1: Provide an inventory of the items to be addressed.</w:t>
      </w:r>
    </w:p>
    <w:p w14:paraId="47E7104A" w14:textId="77777777" w:rsidR="00FB0389" w:rsidRDefault="00FB0389" w:rsidP="00FB0389">
      <w:pPr>
        <w:pStyle w:val="Bullet1G"/>
        <w:rPr>
          <w:i/>
        </w:rPr>
      </w:pPr>
      <w:r w:rsidRPr="00FB0389">
        <w:rPr>
          <w:i/>
        </w:rPr>
        <w:lastRenderedPageBreak/>
        <w:t>Step 2: Identify real case-studies that would provide more information about the types of substances involved, the challenges faced, etc, to be used as a basis to determine whether the current provisions need to be amended and how</w:t>
      </w:r>
      <w:r w:rsidR="00C8603F" w:rsidRPr="00FB0389">
        <w:rPr>
          <w:i/>
        </w:rPr>
        <w:t>.</w:t>
      </w:r>
      <w:r w:rsidR="00C8603F">
        <w:rPr>
          <w:i/>
        </w:rPr>
        <w:t>”</w:t>
      </w:r>
    </w:p>
    <w:p w14:paraId="0668BAE2" w14:textId="77777777" w:rsidR="00FB0389" w:rsidRDefault="007701AE" w:rsidP="00FB0389">
      <w:pPr>
        <w:pStyle w:val="Bullet1G"/>
        <w:numPr>
          <w:ilvl w:val="0"/>
          <w:numId w:val="34"/>
        </w:numPr>
      </w:pPr>
      <w:r>
        <w:t xml:space="preserve">The informal working group had a working session in </w:t>
      </w:r>
      <w:r w:rsidR="00C05F2B">
        <w:t>Rotter</w:t>
      </w:r>
      <w:r w:rsidR="00230B2B">
        <w:t>d</w:t>
      </w:r>
      <w:r w:rsidR="00C05F2B">
        <w:t>am</w:t>
      </w:r>
      <w:r>
        <w:t xml:space="preserve">, on the </w:t>
      </w:r>
      <w:r w:rsidR="00C05F2B">
        <w:t>4</w:t>
      </w:r>
      <w:r w:rsidR="00C05F2B" w:rsidRPr="00C05F2B">
        <w:rPr>
          <w:vertAlign w:val="superscript"/>
        </w:rPr>
        <w:t>th</w:t>
      </w:r>
      <w:r w:rsidR="00C05F2B">
        <w:t xml:space="preserve"> and 5th</w:t>
      </w:r>
      <w:r>
        <w:t xml:space="preserve"> of </w:t>
      </w:r>
      <w:r w:rsidR="00C05F2B">
        <w:t>December</w:t>
      </w:r>
      <w:r>
        <w:t xml:space="preserve"> 2019. Representatives of </w:t>
      </w:r>
      <w:r w:rsidR="00C05F2B">
        <w:t xml:space="preserve">EBOTA, </w:t>
      </w:r>
      <w:r>
        <w:t>EBU</w:t>
      </w:r>
      <w:r w:rsidR="00C05F2B">
        <w:t>/ESO</w:t>
      </w:r>
      <w:r>
        <w:t xml:space="preserve">, </w:t>
      </w:r>
      <w:r w:rsidR="00C05F2B">
        <w:t xml:space="preserve">FETSA, </w:t>
      </w:r>
      <w:r>
        <w:t>FuelsEurope, Belgium</w:t>
      </w:r>
      <w:r w:rsidR="00C05F2B">
        <w:t>, Germany,</w:t>
      </w:r>
      <w:r>
        <w:t xml:space="preserve"> and the Netherland</w:t>
      </w:r>
      <w:r w:rsidR="00C05F2B">
        <w:t>s</w:t>
      </w:r>
      <w:r>
        <w:t xml:space="preserve"> participated in the session.</w:t>
      </w:r>
    </w:p>
    <w:p w14:paraId="7AD614F7" w14:textId="77777777" w:rsidR="004A0104" w:rsidRPr="004A0104" w:rsidRDefault="004A0104" w:rsidP="004A0104">
      <w:pPr>
        <w:pStyle w:val="Bullet1G"/>
        <w:numPr>
          <w:ilvl w:val="0"/>
          <w:numId w:val="0"/>
        </w:numPr>
        <w:ind w:left="1134"/>
        <w:rPr>
          <w:b/>
          <w:sz w:val="24"/>
          <w:szCs w:val="24"/>
        </w:rPr>
      </w:pPr>
      <w:r w:rsidRPr="004A0104">
        <w:rPr>
          <w:b/>
          <w:sz w:val="24"/>
          <w:szCs w:val="24"/>
        </w:rPr>
        <w:t>Considerations</w:t>
      </w:r>
    </w:p>
    <w:p w14:paraId="01EF2FA9" w14:textId="77777777" w:rsidR="001C3036" w:rsidRDefault="001C3036" w:rsidP="001C3036">
      <w:pPr>
        <w:pStyle w:val="Bullet1G"/>
        <w:numPr>
          <w:ilvl w:val="0"/>
          <w:numId w:val="34"/>
        </w:numPr>
      </w:pPr>
      <w:r>
        <w:t xml:space="preserve">The informal working </w:t>
      </w:r>
      <w:r w:rsidR="00C8603F">
        <w:t xml:space="preserve">group </w:t>
      </w:r>
      <w:r>
        <w:t>provides the following i</w:t>
      </w:r>
      <w:r w:rsidR="000E2A79">
        <w:t>nventory</w:t>
      </w:r>
      <w:r w:rsidR="00F9207D">
        <w:t xml:space="preserve"> of items</w:t>
      </w:r>
      <w:r w:rsidR="00C8603F">
        <w:t>/issues</w:t>
      </w:r>
      <w:r w:rsidR="00F9207D">
        <w:t xml:space="preserve"> to be </w:t>
      </w:r>
      <w:r>
        <w:t>addressed</w:t>
      </w:r>
      <w:r w:rsidR="00C8603F">
        <w:t xml:space="preserve"> in a later stage, as requested by the committee</w:t>
      </w:r>
      <w:r w:rsidR="000E2A79">
        <w:t>:</w:t>
      </w:r>
      <w:r w:rsidR="008E26F5">
        <w:t xml:space="preserve"> </w:t>
      </w:r>
    </w:p>
    <w:p w14:paraId="50041779" w14:textId="77777777" w:rsidR="000E2A79" w:rsidRDefault="000E2A79" w:rsidP="001C3036">
      <w:pPr>
        <w:pStyle w:val="Bullet1G"/>
        <w:numPr>
          <w:ilvl w:val="1"/>
          <w:numId w:val="34"/>
        </w:numPr>
      </w:pPr>
      <w:r>
        <w:t>a definition of loading on top</w:t>
      </w:r>
      <w:r w:rsidR="002D3B98">
        <w:t xml:space="preserve">, </w:t>
      </w:r>
      <w:r w:rsidR="00C8603F">
        <w:t>including the differences between</w:t>
      </w:r>
      <w:r w:rsidR="001C3036">
        <w:t xml:space="preserve"> blending, mixing or comingling;</w:t>
      </w:r>
    </w:p>
    <w:p w14:paraId="77FD0725" w14:textId="08290D80" w:rsidR="005A3D13" w:rsidRPr="005A3D13" w:rsidRDefault="005A3D13" w:rsidP="005A3D13">
      <w:pPr>
        <w:pStyle w:val="Bullet1G"/>
        <w:numPr>
          <w:ilvl w:val="1"/>
          <w:numId w:val="34"/>
        </w:numPr>
      </w:pPr>
      <w:r w:rsidRPr="005A3D13">
        <w:t xml:space="preserve">does ADN (in accordance with the other dangerous goods regulations) – as a general legal principle </w:t>
      </w:r>
      <w:proofErr w:type="gramStart"/>
      <w:r w:rsidRPr="005A3D13">
        <w:t>-  allow</w:t>
      </w:r>
      <w:proofErr w:type="gramEnd"/>
      <w:r w:rsidRPr="005A3D13">
        <w:t xml:space="preserve"> to carry two different substance</w:t>
      </w:r>
      <w:r w:rsidR="004460F9">
        <w:t>s</w:t>
      </w:r>
      <w:r w:rsidRPr="005A3D13">
        <w:t xml:space="preserve"> within the same cargo tank of a conveyance;</w:t>
      </w:r>
    </w:p>
    <w:p w14:paraId="480555D3" w14:textId="6875A05D" w:rsidR="001C3036" w:rsidRPr="001C3036" w:rsidRDefault="00C8603F" w:rsidP="001C3036">
      <w:pPr>
        <w:pStyle w:val="Bullet1G"/>
        <w:numPr>
          <w:ilvl w:val="1"/>
          <w:numId w:val="34"/>
        </w:numPr>
      </w:pPr>
      <w:r>
        <w:t xml:space="preserve">reasons for loading on top: </w:t>
      </w:r>
      <w:r w:rsidR="001C3036">
        <w:t xml:space="preserve">whether there is a difference between loading on top </w:t>
      </w:r>
      <w:r w:rsidR="001C3036">
        <w:rPr>
          <w:lang w:val="en-US"/>
        </w:rPr>
        <w:t xml:space="preserve">with an aim to top </w:t>
      </w:r>
      <w:r w:rsidR="00BA02A3">
        <w:rPr>
          <w:lang w:val="en-US"/>
        </w:rPr>
        <w:t>up</w:t>
      </w:r>
      <w:r w:rsidR="001C3036">
        <w:rPr>
          <w:lang w:val="en-US"/>
        </w:rPr>
        <w:t xml:space="preserve"> the cargo tanks (because of nautical reasons</w:t>
      </w:r>
      <w:r w:rsidR="003C1BB0">
        <w:rPr>
          <w:color w:val="FF0000"/>
          <w:lang w:val="en-US"/>
        </w:rPr>
        <w:t xml:space="preserve"> </w:t>
      </w:r>
      <w:r w:rsidR="003C1BB0" w:rsidRPr="005A3D13">
        <w:rPr>
          <w:lang w:val="en-US"/>
        </w:rPr>
        <w:t>or to avoid two journeys with partial-load only</w:t>
      </w:r>
      <w:r w:rsidR="001C3036">
        <w:rPr>
          <w:lang w:val="en-US"/>
        </w:rPr>
        <w:t>) and loading on top with an aim to alter specifications of the cargo to be delivered;</w:t>
      </w:r>
    </w:p>
    <w:p w14:paraId="0FBA5A78" w14:textId="77777777" w:rsidR="001C3036" w:rsidRPr="00C272F4" w:rsidRDefault="00F30D29" w:rsidP="001C3036">
      <w:pPr>
        <w:pStyle w:val="Bullet1G"/>
        <w:numPr>
          <w:ilvl w:val="1"/>
          <w:numId w:val="34"/>
        </w:numPr>
      </w:pPr>
      <w:r>
        <w:t xml:space="preserve">a </w:t>
      </w:r>
      <w:r w:rsidR="001C3036">
        <w:t>defin</w:t>
      </w:r>
      <w:r>
        <w:t>ition of</w:t>
      </w:r>
      <w:r w:rsidR="001C3036">
        <w:rPr>
          <w:lang w:val="en-US"/>
        </w:rPr>
        <w:t xml:space="preserve"> </w:t>
      </w:r>
      <w:r>
        <w:rPr>
          <w:lang w:val="en-US"/>
        </w:rPr>
        <w:t xml:space="preserve">“the </w:t>
      </w:r>
      <w:r w:rsidR="001C3036">
        <w:rPr>
          <w:lang w:val="en-US"/>
        </w:rPr>
        <w:t>same cargo</w:t>
      </w:r>
      <w:r>
        <w:rPr>
          <w:lang w:val="en-US"/>
        </w:rPr>
        <w:t>”</w:t>
      </w:r>
      <w:r w:rsidR="001C3036">
        <w:rPr>
          <w:lang w:val="en-US"/>
        </w:rPr>
        <w:t>;</w:t>
      </w:r>
    </w:p>
    <w:p w14:paraId="17CC3763" w14:textId="77777777" w:rsidR="001C3036" w:rsidRDefault="001C3036" w:rsidP="001C3036">
      <w:pPr>
        <w:pStyle w:val="Bullet1G"/>
        <w:numPr>
          <w:ilvl w:val="1"/>
          <w:numId w:val="34"/>
        </w:numPr>
      </w:pPr>
      <w:r>
        <w:t>the differences (from a safety asp</w:t>
      </w:r>
      <w:r w:rsidR="000B3244">
        <w:t>ect) between regular loading operations and loading on top operations;</w:t>
      </w:r>
    </w:p>
    <w:p w14:paraId="10757DDA" w14:textId="77777777" w:rsidR="000B3244" w:rsidRDefault="000B3244" w:rsidP="001C3036">
      <w:pPr>
        <w:pStyle w:val="Bullet1G"/>
        <w:numPr>
          <w:ilvl w:val="1"/>
          <w:numId w:val="34"/>
        </w:numPr>
      </w:pPr>
      <w:r>
        <w:t>whether the ADN is the correct legal instrument to prescribe loading on top operations;</w:t>
      </w:r>
    </w:p>
    <w:p w14:paraId="0669C01B" w14:textId="2B7A633B" w:rsidR="00D53780" w:rsidRPr="00AD5F18" w:rsidRDefault="00D53780" w:rsidP="001C3036">
      <w:pPr>
        <w:pStyle w:val="Bullet1G"/>
        <w:numPr>
          <w:ilvl w:val="1"/>
          <w:numId w:val="34"/>
        </w:numPr>
      </w:pPr>
      <w:r w:rsidRPr="00AD5F18">
        <w:t xml:space="preserve">aspects of taxation of </w:t>
      </w:r>
      <w:r w:rsidR="002E27E3" w:rsidRPr="00AD5F18">
        <w:t>the partial loads during the journey before and after “loading-on-top”, risk of creating a bypass using ADN</w:t>
      </w:r>
      <w:r w:rsidR="005A3D13" w:rsidRPr="00AD5F18">
        <w:t>;</w:t>
      </w:r>
    </w:p>
    <w:p w14:paraId="21FB9038" w14:textId="113DA787" w:rsidR="000634A5" w:rsidRPr="00AD5F18" w:rsidRDefault="000634A5" w:rsidP="001C3036">
      <w:pPr>
        <w:pStyle w:val="Bullet1G"/>
        <w:numPr>
          <w:ilvl w:val="1"/>
          <w:numId w:val="34"/>
        </w:numPr>
      </w:pPr>
      <w:r w:rsidRPr="00AD5F18">
        <w:t>general allowance or regulations only for special dangerous goods / UN-Numbers</w:t>
      </w:r>
      <w:r w:rsidR="005A3D13" w:rsidRPr="00AD5F18">
        <w:t>;</w:t>
      </w:r>
    </w:p>
    <w:p w14:paraId="6FE4DD7A" w14:textId="7FF336ED" w:rsidR="00D84585" w:rsidRPr="00AD5F18" w:rsidRDefault="00D84585" w:rsidP="001C3036">
      <w:pPr>
        <w:pStyle w:val="Bullet1G"/>
        <w:numPr>
          <w:ilvl w:val="1"/>
          <w:numId w:val="34"/>
        </w:numPr>
      </w:pPr>
      <w:r w:rsidRPr="00AD5F18">
        <w:t>how to perform the classification of the final load in the cargo tank</w:t>
      </w:r>
      <w:r w:rsidR="005A3D13" w:rsidRPr="00AD5F18">
        <w:t>;</w:t>
      </w:r>
    </w:p>
    <w:p w14:paraId="3A118DDA" w14:textId="77777777" w:rsidR="000B3244" w:rsidRDefault="000B3244" w:rsidP="001C3036">
      <w:pPr>
        <w:pStyle w:val="Bullet1G"/>
        <w:numPr>
          <w:ilvl w:val="1"/>
          <w:numId w:val="34"/>
        </w:numPr>
      </w:pPr>
      <w:r>
        <w:t>the enforceability of any set of rules prescribed for loading on top;</w:t>
      </w:r>
    </w:p>
    <w:p w14:paraId="4E7BB9D6" w14:textId="77777777" w:rsidR="00F30D29" w:rsidRPr="00F30D29" w:rsidRDefault="00F30D29" w:rsidP="001C3036">
      <w:pPr>
        <w:pStyle w:val="Bullet1G"/>
        <w:numPr>
          <w:ilvl w:val="1"/>
          <w:numId w:val="34"/>
        </w:numPr>
      </w:pPr>
      <w:r>
        <w:t xml:space="preserve">if mixing or comingling of substances takes place, how to ensure that </w:t>
      </w:r>
      <w:r>
        <w:rPr>
          <w:lang w:val="en-US"/>
        </w:rPr>
        <w:t>only operations permitted on that installation/premise take place;</w:t>
      </w:r>
    </w:p>
    <w:p w14:paraId="7B95382E" w14:textId="7BD6704E" w:rsidR="000B3244" w:rsidRDefault="00F30D29" w:rsidP="001C3036">
      <w:pPr>
        <w:pStyle w:val="Bullet1G"/>
        <w:numPr>
          <w:ilvl w:val="1"/>
          <w:numId w:val="34"/>
        </w:numPr>
      </w:pPr>
      <w:r>
        <w:t>the roles and responsibilities of the participants;</w:t>
      </w:r>
    </w:p>
    <w:p w14:paraId="35ACA978" w14:textId="77777777" w:rsidR="005A3D13" w:rsidRPr="00AD5F18" w:rsidRDefault="005A3D13" w:rsidP="005A3D13">
      <w:pPr>
        <w:pStyle w:val="Bullet1G"/>
        <w:numPr>
          <w:ilvl w:val="1"/>
          <w:numId w:val="34"/>
        </w:numPr>
      </w:pPr>
      <w:r w:rsidRPr="00AD5F18">
        <w:t>how many consignors allowed;</w:t>
      </w:r>
    </w:p>
    <w:p w14:paraId="26993D11" w14:textId="5EA4400F" w:rsidR="00D53780" w:rsidRPr="00AD5F18" w:rsidRDefault="00D53780" w:rsidP="001C3036">
      <w:pPr>
        <w:pStyle w:val="Bullet1G"/>
        <w:numPr>
          <w:ilvl w:val="1"/>
          <w:numId w:val="34"/>
        </w:numPr>
      </w:pPr>
      <w:r w:rsidRPr="00AD5F18">
        <w:t>chain of transport documents</w:t>
      </w:r>
      <w:r w:rsidR="00AD5F18" w:rsidRPr="00AD5F18">
        <w:t>;</w:t>
      </w:r>
    </w:p>
    <w:p w14:paraId="5FC86E7F" w14:textId="77777777" w:rsidR="00F30D29" w:rsidRDefault="00F30D29" w:rsidP="001C3036">
      <w:pPr>
        <w:pStyle w:val="Bullet1G"/>
        <w:numPr>
          <w:ilvl w:val="1"/>
          <w:numId w:val="34"/>
        </w:numPr>
      </w:pPr>
      <w:r>
        <w:t>the training of experts;</w:t>
      </w:r>
    </w:p>
    <w:p w14:paraId="2743D641" w14:textId="77777777" w:rsidR="00F30D29" w:rsidRDefault="00F30D29" w:rsidP="001C3036">
      <w:pPr>
        <w:pStyle w:val="Bullet1G"/>
        <w:numPr>
          <w:ilvl w:val="1"/>
          <w:numId w:val="34"/>
        </w:numPr>
      </w:pPr>
      <w:r>
        <w:t xml:space="preserve">whether a maximum number of blended substances is </w:t>
      </w:r>
      <w:r w:rsidR="00DB6A19">
        <w:t>desirable;</w:t>
      </w:r>
    </w:p>
    <w:p w14:paraId="707F4677" w14:textId="77777777" w:rsidR="00B1171A" w:rsidRDefault="00DB6A19" w:rsidP="00DB6A19">
      <w:pPr>
        <w:pStyle w:val="Bullet1G"/>
        <w:numPr>
          <w:ilvl w:val="1"/>
          <w:numId w:val="34"/>
        </w:numPr>
      </w:pPr>
      <w:r>
        <w:t>the suitability of the ADN checklist for loading on top operations</w:t>
      </w:r>
      <w:r w:rsidR="00B1171A">
        <w:t>;</w:t>
      </w:r>
    </w:p>
    <w:p w14:paraId="5DBF2EAD" w14:textId="77777777" w:rsidR="00F30D29" w:rsidRDefault="00B1171A" w:rsidP="00DB6A19">
      <w:pPr>
        <w:pStyle w:val="Bullet1G"/>
        <w:numPr>
          <w:ilvl w:val="1"/>
          <w:numId w:val="34"/>
        </w:numPr>
      </w:pPr>
      <w:r>
        <w:t>the experience and solutions in the maritime w</w:t>
      </w:r>
      <w:r w:rsidR="00C8603F">
        <w:t>orld</w:t>
      </w:r>
      <w:r w:rsidR="00C272F4">
        <w:t>.</w:t>
      </w:r>
    </w:p>
    <w:p w14:paraId="4E6F9E0E" w14:textId="5DF88E5E" w:rsidR="003618B3" w:rsidRDefault="00662A52" w:rsidP="00FB0389">
      <w:pPr>
        <w:pStyle w:val="Bullet1G"/>
        <w:numPr>
          <w:ilvl w:val="0"/>
          <w:numId w:val="34"/>
        </w:numPr>
      </w:pPr>
      <w:r>
        <w:t xml:space="preserve">For the identification of real case-studies the informal working group </w:t>
      </w:r>
      <w:r w:rsidR="00D27E21">
        <w:t>discussed the document as annexed to this report.</w:t>
      </w:r>
      <w:r w:rsidR="00086842">
        <w:t xml:space="preserve"> </w:t>
      </w:r>
      <w:r w:rsidR="00AD5F18">
        <w:t xml:space="preserve">This document was provided by FuelsEurope to facilitate the discussions of the group. </w:t>
      </w:r>
      <w:r w:rsidR="00086842">
        <w:t>The group identified the following three examples that could be classified as loading on top and could be further investigated:</w:t>
      </w:r>
    </w:p>
    <w:p w14:paraId="2B0F5062" w14:textId="77777777" w:rsidR="00086842" w:rsidRDefault="00E2148D" w:rsidP="00086842">
      <w:pPr>
        <w:pStyle w:val="Bullet1G"/>
        <w:numPr>
          <w:ilvl w:val="1"/>
          <w:numId w:val="34"/>
        </w:numPr>
      </w:pPr>
      <w:r>
        <w:t>c</w:t>
      </w:r>
      <w:r w:rsidR="00086842">
        <w:t>ase of loading on top of Gasoil (UN 1202) after water levels allow a deeper draft</w:t>
      </w:r>
      <w:r>
        <w:t>;</w:t>
      </w:r>
      <w:r w:rsidR="00662A52">
        <w:t xml:space="preserve"> </w:t>
      </w:r>
    </w:p>
    <w:p w14:paraId="058B9C84" w14:textId="77777777" w:rsidR="00086842" w:rsidRDefault="00E2148D" w:rsidP="00086842">
      <w:pPr>
        <w:pStyle w:val="Bullet1G"/>
        <w:numPr>
          <w:ilvl w:val="1"/>
          <w:numId w:val="34"/>
        </w:numPr>
      </w:pPr>
      <w:r>
        <w:lastRenderedPageBreak/>
        <w:t>c</w:t>
      </w:r>
      <w:r w:rsidR="00086842">
        <w:t>ase of loading on top Marine Diesel and Gasoil with different quality</w:t>
      </w:r>
      <w:r w:rsidR="00217B8E">
        <w:t xml:space="preserve"> aspects, which have no bearing on </w:t>
      </w:r>
      <w:r w:rsidR="0092501C">
        <w:t>the classification of the substances involved</w:t>
      </w:r>
      <w:r>
        <w:t>;</w:t>
      </w:r>
      <w:r w:rsidR="0092501C">
        <w:t xml:space="preserve"> </w:t>
      </w:r>
    </w:p>
    <w:p w14:paraId="5800306B" w14:textId="77777777" w:rsidR="00E2148D" w:rsidRDefault="00E2148D" w:rsidP="00217B8E">
      <w:pPr>
        <w:pStyle w:val="Bullet1G"/>
        <w:numPr>
          <w:ilvl w:val="1"/>
          <w:numId w:val="34"/>
        </w:numPr>
      </w:pPr>
      <w:r>
        <w:t>c</w:t>
      </w:r>
      <w:r w:rsidR="00217B8E">
        <w:t xml:space="preserve">ase of loading on top Marine Diesel of same UN number but with different quality aspects, which might have a bearing on the </w:t>
      </w:r>
      <w:r w:rsidR="0092501C">
        <w:t>classification of the substances</w:t>
      </w:r>
      <w:r>
        <w:t>;</w:t>
      </w:r>
    </w:p>
    <w:p w14:paraId="1A4E691E" w14:textId="77777777" w:rsidR="00217B8E" w:rsidRDefault="001A71F1" w:rsidP="00217B8E">
      <w:pPr>
        <w:pStyle w:val="Bullet1G"/>
        <w:numPr>
          <w:ilvl w:val="1"/>
          <w:numId w:val="34"/>
        </w:numPr>
      </w:pPr>
      <w:r>
        <w:t xml:space="preserve"> </w:t>
      </w:r>
      <w:r w:rsidR="00E2148D">
        <w:t>case of loading on top of substances with the same UN number, same dangers, from different shore tanks</w:t>
      </w:r>
      <w:r w:rsidR="00D84DA7">
        <w:t xml:space="preserve"> on the same location or on different locations, as 1 batch.</w:t>
      </w:r>
    </w:p>
    <w:p w14:paraId="4D235B1F" w14:textId="7B786B2F" w:rsidR="00086842" w:rsidRDefault="0092501C" w:rsidP="00FB0389">
      <w:pPr>
        <w:pStyle w:val="Bullet1G"/>
        <w:numPr>
          <w:ilvl w:val="0"/>
          <w:numId w:val="34"/>
        </w:numPr>
      </w:pPr>
      <w:r>
        <w:t xml:space="preserve">The group noticed a clear distinction between loading on top operations of the exact same substance with the aim to top </w:t>
      </w:r>
      <w:r w:rsidR="004460F9">
        <w:t>up</w:t>
      </w:r>
      <w:r>
        <w:t xml:space="preserve"> cargo tanks, which could not be filled earlier b</w:t>
      </w:r>
      <w:r w:rsidR="000841A3">
        <w:t xml:space="preserve">op het </w:t>
      </w:r>
      <w:r w:rsidR="00722A8F">
        <w:t>because</w:t>
      </w:r>
      <w:r>
        <w:t xml:space="preserve"> of nautical or other reasons on the one hand and loading on top operations with the aim to alter (quality) aspects of the substances on the other.  </w:t>
      </w:r>
    </w:p>
    <w:p w14:paraId="606B8914" w14:textId="711331F1" w:rsidR="001A5085" w:rsidRDefault="001A71F1" w:rsidP="00FB0389">
      <w:pPr>
        <w:pStyle w:val="Bullet1G"/>
        <w:numPr>
          <w:ilvl w:val="0"/>
          <w:numId w:val="34"/>
        </w:numPr>
      </w:pPr>
      <w:r>
        <w:t xml:space="preserve">The group also discussed the examples </w:t>
      </w:r>
      <w:r w:rsidR="00E2148D">
        <w:t xml:space="preserve">of loading a non-dangerous good on top of Diesel </w:t>
      </w:r>
      <w:r>
        <w:t>and concluded that th</w:t>
      </w:r>
      <w:r w:rsidR="00D84DA7">
        <w:t>is</w:t>
      </w:r>
      <w:r>
        <w:t xml:space="preserve"> w</w:t>
      </w:r>
      <w:r w:rsidR="00D84DA7">
        <w:t>as</w:t>
      </w:r>
      <w:r>
        <w:t xml:space="preserve"> no examples of </w:t>
      </w:r>
      <w:r w:rsidR="00D84DA7">
        <w:t xml:space="preserve">a </w:t>
      </w:r>
      <w:r>
        <w:t>real case-stud</w:t>
      </w:r>
      <w:r w:rsidR="00D84DA7">
        <w:t>y</w:t>
      </w:r>
      <w:r>
        <w:t xml:space="preserve"> of loading on top of the same cargo as requested by the Safety Committee. </w:t>
      </w:r>
      <w:proofErr w:type="gramStart"/>
      <w:r>
        <w:t>However</w:t>
      </w:r>
      <w:proofErr w:type="gramEnd"/>
      <w:r>
        <w:t xml:space="preserve"> the informal working group felt that th</w:t>
      </w:r>
      <w:r w:rsidR="00D84DA7">
        <w:t>is</w:t>
      </w:r>
      <w:r>
        <w:t xml:space="preserve"> case-stud</w:t>
      </w:r>
      <w:r w:rsidR="00D84DA7">
        <w:t>y</w:t>
      </w:r>
      <w:r>
        <w:t xml:space="preserve"> </w:t>
      </w:r>
      <w:r w:rsidR="00D84DA7">
        <w:t>is</w:t>
      </w:r>
      <w:r>
        <w:t xml:space="preserve"> of interest to the work that has been done. </w:t>
      </w:r>
      <w:r w:rsidR="00D84DA7">
        <w:t>T</w:t>
      </w:r>
      <w:r>
        <w:t xml:space="preserve">he mixing of a non-dangerous bio-component to a Diesel </w:t>
      </w:r>
      <w:r w:rsidR="00B07149">
        <w:t xml:space="preserve">could turn out to be a relevant example of loading on top in the light of </w:t>
      </w:r>
      <w:r w:rsidR="00FF163C">
        <w:t>the European Union’s Renewable Energy directive</w:t>
      </w:r>
      <w:r w:rsidR="00B07149">
        <w:t>.</w:t>
      </w:r>
    </w:p>
    <w:p w14:paraId="1876B5C9" w14:textId="0CA1AAF1" w:rsidR="008078DC" w:rsidRPr="00AD5F18" w:rsidRDefault="008078DC" w:rsidP="00FB0389">
      <w:pPr>
        <w:pStyle w:val="Bullet1G"/>
        <w:numPr>
          <w:ilvl w:val="0"/>
          <w:numId w:val="34"/>
        </w:numPr>
      </w:pPr>
      <w:r w:rsidRPr="00AD5F18">
        <w:t xml:space="preserve">The list of “articles for review” provided by industry for the meeting </w:t>
      </w:r>
      <w:r w:rsidR="00AD5F18" w:rsidRPr="00AD5F18">
        <w:t>could be</w:t>
      </w:r>
      <w:r w:rsidR="00D53780" w:rsidRPr="00AD5F18">
        <w:t xml:space="preserve"> a matter of further consideration.</w:t>
      </w:r>
    </w:p>
    <w:p w14:paraId="1D289A9E" w14:textId="77777777" w:rsidR="009F7F33" w:rsidRPr="009F7F33" w:rsidRDefault="009F7F33" w:rsidP="00EA35E6">
      <w:pPr>
        <w:pStyle w:val="Bullet1G"/>
        <w:numPr>
          <w:ilvl w:val="0"/>
          <w:numId w:val="0"/>
        </w:numPr>
        <w:ind w:left="720" w:firstLine="414"/>
        <w:rPr>
          <w:b/>
          <w:sz w:val="24"/>
          <w:szCs w:val="24"/>
        </w:rPr>
      </w:pPr>
      <w:r w:rsidRPr="009F7F33">
        <w:rPr>
          <w:b/>
          <w:sz w:val="24"/>
          <w:szCs w:val="24"/>
        </w:rPr>
        <w:t>Action to be taken</w:t>
      </w:r>
    </w:p>
    <w:p w14:paraId="39C05486" w14:textId="6A7C0735" w:rsidR="00B81805" w:rsidRDefault="008E26F5" w:rsidP="00FB0389">
      <w:pPr>
        <w:pStyle w:val="Bullet1G"/>
        <w:numPr>
          <w:ilvl w:val="0"/>
          <w:numId w:val="34"/>
        </w:numPr>
      </w:pPr>
      <w:r>
        <w:t xml:space="preserve">The Committee is </w:t>
      </w:r>
      <w:r w:rsidR="00D11205">
        <w:t>invited to</w:t>
      </w:r>
      <w:r>
        <w:t xml:space="preserve"> consider the </w:t>
      </w:r>
      <w:proofErr w:type="gramStart"/>
      <w:r w:rsidR="00D27E21">
        <w:t xml:space="preserve">report  </w:t>
      </w:r>
      <w:r>
        <w:t>of</w:t>
      </w:r>
      <w:proofErr w:type="gramEnd"/>
      <w:r>
        <w:t xml:space="preserve"> the informal working group and to decide whether the group can </w:t>
      </w:r>
      <w:r w:rsidR="00D27E21">
        <w:t>continue to work</w:t>
      </w:r>
      <w:r>
        <w:t xml:space="preserve">. </w:t>
      </w:r>
      <w:r w:rsidR="00B81805">
        <w:t xml:space="preserve">If that is the case, the Committee is requested to </w:t>
      </w:r>
      <w:r w:rsidR="00AD5F18">
        <w:t>mandate</w:t>
      </w:r>
      <w:r w:rsidR="00B81805">
        <w:t xml:space="preserve"> the working group </w:t>
      </w:r>
      <w:r w:rsidR="00F9207D">
        <w:t xml:space="preserve">to consider </w:t>
      </w:r>
      <w:r w:rsidR="00B81805">
        <w:t xml:space="preserve">the following </w:t>
      </w:r>
      <w:r w:rsidR="00F9207D">
        <w:t>items</w:t>
      </w:r>
      <w:r w:rsidR="00B81805">
        <w:t>:</w:t>
      </w:r>
    </w:p>
    <w:p w14:paraId="22776A34" w14:textId="77777777" w:rsidR="00B81805" w:rsidRDefault="00D84DA7" w:rsidP="00B81805">
      <w:pPr>
        <w:pStyle w:val="Bullet1G"/>
        <w:numPr>
          <w:ilvl w:val="1"/>
          <w:numId w:val="34"/>
        </w:numPr>
      </w:pPr>
      <w:r>
        <w:t>t</w:t>
      </w:r>
      <w:r w:rsidR="00B81805">
        <w:t xml:space="preserve">o </w:t>
      </w:r>
      <w:r w:rsidR="00F9207D">
        <w:t>analyse</w:t>
      </w:r>
      <w:r w:rsidR="00B81805">
        <w:t xml:space="preserve"> </w:t>
      </w:r>
      <w:r w:rsidR="00F9207D">
        <w:t xml:space="preserve">all safety aspects of </w:t>
      </w:r>
      <w:r w:rsidR="00B81805">
        <w:t>the real case-studies</w:t>
      </w:r>
      <w:r w:rsidR="00D11205">
        <w:t>,</w:t>
      </w:r>
      <w:r w:rsidR="00B81805">
        <w:t xml:space="preserve"> as </w:t>
      </w:r>
      <w:r w:rsidR="00D11205">
        <w:t>mentioned</w:t>
      </w:r>
      <w:r w:rsidR="00B81805">
        <w:t xml:space="preserve"> </w:t>
      </w:r>
      <w:r w:rsidR="00D11205">
        <w:t>in paragraph 4 of this report</w:t>
      </w:r>
      <w:r w:rsidR="00B81805">
        <w:t>;</w:t>
      </w:r>
    </w:p>
    <w:p w14:paraId="5A321858" w14:textId="77777777" w:rsidR="00B81805" w:rsidRDefault="00D84DA7" w:rsidP="00B81805">
      <w:pPr>
        <w:pStyle w:val="Bullet1G"/>
        <w:numPr>
          <w:ilvl w:val="1"/>
          <w:numId w:val="34"/>
        </w:numPr>
      </w:pPr>
      <w:r>
        <w:t>t</w:t>
      </w:r>
      <w:r w:rsidR="00B81805">
        <w:t xml:space="preserve">o extend </w:t>
      </w:r>
      <w:r w:rsidR="00D11205">
        <w:t xml:space="preserve">this </w:t>
      </w:r>
      <w:r w:rsidR="00F9207D">
        <w:t xml:space="preserve">analysis </w:t>
      </w:r>
      <w:r w:rsidR="00B81805">
        <w:t xml:space="preserve">with the other example </w:t>
      </w:r>
      <w:r w:rsidR="00F9207D">
        <w:t>of interest</w:t>
      </w:r>
      <w:r w:rsidR="00D11205">
        <w:t>,</w:t>
      </w:r>
      <w:r w:rsidR="00F9207D">
        <w:t xml:space="preserve"> a</w:t>
      </w:r>
      <w:r w:rsidR="00B81805">
        <w:t xml:space="preserve">s </w:t>
      </w:r>
      <w:r w:rsidR="00D11205">
        <w:t>mentioned in paragraph 6 of this report</w:t>
      </w:r>
      <w:r w:rsidR="00045443">
        <w:t>;</w:t>
      </w:r>
    </w:p>
    <w:p w14:paraId="4EDCBE6F" w14:textId="77777777" w:rsidR="00F9207D" w:rsidRDefault="00D84DA7" w:rsidP="00B81805">
      <w:pPr>
        <w:pStyle w:val="Bullet1G"/>
        <w:numPr>
          <w:ilvl w:val="1"/>
          <w:numId w:val="34"/>
        </w:numPr>
      </w:pPr>
      <w:r>
        <w:t>t</w:t>
      </w:r>
      <w:r w:rsidR="00F9207D">
        <w:t>o use the inventory</w:t>
      </w:r>
      <w:r w:rsidR="00D11205">
        <w:t>,</w:t>
      </w:r>
      <w:r w:rsidR="00F9207D">
        <w:t xml:space="preserve"> </w:t>
      </w:r>
      <w:r w:rsidR="00D11205">
        <w:t xml:space="preserve">as mentioned in paragraph 3 of this report, </w:t>
      </w:r>
      <w:r w:rsidR="00F9207D">
        <w:t xml:space="preserve">as a basis for these analyses; </w:t>
      </w:r>
    </w:p>
    <w:p w14:paraId="058299B2" w14:textId="6F40C960" w:rsidR="00045443" w:rsidRDefault="00D84DA7" w:rsidP="00B81805">
      <w:pPr>
        <w:pStyle w:val="Bullet1G"/>
        <w:numPr>
          <w:ilvl w:val="1"/>
          <w:numId w:val="34"/>
        </w:numPr>
      </w:pPr>
      <w:r>
        <w:t>t</w:t>
      </w:r>
      <w:r w:rsidR="00780A50">
        <w:t xml:space="preserve">o </w:t>
      </w:r>
      <w:r w:rsidR="00D90269">
        <w:t>identify</w:t>
      </w:r>
      <w:r w:rsidR="00D27E21">
        <w:t xml:space="preserve"> </w:t>
      </w:r>
      <w:r w:rsidR="00780A50">
        <w:t>options for further development of the policy towards loading on top.</w:t>
      </w:r>
    </w:p>
    <w:p w14:paraId="7E4EEE51" w14:textId="77777777" w:rsidR="00D11205" w:rsidRPr="00CA4DCC" w:rsidRDefault="00D11205" w:rsidP="00D11205">
      <w:pPr>
        <w:spacing w:before="120"/>
        <w:jc w:val="center"/>
        <w:rPr>
          <w:u w:val="single"/>
        </w:rPr>
      </w:pPr>
      <w:r w:rsidRPr="00CA4DCC">
        <w:rPr>
          <w:u w:val="single"/>
        </w:rPr>
        <w:tab/>
      </w:r>
      <w:r w:rsidRPr="00CA4DCC">
        <w:rPr>
          <w:u w:val="single"/>
        </w:rPr>
        <w:tab/>
      </w:r>
      <w:r w:rsidRPr="00CA4DCC">
        <w:rPr>
          <w:u w:val="single"/>
        </w:rPr>
        <w:tab/>
      </w:r>
    </w:p>
    <w:p w14:paraId="51E5DF0C" w14:textId="77777777" w:rsidR="00C70773" w:rsidRDefault="00C70773">
      <w:pPr>
        <w:suppressAutoHyphens w:val="0"/>
        <w:spacing w:line="240" w:lineRule="auto"/>
        <w:rPr>
          <w:lang w:val="en-US"/>
        </w:rPr>
      </w:pPr>
      <w:r>
        <w:rPr>
          <w:lang w:val="en-US"/>
        </w:rPr>
        <w:br w:type="page"/>
      </w:r>
    </w:p>
    <w:p w14:paraId="7AAAC212" w14:textId="77777777" w:rsidR="00A84217" w:rsidRPr="00861B3B" w:rsidRDefault="00861B3B" w:rsidP="000E1737">
      <w:pPr>
        <w:pStyle w:val="Bullet1G"/>
        <w:numPr>
          <w:ilvl w:val="0"/>
          <w:numId w:val="0"/>
        </w:numPr>
        <w:rPr>
          <w:b/>
          <w:sz w:val="24"/>
          <w:szCs w:val="24"/>
          <w:lang w:val="en-US"/>
        </w:rPr>
      </w:pPr>
      <w:r>
        <w:rPr>
          <w:b/>
          <w:sz w:val="24"/>
          <w:szCs w:val="24"/>
          <w:lang w:val="en-US"/>
        </w:rPr>
        <w:lastRenderedPageBreak/>
        <w:t>Annex 1</w:t>
      </w:r>
    </w:p>
    <w:p w14:paraId="03E43044" w14:textId="77777777" w:rsidR="00861B3B" w:rsidRPr="00861B3B" w:rsidRDefault="00861B3B" w:rsidP="00861B3B">
      <w:pPr>
        <w:numPr>
          <w:ilvl w:val="0"/>
          <w:numId w:val="37"/>
        </w:numPr>
        <w:suppressAutoHyphens w:val="0"/>
        <w:spacing w:after="160" w:line="240" w:lineRule="auto"/>
        <w:contextualSpacing/>
        <w:rPr>
          <w:rFonts w:ascii="Calibri" w:hAnsi="Calibri" w:cs="Calibri"/>
          <w:b/>
          <w:sz w:val="28"/>
          <w:szCs w:val="28"/>
          <w:lang w:val="nl-NL" w:eastAsia="nl-NL"/>
        </w:rPr>
      </w:pPr>
      <w:r w:rsidRPr="00861B3B">
        <w:rPr>
          <w:rFonts w:ascii="Calibri" w:hAnsi="Calibri" w:cs="Calibri"/>
          <w:b/>
          <w:sz w:val="28"/>
          <w:szCs w:val="28"/>
          <w:lang w:val="nl-NL" w:eastAsia="nl-NL"/>
        </w:rPr>
        <w:t>INTRODUCTION</w:t>
      </w:r>
    </w:p>
    <w:p w14:paraId="641C60C4" w14:textId="77777777" w:rsidR="00861B3B" w:rsidRPr="00861B3B" w:rsidRDefault="00861B3B" w:rsidP="00861B3B">
      <w:pPr>
        <w:suppressAutoHyphens w:val="0"/>
        <w:spacing w:line="240" w:lineRule="auto"/>
        <w:rPr>
          <w:rFonts w:ascii="Calibri" w:hAnsi="Calibri" w:cs="Calibri"/>
          <w:sz w:val="22"/>
          <w:szCs w:val="22"/>
          <w:lang w:val="nl-NL" w:eastAsia="nl-NL"/>
        </w:rPr>
      </w:pPr>
    </w:p>
    <w:p w14:paraId="2FB924A8" w14:textId="77777777" w:rsidR="00861B3B" w:rsidRPr="00861B3B" w:rsidRDefault="00861B3B" w:rsidP="00861B3B">
      <w:pPr>
        <w:numPr>
          <w:ilvl w:val="0"/>
          <w:numId w:val="36"/>
        </w:numPr>
        <w:suppressAutoHyphens w:val="0"/>
        <w:spacing w:after="160" w:line="240" w:lineRule="auto"/>
        <w:contextualSpacing/>
        <w:rPr>
          <w:rFonts w:ascii="Calibri" w:hAnsi="Calibri" w:cs="Calibri"/>
          <w:sz w:val="22"/>
          <w:szCs w:val="22"/>
          <w:lang w:val="en-US" w:eastAsia="nl-NL"/>
        </w:rPr>
      </w:pPr>
      <w:r w:rsidRPr="00861B3B">
        <w:rPr>
          <w:rFonts w:ascii="Calibri" w:hAnsi="Calibri" w:cs="Calibri"/>
          <w:sz w:val="22"/>
          <w:szCs w:val="22"/>
          <w:lang w:val="en-US" w:eastAsia="nl-NL"/>
        </w:rPr>
        <w:t>This paper is drawn up by FuelsEurope and aims to trigger the discussion in the IWG Loading on Top meeting in Rotterdam to be held on December 4 and 5, in line with the mandate as given by the Safety Committee, as stated in paragraphs 75-79 of the report of the 34</w:t>
      </w:r>
      <w:r w:rsidRPr="00861B3B">
        <w:rPr>
          <w:rFonts w:ascii="Calibri" w:hAnsi="Calibri" w:cs="Calibri"/>
          <w:sz w:val="22"/>
          <w:szCs w:val="22"/>
          <w:vertAlign w:val="superscript"/>
          <w:lang w:val="en-US" w:eastAsia="nl-NL"/>
        </w:rPr>
        <w:t>th</w:t>
      </w:r>
      <w:r w:rsidRPr="00861B3B">
        <w:rPr>
          <w:rFonts w:ascii="Calibri" w:hAnsi="Calibri" w:cs="Calibri"/>
          <w:sz w:val="22"/>
          <w:szCs w:val="22"/>
          <w:lang w:val="en-US" w:eastAsia="nl-NL"/>
        </w:rPr>
        <w:t xml:space="preserve"> meeting of the ADN safety Committee:</w:t>
      </w:r>
    </w:p>
    <w:p w14:paraId="6CC0189F" w14:textId="77777777" w:rsidR="00861B3B" w:rsidRPr="00861B3B" w:rsidRDefault="00861B3B" w:rsidP="00861B3B">
      <w:pPr>
        <w:suppressAutoHyphens w:val="0"/>
        <w:spacing w:line="240" w:lineRule="auto"/>
        <w:rPr>
          <w:rFonts w:ascii="Calibri" w:hAnsi="Calibri" w:cs="Calibri"/>
          <w:sz w:val="22"/>
          <w:szCs w:val="22"/>
          <w:lang w:val="en-US" w:eastAsia="nl-NL"/>
        </w:rPr>
      </w:pPr>
    </w:p>
    <w:p w14:paraId="207D7291" w14:textId="77777777" w:rsidR="00861B3B" w:rsidRPr="00861B3B" w:rsidRDefault="00861B3B" w:rsidP="00861B3B">
      <w:pPr>
        <w:suppressAutoHyphens w:val="0"/>
        <w:spacing w:line="240" w:lineRule="auto"/>
        <w:rPr>
          <w:rFonts w:ascii="Calibri" w:hAnsi="Calibri" w:cs="Calibri"/>
          <w:sz w:val="22"/>
          <w:szCs w:val="22"/>
          <w:lang w:val="en-US" w:eastAsia="nl-NL"/>
        </w:rPr>
      </w:pPr>
    </w:p>
    <w:p w14:paraId="07A0E03F" w14:textId="4E5A0A27" w:rsidR="00861B3B" w:rsidRPr="00861B3B" w:rsidRDefault="006B0366" w:rsidP="00861B3B">
      <w:pPr>
        <w:suppressAutoHyphens w:val="0"/>
        <w:spacing w:line="240" w:lineRule="auto"/>
        <w:rPr>
          <w:rFonts w:ascii="Calibri" w:hAnsi="Calibri" w:cs="Calibri"/>
          <w:sz w:val="22"/>
          <w:szCs w:val="22"/>
          <w:lang w:val="nl-NL" w:eastAsia="nl-NL"/>
        </w:rPr>
      </w:pPr>
      <w:r>
        <w:rPr>
          <w:rFonts w:ascii="Calibri" w:hAnsi="Calibri" w:cs="Calibri"/>
          <w:noProof/>
          <w:sz w:val="22"/>
          <w:szCs w:val="22"/>
          <w:lang w:val="nl-NL" w:eastAsia="nl-NL"/>
        </w:rPr>
        <w:drawing>
          <wp:inline distT="0" distB="0" distL="0" distR="0" wp14:anchorId="15F37AFB" wp14:editId="77C4A77B">
            <wp:extent cx="5953125" cy="5848350"/>
            <wp:effectExtent l="0" t="0" r="9525" b="0"/>
            <wp:docPr id="3" name="Picture 1" descr="cid:image009.png@01D5835D.914B5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5835D.914B5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5848350"/>
                    </a:xfrm>
                    <a:prstGeom prst="rect">
                      <a:avLst/>
                    </a:prstGeom>
                    <a:noFill/>
                    <a:ln>
                      <a:noFill/>
                    </a:ln>
                  </pic:spPr>
                </pic:pic>
              </a:graphicData>
            </a:graphic>
          </wp:inline>
        </w:drawing>
      </w:r>
    </w:p>
    <w:p w14:paraId="41C793DF" w14:textId="77777777" w:rsidR="00861B3B" w:rsidRPr="00861B3B" w:rsidRDefault="00861B3B" w:rsidP="00861B3B">
      <w:pPr>
        <w:numPr>
          <w:ilvl w:val="0"/>
          <w:numId w:val="36"/>
        </w:numPr>
        <w:suppressAutoHyphens w:val="0"/>
        <w:spacing w:after="160" w:line="259" w:lineRule="auto"/>
        <w:contextualSpacing/>
        <w:rPr>
          <w:rFonts w:ascii="Calibri" w:hAnsi="Calibri" w:cs="Calibri"/>
          <w:sz w:val="22"/>
          <w:szCs w:val="22"/>
          <w:lang w:val="en-US"/>
        </w:rPr>
      </w:pPr>
      <w:r w:rsidRPr="00861B3B">
        <w:rPr>
          <w:rFonts w:ascii="Calibri" w:hAnsi="Calibri" w:cs="Calibri"/>
          <w:sz w:val="22"/>
          <w:szCs w:val="22"/>
          <w:lang w:val="en-US"/>
        </w:rPr>
        <w:t>For discussion in the IWG, FuelsEurope provides real life case studies as well as an inventory of possible items to be addressed;</w:t>
      </w:r>
    </w:p>
    <w:p w14:paraId="2080BAB0" w14:textId="77777777" w:rsidR="00861B3B" w:rsidRPr="00861B3B" w:rsidRDefault="00861B3B" w:rsidP="00861B3B">
      <w:pPr>
        <w:suppressAutoHyphens w:val="0"/>
        <w:spacing w:after="160" w:line="259" w:lineRule="auto"/>
        <w:rPr>
          <w:rFonts w:ascii="Calibri" w:hAnsi="Calibri" w:cs="Calibri"/>
          <w:sz w:val="22"/>
          <w:szCs w:val="22"/>
          <w:lang w:val="en-US"/>
        </w:rPr>
      </w:pPr>
    </w:p>
    <w:p w14:paraId="0586C244" w14:textId="77777777" w:rsidR="00861B3B" w:rsidRPr="00861B3B" w:rsidRDefault="00861B3B" w:rsidP="00861B3B">
      <w:pPr>
        <w:numPr>
          <w:ilvl w:val="0"/>
          <w:numId w:val="37"/>
        </w:numPr>
        <w:suppressAutoHyphens w:val="0"/>
        <w:spacing w:after="160" w:line="259" w:lineRule="auto"/>
        <w:contextualSpacing/>
        <w:rPr>
          <w:rFonts w:asciiTheme="minorHAnsi" w:eastAsiaTheme="minorHAnsi" w:hAnsiTheme="minorHAnsi" w:cstheme="minorBidi"/>
          <w:b/>
          <w:sz w:val="28"/>
          <w:szCs w:val="28"/>
          <w:lang w:val="en-US"/>
        </w:rPr>
      </w:pPr>
      <w:r w:rsidRPr="00861B3B">
        <w:rPr>
          <w:rFonts w:asciiTheme="minorHAnsi" w:eastAsiaTheme="minorHAnsi" w:hAnsiTheme="minorHAnsi" w:cstheme="minorBidi"/>
          <w:b/>
          <w:sz w:val="28"/>
          <w:szCs w:val="28"/>
          <w:lang w:val="en-US"/>
        </w:rPr>
        <w:lastRenderedPageBreak/>
        <w:t>REAL LIFE CASE STUDIES</w:t>
      </w:r>
    </w:p>
    <w:p w14:paraId="1DD75364"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b/>
          <w:sz w:val="28"/>
          <w:szCs w:val="28"/>
          <w:lang w:val="en-US"/>
        </w:rPr>
      </w:pPr>
    </w:p>
    <w:p w14:paraId="68A6EF01"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Real-life case studies under 5, 6, and 8 describe several regularly occurring operations (ranging from weekly to daily).  Item 7 describes a much less frequent but still important operation.  Item 9 describes a normal loading operation of a dangerous substance from more shore tanks.  All studies involve the comingling of dangerous goods. These can be categorized as follows:</w:t>
      </w:r>
    </w:p>
    <w:p w14:paraId="672BE4BC"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sz w:val="22"/>
          <w:szCs w:val="22"/>
          <w:lang w:val="en-US"/>
        </w:rPr>
      </w:pPr>
    </w:p>
    <w:p w14:paraId="19F2E54E"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The loading (on top) of:</w:t>
      </w:r>
    </w:p>
    <w:p w14:paraId="16538F1F"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Dangerous Goods with Non-Dangerous Goods;</w:t>
      </w:r>
    </w:p>
    <w:p w14:paraId="1EA64B11"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no change of DG classification of the commingled substance</w:t>
      </w:r>
    </w:p>
    <w:p w14:paraId="6C9A847E"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Dangerous Goods with identical Class, different dangers and/or packaging group</w:t>
      </w:r>
    </w:p>
    <w:p w14:paraId="7ED9D440"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Always within the same Class</w:t>
      </w:r>
    </w:p>
    <w:p w14:paraId="05B08C78"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Classification of dangers of the commingled substance as per table of precedence of hazards</w:t>
      </w:r>
    </w:p>
    <w:p w14:paraId="61099CC0" w14:textId="77777777" w:rsidR="00861B3B" w:rsidRPr="003C1BB0"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fr-FR"/>
        </w:rPr>
      </w:pPr>
      <w:r w:rsidRPr="003C1BB0">
        <w:rPr>
          <w:rFonts w:asciiTheme="minorHAnsi" w:eastAsiaTheme="minorHAnsi" w:hAnsiTheme="minorHAnsi" w:cstheme="minorBidi"/>
          <w:sz w:val="22"/>
          <w:szCs w:val="22"/>
          <w:lang w:val="fr-FR"/>
        </w:rPr>
        <w:t xml:space="preserve">Limited to 4 UN </w:t>
      </w:r>
      <w:proofErr w:type="spellStart"/>
      <w:r w:rsidRPr="003C1BB0">
        <w:rPr>
          <w:rFonts w:asciiTheme="minorHAnsi" w:eastAsiaTheme="minorHAnsi" w:hAnsiTheme="minorHAnsi" w:cstheme="minorBidi"/>
          <w:sz w:val="22"/>
          <w:szCs w:val="22"/>
          <w:lang w:val="fr-FR"/>
        </w:rPr>
        <w:t>numbers</w:t>
      </w:r>
      <w:proofErr w:type="spellEnd"/>
      <w:r w:rsidRPr="003C1BB0">
        <w:rPr>
          <w:rFonts w:asciiTheme="minorHAnsi" w:eastAsiaTheme="minorHAnsi" w:hAnsiTheme="minorHAnsi" w:cstheme="minorBidi"/>
          <w:sz w:val="22"/>
          <w:szCs w:val="22"/>
          <w:lang w:val="fr-FR"/>
        </w:rPr>
        <w:t xml:space="preserve"> (UN 1202, UN 1268, UN 3295, UN 3082) </w:t>
      </w:r>
    </w:p>
    <w:p w14:paraId="48CF64B1"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Dangerous Goods with identical Class, Dangers and Packaging Group but with different quality aspects; </w:t>
      </w:r>
    </w:p>
    <w:p w14:paraId="5756A634"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always within same range of Class, Dangers and Packaging Group </w:t>
      </w:r>
    </w:p>
    <w:p w14:paraId="3232F2CE"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no change of DG classification of the commingled substance</w:t>
      </w:r>
    </w:p>
    <w:p w14:paraId="6799A179" w14:textId="77777777" w:rsidR="00861B3B" w:rsidRPr="00861B3B" w:rsidRDefault="00861B3B" w:rsidP="00861B3B">
      <w:pPr>
        <w:suppressAutoHyphens w:val="0"/>
        <w:spacing w:after="160" w:line="259" w:lineRule="auto"/>
        <w:ind w:left="2160"/>
        <w:contextualSpacing/>
        <w:rPr>
          <w:rFonts w:asciiTheme="minorHAnsi" w:eastAsiaTheme="minorHAnsi" w:hAnsiTheme="minorHAnsi" w:cstheme="minorBidi"/>
          <w:sz w:val="22"/>
          <w:szCs w:val="22"/>
          <w:lang w:val="en-US"/>
        </w:rPr>
      </w:pPr>
    </w:p>
    <w:p w14:paraId="0BD49A98"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t>Case – Loading on top of B7 diesel on inland waterway tanker</w:t>
      </w:r>
    </w:p>
    <w:p w14:paraId="763B6174"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4"/>
          <w:szCs w:val="24"/>
          <w:lang w:val="en-US"/>
        </w:rPr>
      </w:pPr>
      <w:r w:rsidRPr="00861B3B">
        <w:rPr>
          <w:rFonts w:asciiTheme="minorHAnsi" w:eastAsiaTheme="minorHAnsi" w:hAnsiTheme="minorHAnsi" w:cstheme="minorBidi"/>
          <w:sz w:val="22"/>
          <w:szCs w:val="22"/>
          <w:lang w:val="en-US"/>
        </w:rPr>
        <w:t xml:space="preserve">Substances involved: </w:t>
      </w:r>
      <w:r w:rsidRPr="00861B3B">
        <w:rPr>
          <w:rFonts w:asciiTheme="minorHAnsi" w:eastAsiaTheme="minorHAnsi" w:hAnsiTheme="minorHAnsi" w:cstheme="minorBidi"/>
          <w:b/>
          <w:sz w:val="22"/>
          <w:szCs w:val="22"/>
          <w:lang w:val="en-US"/>
        </w:rPr>
        <w:t>UN 1202 and Non-Dangerous goods</w:t>
      </w:r>
    </w:p>
    <w:p w14:paraId="5F168DBC"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Each compartment loaded with 279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Diesel (UN 1202 (N</w:t>
      </w:r>
      <w:proofErr w:type="gramStart"/>
      <w:r w:rsidRPr="00861B3B">
        <w:rPr>
          <w:rFonts w:asciiTheme="minorHAnsi" w:eastAsiaTheme="minorHAnsi" w:hAnsiTheme="minorHAnsi" w:cstheme="minorBidi"/>
          <w:sz w:val="22"/>
          <w:szCs w:val="22"/>
          <w:lang w:val="en-US"/>
        </w:rPr>
        <w:t>2,F</w:t>
      </w:r>
      <w:proofErr w:type="gramEnd"/>
      <w:r w:rsidRPr="00861B3B">
        <w:rPr>
          <w:rFonts w:asciiTheme="minorHAnsi" w:eastAsiaTheme="minorHAnsi" w:hAnsiTheme="minorHAnsi" w:cstheme="minorBidi"/>
          <w:sz w:val="22"/>
          <w:szCs w:val="22"/>
          <w:lang w:val="en-US"/>
        </w:rPr>
        <w:t>), III)</w:t>
      </w:r>
    </w:p>
    <w:p w14:paraId="7F484307"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Same compartment loaded with 21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Fatty Acid Methyl Ester (FAME) or Hydrogenated Vegetable Oil (HVO, Not regulated under ADN) </w:t>
      </w:r>
    </w:p>
    <w:p w14:paraId="12406CAA"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commingled product is 1500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B7 Diesel UN 1202, N2, F), III</w:t>
      </w:r>
    </w:p>
    <w:p w14:paraId="4C9578D1"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sz w:val="22"/>
          <w:szCs w:val="22"/>
          <w:lang w:val="en-US"/>
        </w:rPr>
      </w:pPr>
    </w:p>
    <w:p w14:paraId="1D48D992" w14:textId="77777777" w:rsidR="00861B3B" w:rsidRPr="00861B3B" w:rsidRDefault="00861B3B" w:rsidP="00861B3B">
      <w:pPr>
        <w:suppressAutoHyphens w:val="0"/>
        <w:spacing w:after="160" w:line="259" w:lineRule="auto"/>
        <w:ind w:left="1080" w:firstLine="360"/>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Example 1:</w:t>
      </w:r>
      <w:r w:rsidRPr="00861B3B">
        <w:rPr>
          <w:rFonts w:asciiTheme="minorHAnsi" w:eastAsiaTheme="minorHAnsi" w:hAnsiTheme="minorHAnsi" w:cstheme="minorBidi"/>
          <w:sz w:val="22"/>
          <w:szCs w:val="22"/>
          <w:lang w:val="en-US"/>
        </w:rPr>
        <w:t xml:space="preserve"> Loading on top </w:t>
      </w:r>
      <w:r w:rsidRPr="00861B3B">
        <w:rPr>
          <w:rFonts w:asciiTheme="minorHAnsi" w:eastAsiaTheme="minorHAnsi" w:hAnsiTheme="minorHAnsi" w:cstheme="minorBidi"/>
          <w:b/>
          <w:sz w:val="22"/>
          <w:szCs w:val="22"/>
          <w:lang w:val="en-US"/>
        </w:rPr>
        <w:t>at different locations</w:t>
      </w:r>
    </w:p>
    <w:p w14:paraId="0ECF823F"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Explanation of operation:</w:t>
      </w:r>
      <w:r w:rsidRPr="00861B3B">
        <w:rPr>
          <w:rFonts w:asciiTheme="minorHAnsi" w:eastAsiaTheme="minorHAnsi" w:hAnsiTheme="minorHAnsi" w:cstheme="minorBidi"/>
          <w:sz w:val="22"/>
          <w:szCs w:val="22"/>
          <w:lang w:val="en-US"/>
        </w:rPr>
        <w:t xml:space="preserve"> Barge loads Diesel UN 1202 at a terminal in Rotterdam, subsequently sails to Amsterdam and loads FAME (Not regulated as dangerous goods under ADN) in the same cargo tanks.   Ships sails to end destination.</w:t>
      </w:r>
    </w:p>
    <w:p w14:paraId="49C453F2"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 xml:space="preserve">Example 2: </w:t>
      </w:r>
      <w:r w:rsidRPr="00861B3B">
        <w:rPr>
          <w:rFonts w:asciiTheme="minorHAnsi" w:eastAsiaTheme="minorHAnsi" w:hAnsiTheme="minorHAnsi" w:cstheme="minorBidi"/>
          <w:sz w:val="22"/>
          <w:szCs w:val="22"/>
          <w:lang w:val="en-US"/>
        </w:rPr>
        <w:t xml:space="preserve">Loading on top </w:t>
      </w:r>
      <w:r w:rsidRPr="00861B3B">
        <w:rPr>
          <w:rFonts w:asciiTheme="minorHAnsi" w:eastAsiaTheme="minorHAnsi" w:hAnsiTheme="minorHAnsi" w:cstheme="minorBidi"/>
          <w:b/>
          <w:sz w:val="22"/>
          <w:szCs w:val="22"/>
          <w:lang w:val="en-US"/>
        </w:rPr>
        <w:t>at same location (from different shore tanks and/or jetties)</w:t>
      </w:r>
    </w:p>
    <w:p w14:paraId="0BD55970"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Explanation of operation:</w:t>
      </w:r>
      <w:r w:rsidRPr="00861B3B">
        <w:rPr>
          <w:rFonts w:asciiTheme="minorHAnsi" w:eastAsiaTheme="minorHAnsi" w:hAnsiTheme="minorHAnsi" w:cstheme="minorBidi"/>
          <w:sz w:val="22"/>
          <w:szCs w:val="22"/>
          <w:lang w:val="en-US"/>
        </w:rPr>
        <w:t xml:space="preserve"> Barge loads Diesel UN 1202 at a terminal in Rotterdam, subsequently shifts to another jetty of same terminal and loads FAME (Not regulated as dangerous goods under ADN) in the same cargo tanks.   Ships sails to end destination.</w:t>
      </w:r>
    </w:p>
    <w:p w14:paraId="12D4CE18"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What are we solving here?</w:t>
      </w:r>
    </w:p>
    <w:p w14:paraId="08F32F3C"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B7 Diesel can be delivered to smaller storage locations with a certainty of product being homogenous in receiving shore tank.  If the individual component would have to be discharged one after the other, the components would not mix in the tank as these are often not equipped with mixers.  </w:t>
      </w:r>
    </w:p>
    <w:p w14:paraId="7467D355"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lastRenderedPageBreak/>
        <w:t>These smaller storage locations often do not have separate B0, B7 and or FAME storage tanks.</w:t>
      </w:r>
    </w:p>
    <w:p w14:paraId="4E23491B"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t>Case - loading on top of Marine Diesel and Gasoil with different quality aspects.</w:t>
      </w:r>
    </w:p>
    <w:p w14:paraId="3AB879EF"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Substances involved: UN 1202</w:t>
      </w:r>
    </w:p>
    <w:p w14:paraId="522A9998"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10 compartments each loaded with 150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Marine Diesel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 xml:space="preserve">,F), III), 1000 ppm Sulphur (0.1 </w:t>
      </w:r>
      <w:proofErr w:type="spellStart"/>
      <w:r w:rsidRPr="00861B3B">
        <w:rPr>
          <w:rFonts w:asciiTheme="minorHAnsi" w:eastAsiaTheme="minorHAnsi" w:hAnsiTheme="minorHAnsi" w:cstheme="minorBidi"/>
          <w:sz w:val="22"/>
          <w:szCs w:val="22"/>
          <w:lang w:val="en-US"/>
        </w:rPr>
        <w:t>wt</w:t>
      </w:r>
      <w:proofErr w:type="spellEnd"/>
      <w:r w:rsidRPr="00861B3B">
        <w:rPr>
          <w:rFonts w:asciiTheme="minorHAnsi" w:eastAsiaTheme="minorHAnsi" w:hAnsiTheme="minorHAnsi" w:cstheme="minorBidi"/>
          <w:sz w:val="22"/>
          <w:szCs w:val="22"/>
          <w:lang w:val="en-US"/>
        </w:rPr>
        <w:t>%)</w:t>
      </w:r>
    </w:p>
    <w:p w14:paraId="475338E8"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Same 10 compartment each loaded with 50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Gasoil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 xml:space="preserve">,F), III), 10 ppm Sulphur (0.001 </w:t>
      </w:r>
      <w:proofErr w:type="spellStart"/>
      <w:r w:rsidRPr="00861B3B">
        <w:rPr>
          <w:rFonts w:asciiTheme="minorHAnsi" w:eastAsiaTheme="minorHAnsi" w:hAnsiTheme="minorHAnsi" w:cstheme="minorBidi"/>
          <w:sz w:val="22"/>
          <w:szCs w:val="22"/>
          <w:lang w:val="en-US"/>
        </w:rPr>
        <w:t>wt</w:t>
      </w:r>
      <w:proofErr w:type="spellEnd"/>
      <w:r w:rsidRPr="00861B3B">
        <w:rPr>
          <w:rFonts w:asciiTheme="minorHAnsi" w:eastAsiaTheme="minorHAnsi" w:hAnsiTheme="minorHAnsi" w:cstheme="minorBidi"/>
          <w:sz w:val="22"/>
          <w:szCs w:val="22"/>
          <w:lang w:val="en-US"/>
        </w:rPr>
        <w:t>%)</w:t>
      </w:r>
    </w:p>
    <w:p w14:paraId="5EBAEA35"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commingled product is 2000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Marine Diesel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III) with a lower Sulphur content.</w:t>
      </w:r>
    </w:p>
    <w:p w14:paraId="43B7C97F"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Explanation of operation</w:t>
      </w:r>
      <w:r w:rsidRPr="00861B3B">
        <w:rPr>
          <w:rFonts w:asciiTheme="minorHAnsi" w:eastAsiaTheme="minorHAnsi" w:hAnsiTheme="minorHAnsi" w:cstheme="minorBidi"/>
          <w:sz w:val="22"/>
          <w:szCs w:val="22"/>
          <w:lang w:val="en-US"/>
        </w:rPr>
        <w:t>: 1000 ppm Sulphur Gasoil is a Marine Diesel Grade used as a bunker grade for seagoing vessels. For logistic reasons, it happens that the 1000 ppm grade is loaded with a Gasoil 10 ppm grade.  Whereas some of the product characteristics may differ slightly, the DG classification of these products are identical: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III.  Note that Sulphur content has no influence on the DG classification).</w:t>
      </w:r>
    </w:p>
    <w:p w14:paraId="7CB9E998"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What are we solving here?</w:t>
      </w:r>
    </w:p>
    <w:p w14:paraId="034371F8"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seagoing vessel is provided with the requested quantity, </w:t>
      </w:r>
      <w:r w:rsidRPr="00861B3B">
        <w:rPr>
          <w:rFonts w:asciiTheme="minorHAnsi" w:eastAsiaTheme="minorHAnsi" w:hAnsiTheme="minorHAnsi" w:cstheme="minorBidi"/>
          <w:sz w:val="22"/>
          <w:szCs w:val="22"/>
          <w:u w:val="single"/>
          <w:lang w:val="en-US"/>
        </w:rPr>
        <w:t>as one parcel</w:t>
      </w:r>
      <w:r w:rsidRPr="00861B3B">
        <w:rPr>
          <w:rFonts w:asciiTheme="minorHAnsi" w:eastAsiaTheme="minorHAnsi" w:hAnsiTheme="minorHAnsi" w:cstheme="minorBidi"/>
          <w:sz w:val="22"/>
          <w:szCs w:val="22"/>
          <w:lang w:val="en-US"/>
        </w:rPr>
        <w:t xml:space="preserve"> (not two) which requires the two Gasoil grades with different Sulphur contents to be loaded in the barge one over the other. </w:t>
      </w:r>
      <w:proofErr w:type="spellStart"/>
      <w:r w:rsidRPr="00861B3B">
        <w:rPr>
          <w:rFonts w:asciiTheme="minorHAnsi" w:eastAsiaTheme="minorHAnsi" w:hAnsiTheme="minorHAnsi" w:cstheme="minorBidi"/>
          <w:sz w:val="22"/>
          <w:szCs w:val="22"/>
          <w:lang w:val="en-US"/>
        </w:rPr>
        <w:t>Preblending</w:t>
      </w:r>
      <w:proofErr w:type="spellEnd"/>
      <w:r w:rsidRPr="00861B3B">
        <w:rPr>
          <w:rFonts w:asciiTheme="minorHAnsi" w:eastAsiaTheme="minorHAnsi" w:hAnsiTheme="minorHAnsi" w:cstheme="minorBidi"/>
          <w:sz w:val="22"/>
          <w:szCs w:val="22"/>
          <w:lang w:val="en-US"/>
        </w:rPr>
        <w:t xml:space="preserve"> on shore is often not possible because of lack of storage capacity. Shore tanks are often much bigger than the barge and 10 ppm Sulphur Marine Diesel, being a more expensive grade is usually not blended in 1000 ppm Marine Diesel on shore.</w:t>
      </w:r>
    </w:p>
    <w:p w14:paraId="4D77F369"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t>Case - loading on top of Marine Diesel of same UN number but with different quality aspects.</w:t>
      </w:r>
    </w:p>
    <w:p w14:paraId="0DC1E575"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sz w:val="22"/>
          <w:szCs w:val="22"/>
          <w:lang w:val="en-US"/>
        </w:rPr>
        <w:t xml:space="preserve">Substances involved: </w:t>
      </w:r>
      <w:r w:rsidRPr="00861B3B">
        <w:rPr>
          <w:rFonts w:asciiTheme="minorHAnsi" w:eastAsiaTheme="minorHAnsi" w:hAnsiTheme="minorHAnsi" w:cstheme="minorBidi"/>
          <w:b/>
          <w:sz w:val="22"/>
          <w:szCs w:val="22"/>
          <w:lang w:val="en-US"/>
        </w:rPr>
        <w:t>UN 1202</w:t>
      </w:r>
    </w:p>
    <w:p w14:paraId="628C699B"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10 compartments each loaded with 25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Marine Diesel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III), FP &gt; 60C</w:t>
      </w:r>
    </w:p>
    <w:p w14:paraId="3FBC50AD"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Same 10 compartment each loaded with 175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Marine Diesel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III), FP: 58C</w:t>
      </w:r>
    </w:p>
    <w:p w14:paraId="366FCFDE"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commingled product is 2000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Marine Diesel (UN 1202,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III) with FP &gt; 60C</w:t>
      </w:r>
    </w:p>
    <w:p w14:paraId="7A865B60"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Explanation of operation:</w:t>
      </w:r>
      <w:r w:rsidRPr="00861B3B">
        <w:rPr>
          <w:rFonts w:asciiTheme="minorHAnsi" w:eastAsiaTheme="minorHAnsi" w:hAnsiTheme="minorHAnsi" w:cstheme="minorBidi"/>
          <w:sz w:val="22"/>
          <w:szCs w:val="22"/>
          <w:lang w:val="en-US"/>
        </w:rPr>
        <w:t xml:space="preserve"> Marine Diesel for seagoing vessels has a Flash point specification of minimum 60C.  After blending a full shore tank, it may happen that the established FP is 58C which is 2C short of the specification.  The blend ratio (1/8) is calculated beforehand.</w:t>
      </w:r>
    </w:p>
    <w:p w14:paraId="0F6C6904"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What are we solving here?</w:t>
      </w:r>
    </w:p>
    <w:p w14:paraId="4D056ABC"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PG III for Class 3 products covers Flash-point of 58C as well as 60C product. For bunkering purposes, the product must meet the IMO specification for flashpoint however the shore tank is full </w:t>
      </w:r>
      <w:proofErr w:type="gramStart"/>
      <w:r w:rsidRPr="00861B3B">
        <w:rPr>
          <w:rFonts w:asciiTheme="minorHAnsi" w:eastAsiaTheme="minorHAnsi" w:hAnsiTheme="minorHAnsi" w:cstheme="minorBidi"/>
          <w:sz w:val="22"/>
          <w:szCs w:val="22"/>
          <w:lang w:val="en-US"/>
        </w:rPr>
        <w:t>with</w:t>
      </w:r>
      <w:proofErr w:type="gramEnd"/>
      <w:r w:rsidRPr="00861B3B">
        <w:rPr>
          <w:rFonts w:asciiTheme="minorHAnsi" w:eastAsiaTheme="minorHAnsi" w:hAnsiTheme="minorHAnsi" w:cstheme="minorBidi"/>
          <w:sz w:val="22"/>
          <w:szCs w:val="22"/>
          <w:lang w:val="en-US"/>
        </w:rPr>
        <w:t xml:space="preserve"> no room to correct the flashpoint.    </w:t>
      </w:r>
    </w:p>
    <w:p w14:paraId="63DC958C"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The composite in the barge would have the minimum 60C flashpoint and the classification of the loaded mixture would not change.</w:t>
      </w:r>
    </w:p>
    <w:p w14:paraId="2062013D"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lastRenderedPageBreak/>
        <w:t xml:space="preserve">Case - Loading on top of substances with same UN number, </w:t>
      </w:r>
      <w:r w:rsidRPr="00861B3B">
        <w:rPr>
          <w:rFonts w:asciiTheme="minorHAnsi" w:eastAsiaTheme="minorHAnsi" w:hAnsiTheme="minorHAnsi" w:cstheme="minorBidi"/>
          <w:i/>
          <w:sz w:val="22"/>
          <w:szCs w:val="22"/>
          <w:u w:val="single"/>
          <w:lang w:val="en-US"/>
        </w:rPr>
        <w:t>different</w:t>
      </w:r>
      <w:r w:rsidRPr="00861B3B">
        <w:rPr>
          <w:rFonts w:asciiTheme="minorHAnsi" w:eastAsiaTheme="minorHAnsi" w:hAnsiTheme="minorHAnsi" w:cstheme="minorBidi"/>
          <w:i/>
          <w:sz w:val="22"/>
          <w:szCs w:val="22"/>
          <w:lang w:val="en-US"/>
        </w:rPr>
        <w:t xml:space="preserve"> dangers from different shore tanks on same or different locations.</w:t>
      </w:r>
    </w:p>
    <w:p w14:paraId="6AD651C8"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sz w:val="22"/>
          <w:szCs w:val="22"/>
          <w:lang w:val="en-US"/>
        </w:rPr>
        <w:t xml:space="preserve">Substances involved: </w:t>
      </w:r>
      <w:r w:rsidRPr="00861B3B">
        <w:rPr>
          <w:rFonts w:asciiTheme="minorHAnsi" w:eastAsiaTheme="minorHAnsi" w:hAnsiTheme="minorHAnsi" w:cstheme="minorBidi"/>
          <w:b/>
          <w:sz w:val="22"/>
          <w:szCs w:val="22"/>
          <w:lang w:val="en-US"/>
        </w:rPr>
        <w:t xml:space="preserve">UN 1202 </w:t>
      </w:r>
      <w:r w:rsidRPr="00861B3B">
        <w:rPr>
          <w:rFonts w:asciiTheme="minorHAnsi" w:eastAsiaTheme="minorHAnsi" w:hAnsiTheme="minorHAnsi" w:cstheme="minorBidi"/>
          <w:b/>
          <w:sz w:val="22"/>
          <w:szCs w:val="22"/>
          <w:u w:val="single"/>
          <w:lang w:val="en-US"/>
        </w:rPr>
        <w:t>or</w:t>
      </w:r>
      <w:r w:rsidRPr="00861B3B">
        <w:rPr>
          <w:rFonts w:asciiTheme="minorHAnsi" w:eastAsiaTheme="minorHAnsi" w:hAnsiTheme="minorHAnsi" w:cstheme="minorBidi"/>
          <w:b/>
          <w:sz w:val="22"/>
          <w:szCs w:val="22"/>
          <w:lang w:val="en-US"/>
        </w:rPr>
        <w:t xml:space="preserve"> UN 1268 </w:t>
      </w:r>
      <w:r w:rsidRPr="00861B3B">
        <w:rPr>
          <w:rFonts w:asciiTheme="minorHAnsi" w:eastAsiaTheme="minorHAnsi" w:hAnsiTheme="minorHAnsi" w:cstheme="minorBidi"/>
          <w:b/>
          <w:sz w:val="22"/>
          <w:szCs w:val="22"/>
          <w:u w:val="single"/>
          <w:lang w:val="en-US"/>
        </w:rPr>
        <w:t>or</w:t>
      </w:r>
      <w:r w:rsidRPr="00861B3B">
        <w:rPr>
          <w:rFonts w:asciiTheme="minorHAnsi" w:eastAsiaTheme="minorHAnsi" w:hAnsiTheme="minorHAnsi" w:cstheme="minorBidi"/>
          <w:b/>
          <w:sz w:val="22"/>
          <w:szCs w:val="22"/>
          <w:lang w:val="en-US"/>
        </w:rPr>
        <w:t xml:space="preserve"> UN 3082 </w:t>
      </w:r>
      <w:r w:rsidRPr="00861B3B">
        <w:rPr>
          <w:rFonts w:asciiTheme="minorHAnsi" w:eastAsiaTheme="minorHAnsi" w:hAnsiTheme="minorHAnsi" w:cstheme="minorBidi"/>
          <w:b/>
          <w:sz w:val="22"/>
          <w:szCs w:val="22"/>
          <w:u w:val="single"/>
          <w:lang w:val="en-US"/>
        </w:rPr>
        <w:t>or</w:t>
      </w:r>
      <w:r w:rsidRPr="00861B3B">
        <w:rPr>
          <w:rFonts w:asciiTheme="minorHAnsi" w:eastAsiaTheme="minorHAnsi" w:hAnsiTheme="minorHAnsi" w:cstheme="minorBidi"/>
          <w:b/>
          <w:sz w:val="22"/>
          <w:szCs w:val="22"/>
          <w:lang w:val="en-US"/>
        </w:rPr>
        <w:t xml:space="preserve"> UN 3295</w:t>
      </w:r>
    </w:p>
    <w:p w14:paraId="3B0C5094"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10 compartments each loaded with 50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NAPHTA (UN 1268,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w:t>
      </w:r>
    </w:p>
    <w:p w14:paraId="627C1F65"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Same 10 compartment each loaded with 200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NAPHTA (UN 1268, 3(N</w:t>
      </w:r>
      <w:proofErr w:type="gramStart"/>
      <w:r w:rsidRPr="00861B3B">
        <w:rPr>
          <w:rFonts w:asciiTheme="minorHAnsi" w:eastAsiaTheme="minorHAnsi" w:hAnsiTheme="minorHAnsi" w:cstheme="minorBidi"/>
          <w:sz w:val="22"/>
          <w:szCs w:val="22"/>
          <w:lang w:val="en-US"/>
        </w:rPr>
        <w:t>2,F</w:t>
      </w:r>
      <w:proofErr w:type="gramEnd"/>
      <w:r w:rsidRPr="00861B3B">
        <w:rPr>
          <w:rFonts w:asciiTheme="minorHAnsi" w:eastAsiaTheme="minorHAnsi" w:hAnsiTheme="minorHAnsi" w:cstheme="minorBidi"/>
          <w:sz w:val="22"/>
          <w:szCs w:val="22"/>
          <w:lang w:val="en-US"/>
        </w:rPr>
        <w:t>), II)</w:t>
      </w:r>
    </w:p>
    <w:p w14:paraId="4ECD5988"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commingled product is 2500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NAPHTA (UN 1268, 3(N</w:t>
      </w:r>
      <w:proofErr w:type="gramStart"/>
      <w:r w:rsidRPr="00861B3B">
        <w:rPr>
          <w:rFonts w:asciiTheme="minorHAnsi" w:eastAsiaTheme="minorHAnsi" w:hAnsiTheme="minorHAnsi" w:cstheme="minorBidi"/>
          <w:sz w:val="22"/>
          <w:szCs w:val="22"/>
          <w:lang w:val="en-US"/>
        </w:rPr>
        <w:t>2,CMR</w:t>
      </w:r>
      <w:proofErr w:type="gramEnd"/>
      <w:r w:rsidRPr="00861B3B">
        <w:rPr>
          <w:rFonts w:asciiTheme="minorHAnsi" w:eastAsiaTheme="minorHAnsi" w:hAnsiTheme="minorHAnsi" w:cstheme="minorBidi"/>
          <w:sz w:val="22"/>
          <w:szCs w:val="22"/>
          <w:lang w:val="en-US"/>
        </w:rPr>
        <w:t>,F), I)</w:t>
      </w:r>
    </w:p>
    <w:p w14:paraId="36F08934"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 xml:space="preserve">Explanation of operation: </w:t>
      </w:r>
      <w:r w:rsidRPr="00861B3B">
        <w:rPr>
          <w:rFonts w:asciiTheme="minorHAnsi" w:eastAsiaTheme="minorHAnsi" w:hAnsiTheme="minorHAnsi" w:cstheme="minorBidi"/>
          <w:sz w:val="22"/>
          <w:szCs w:val="22"/>
          <w:lang w:val="en-US"/>
        </w:rPr>
        <w:t xml:space="preserve">Barge loads 2 products with same UN number and class.  500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from 1 shore tank is CMR, 2000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from the other shore tank is not.  One </w:t>
      </w:r>
      <w:proofErr w:type="gramStart"/>
      <w:r w:rsidRPr="00861B3B">
        <w:rPr>
          <w:rFonts w:asciiTheme="minorHAnsi" w:eastAsiaTheme="minorHAnsi" w:hAnsiTheme="minorHAnsi" w:cstheme="minorBidi"/>
          <w:sz w:val="22"/>
          <w:szCs w:val="22"/>
          <w:lang w:val="en-US"/>
        </w:rPr>
        <w:t>product  is</w:t>
      </w:r>
      <w:proofErr w:type="gramEnd"/>
      <w:r w:rsidRPr="00861B3B">
        <w:rPr>
          <w:rFonts w:asciiTheme="minorHAnsi" w:eastAsiaTheme="minorHAnsi" w:hAnsiTheme="minorHAnsi" w:cstheme="minorBidi"/>
          <w:sz w:val="22"/>
          <w:szCs w:val="22"/>
          <w:lang w:val="en-US"/>
        </w:rPr>
        <w:t xml:space="preserve"> PG I, the other is PG II.  Products are being loaded from different shore tanks in the same barge cargo holds.  </w:t>
      </w:r>
    </w:p>
    <w:p w14:paraId="44CC5EB7"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What are we solving here?</w:t>
      </w:r>
    </w:p>
    <w:p w14:paraId="6F5A6F9D"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Product movements like this are usually aimed to move different products in 1 or more inland waterway tankers to a blending location such as an oil terminal.  Products cannot always be loaded segregated and for operations, this does not matter.  The comingled substance is not being sold as a finished product but is moved from one location to another with the aim to blend in </w:t>
      </w:r>
      <w:proofErr w:type="gramStart"/>
      <w:r w:rsidRPr="00861B3B">
        <w:rPr>
          <w:rFonts w:asciiTheme="minorHAnsi" w:eastAsiaTheme="minorHAnsi" w:hAnsiTheme="minorHAnsi" w:cstheme="minorBidi"/>
          <w:sz w:val="22"/>
          <w:szCs w:val="22"/>
          <w:lang w:val="en-US"/>
        </w:rPr>
        <w:t>really big</w:t>
      </w:r>
      <w:proofErr w:type="gramEnd"/>
      <w:r w:rsidRPr="00861B3B">
        <w:rPr>
          <w:rFonts w:asciiTheme="minorHAnsi" w:eastAsiaTheme="minorHAnsi" w:hAnsiTheme="minorHAnsi" w:cstheme="minorBidi"/>
          <w:sz w:val="22"/>
          <w:szCs w:val="22"/>
          <w:lang w:val="en-US"/>
        </w:rPr>
        <w:t xml:space="preserve"> shore tanks </w:t>
      </w:r>
      <w:proofErr w:type="spellStart"/>
      <w:r w:rsidRPr="00861B3B">
        <w:rPr>
          <w:rFonts w:asciiTheme="minorHAnsi" w:eastAsiaTheme="minorHAnsi" w:hAnsiTheme="minorHAnsi" w:cstheme="minorBidi"/>
          <w:sz w:val="22"/>
          <w:szCs w:val="22"/>
          <w:lang w:val="en-US"/>
        </w:rPr>
        <w:t>upto</w:t>
      </w:r>
      <w:proofErr w:type="spellEnd"/>
      <w:r w:rsidRPr="00861B3B">
        <w:rPr>
          <w:rFonts w:asciiTheme="minorHAnsi" w:eastAsiaTheme="minorHAnsi" w:hAnsiTheme="minorHAnsi" w:cstheme="minorBidi"/>
          <w:sz w:val="22"/>
          <w:szCs w:val="22"/>
          <w:lang w:val="en-US"/>
        </w:rPr>
        <w:t xml:space="preserve"> a certain volume and specification.   </w:t>
      </w:r>
    </w:p>
    <w:p w14:paraId="7B78D1C4"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t>Case - Loading on top of substances with same UN number, same dangers from different shore tanks on same or different locations, as 1 batch.</w:t>
      </w:r>
    </w:p>
    <w:p w14:paraId="65145698"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i/>
          <w:sz w:val="22"/>
          <w:szCs w:val="22"/>
          <w:lang w:val="en-US"/>
        </w:rPr>
      </w:pPr>
      <w:r w:rsidRPr="00861B3B">
        <w:rPr>
          <w:rFonts w:asciiTheme="minorHAnsi" w:eastAsiaTheme="minorHAnsi" w:hAnsiTheme="minorHAnsi" w:cstheme="minorBidi"/>
          <w:i/>
          <w:sz w:val="22"/>
          <w:szCs w:val="22"/>
          <w:lang w:val="en-US"/>
        </w:rPr>
        <w:t>NB: A normal, regular loading operation:</w:t>
      </w:r>
    </w:p>
    <w:p w14:paraId="584AF1F0"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Substances involved:  </w:t>
      </w:r>
    </w:p>
    <w:p w14:paraId="4E307388" w14:textId="77777777" w:rsidR="00861B3B" w:rsidRPr="00861B3B" w:rsidRDefault="00861B3B" w:rsidP="00861B3B">
      <w:pPr>
        <w:numPr>
          <w:ilvl w:val="1"/>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Specific substances non regulated under ADN (Non dangerous) </w:t>
      </w:r>
      <w:r w:rsidRPr="00861B3B">
        <w:rPr>
          <w:rFonts w:asciiTheme="minorHAnsi" w:eastAsiaTheme="minorHAnsi" w:hAnsiTheme="minorHAnsi" w:cstheme="minorBidi"/>
          <w:sz w:val="22"/>
          <w:szCs w:val="22"/>
          <w:u w:val="single"/>
          <w:lang w:val="en-US"/>
        </w:rPr>
        <w:t>or;</w:t>
      </w:r>
    </w:p>
    <w:p w14:paraId="33CCFF19" w14:textId="77777777" w:rsidR="00861B3B" w:rsidRPr="00861B3B" w:rsidRDefault="00861B3B" w:rsidP="00861B3B">
      <w:pPr>
        <w:numPr>
          <w:ilvl w:val="1"/>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Substances of Class 3 or Class 9, classified in accordance with 2.1.1.2 either as a:</w:t>
      </w:r>
    </w:p>
    <w:p w14:paraId="5A6341FD" w14:textId="77777777" w:rsidR="00861B3B" w:rsidRPr="00861B3B" w:rsidRDefault="00861B3B" w:rsidP="00861B3B">
      <w:pPr>
        <w:numPr>
          <w:ilvl w:val="2"/>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single entry (A) </w:t>
      </w:r>
      <w:r w:rsidRPr="00861B3B">
        <w:rPr>
          <w:rFonts w:asciiTheme="minorHAnsi" w:eastAsiaTheme="minorHAnsi" w:hAnsiTheme="minorHAnsi" w:cstheme="minorBidi"/>
          <w:sz w:val="22"/>
          <w:szCs w:val="22"/>
          <w:u w:val="single"/>
          <w:lang w:val="en-US"/>
        </w:rPr>
        <w:t>or;</w:t>
      </w:r>
    </w:p>
    <w:p w14:paraId="2CE773EF" w14:textId="77777777" w:rsidR="00861B3B" w:rsidRPr="00861B3B" w:rsidRDefault="00861B3B" w:rsidP="00861B3B">
      <w:pPr>
        <w:numPr>
          <w:ilvl w:val="2"/>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a generic entry for a well-defined group of substances or articles, which are not N.O.S. entries (Collective entry B) </w:t>
      </w:r>
      <w:r w:rsidRPr="00861B3B">
        <w:rPr>
          <w:rFonts w:asciiTheme="minorHAnsi" w:eastAsiaTheme="minorHAnsi" w:hAnsiTheme="minorHAnsi" w:cstheme="minorBidi"/>
          <w:sz w:val="22"/>
          <w:szCs w:val="22"/>
          <w:u w:val="single"/>
          <w:lang w:val="en-US"/>
        </w:rPr>
        <w:t>or;</w:t>
      </w:r>
    </w:p>
    <w:p w14:paraId="46575650" w14:textId="77777777" w:rsidR="00861B3B" w:rsidRPr="00861B3B" w:rsidRDefault="00861B3B" w:rsidP="00861B3B">
      <w:pPr>
        <w:numPr>
          <w:ilvl w:val="2"/>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specific N.O.S. entries covering a group of substances or articles of a </w:t>
      </w:r>
      <w:proofErr w:type="gramStart"/>
      <w:r w:rsidRPr="00861B3B">
        <w:rPr>
          <w:rFonts w:asciiTheme="minorHAnsi" w:eastAsiaTheme="minorHAnsi" w:hAnsiTheme="minorHAnsi" w:cstheme="minorBidi"/>
          <w:sz w:val="22"/>
          <w:szCs w:val="22"/>
          <w:lang w:val="en-US"/>
        </w:rPr>
        <w:t>particular chemical</w:t>
      </w:r>
      <w:proofErr w:type="gramEnd"/>
      <w:r w:rsidRPr="00861B3B">
        <w:rPr>
          <w:rFonts w:asciiTheme="minorHAnsi" w:eastAsiaTheme="minorHAnsi" w:hAnsiTheme="minorHAnsi" w:cstheme="minorBidi"/>
          <w:sz w:val="22"/>
          <w:szCs w:val="22"/>
          <w:lang w:val="en-US"/>
        </w:rPr>
        <w:t xml:space="preserve"> nature, not otherwise specified (collective entry C) </w:t>
      </w:r>
      <w:r w:rsidRPr="00861B3B">
        <w:rPr>
          <w:rFonts w:asciiTheme="minorHAnsi" w:eastAsiaTheme="minorHAnsi" w:hAnsiTheme="minorHAnsi" w:cstheme="minorBidi"/>
          <w:sz w:val="22"/>
          <w:szCs w:val="22"/>
          <w:u w:val="single"/>
          <w:lang w:val="en-US"/>
        </w:rPr>
        <w:t>or;</w:t>
      </w:r>
    </w:p>
    <w:p w14:paraId="1F9727A3" w14:textId="77777777" w:rsidR="00861B3B" w:rsidRPr="00861B3B" w:rsidRDefault="00861B3B" w:rsidP="00861B3B">
      <w:pPr>
        <w:suppressAutoHyphens w:val="0"/>
        <w:spacing w:after="160" w:line="259" w:lineRule="auto"/>
        <w:ind w:left="360" w:firstLine="72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Excluded substances: </w:t>
      </w:r>
    </w:p>
    <w:p w14:paraId="04D85343" w14:textId="77777777" w:rsidR="00861B3B" w:rsidRPr="00861B3B"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General </w:t>
      </w:r>
      <w:proofErr w:type="spellStart"/>
      <w:r w:rsidRPr="00861B3B">
        <w:rPr>
          <w:rFonts w:asciiTheme="minorHAnsi" w:eastAsiaTheme="minorHAnsi" w:hAnsiTheme="minorHAnsi" w:cstheme="minorBidi"/>
          <w:sz w:val="22"/>
          <w:szCs w:val="22"/>
          <w:lang w:val="en-US"/>
        </w:rPr>
        <w:t>n.o.s</w:t>
      </w:r>
      <w:proofErr w:type="spellEnd"/>
      <w:r w:rsidRPr="00861B3B">
        <w:rPr>
          <w:rFonts w:asciiTheme="minorHAnsi" w:eastAsiaTheme="minorHAnsi" w:hAnsiTheme="minorHAnsi" w:cstheme="minorBidi"/>
          <w:sz w:val="22"/>
          <w:szCs w:val="22"/>
          <w:lang w:val="en-US"/>
        </w:rPr>
        <w:t xml:space="preserve">. entries covering a group of substances or articles having one or more dangerous properties, not otherwise specified (collective entry D in accordance with 2.1.1.2) </w:t>
      </w:r>
    </w:p>
    <w:p w14:paraId="79FEE9E8" w14:textId="77777777" w:rsidR="00861B3B" w:rsidRPr="003C1BB0" w:rsidRDefault="00861B3B" w:rsidP="00861B3B">
      <w:pPr>
        <w:numPr>
          <w:ilvl w:val="0"/>
          <w:numId w:val="35"/>
        </w:numPr>
        <w:suppressAutoHyphens w:val="0"/>
        <w:spacing w:after="160" w:line="259" w:lineRule="auto"/>
        <w:contextualSpacing/>
        <w:rPr>
          <w:rFonts w:asciiTheme="minorHAnsi" w:eastAsiaTheme="minorHAnsi" w:hAnsiTheme="minorHAnsi" w:cstheme="minorBidi"/>
          <w:sz w:val="22"/>
          <w:szCs w:val="22"/>
          <w:lang w:val="fr-FR"/>
        </w:rPr>
      </w:pPr>
      <w:r w:rsidRPr="003C1BB0">
        <w:rPr>
          <w:rFonts w:asciiTheme="minorHAnsi" w:eastAsiaTheme="minorHAnsi" w:hAnsiTheme="minorHAnsi" w:cstheme="minorBidi"/>
          <w:sz w:val="22"/>
          <w:szCs w:val="22"/>
          <w:lang w:val="fr-FR"/>
        </w:rPr>
        <w:t xml:space="preserve">Example : UN 1993 FLAMMABLE LIQUID, N.O.S. </w:t>
      </w:r>
    </w:p>
    <w:p w14:paraId="43606ECE"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Example 1 – loading 1 product – 1 DG classification from 1 or more location (different shore tanks) </w:t>
      </w:r>
    </w:p>
    <w:p w14:paraId="6587A2AF"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b/>
          <w:sz w:val="22"/>
          <w:szCs w:val="22"/>
          <w:lang w:val="en-US"/>
        </w:rPr>
        <w:t>Explanation of operation:</w:t>
      </w:r>
      <w:r w:rsidRPr="00861B3B">
        <w:rPr>
          <w:rFonts w:asciiTheme="minorHAnsi" w:eastAsiaTheme="minorHAnsi" w:hAnsiTheme="minorHAnsi" w:cstheme="minorBidi"/>
          <w:sz w:val="22"/>
          <w:szCs w:val="22"/>
          <w:lang w:val="en-US"/>
        </w:rPr>
        <w:t xml:space="preserve"> Barge loads 1 batch 4000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at 1 location. Loading location decides from which tanks the barge will load.  If shore tank A contains only 3000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the balance of the batch will load from shore tank B, containing the same product with identical DG classification. Whereas the product in different shore tanks can </w:t>
      </w:r>
      <w:r w:rsidRPr="00861B3B">
        <w:rPr>
          <w:rFonts w:asciiTheme="minorHAnsi" w:eastAsiaTheme="minorHAnsi" w:hAnsiTheme="minorHAnsi" w:cstheme="minorBidi"/>
          <w:sz w:val="22"/>
          <w:szCs w:val="22"/>
          <w:u w:val="single"/>
          <w:lang w:val="en-US"/>
        </w:rPr>
        <w:t>slightly differ</w:t>
      </w:r>
      <w:r w:rsidRPr="00861B3B">
        <w:rPr>
          <w:rFonts w:asciiTheme="minorHAnsi" w:eastAsiaTheme="minorHAnsi" w:hAnsiTheme="minorHAnsi" w:cstheme="minorBidi"/>
          <w:sz w:val="22"/>
          <w:szCs w:val="22"/>
          <w:lang w:val="en-US"/>
        </w:rPr>
        <w:t xml:space="preserve"> in terms of quality parameters such as Density, Sulphur, Flash-point, the product still falls </w:t>
      </w:r>
      <w:r w:rsidRPr="00861B3B">
        <w:rPr>
          <w:rFonts w:asciiTheme="minorHAnsi" w:eastAsiaTheme="minorHAnsi" w:hAnsiTheme="minorHAnsi" w:cstheme="minorBidi"/>
          <w:sz w:val="22"/>
          <w:szCs w:val="22"/>
          <w:lang w:val="en-US"/>
        </w:rPr>
        <w:lastRenderedPageBreak/>
        <w:t xml:space="preserve">within the same DG classification. (i.e. same class, same packaging group, same dangers, same criteria of </w:t>
      </w:r>
      <w:proofErr w:type="spellStart"/>
      <w:r w:rsidRPr="00861B3B">
        <w:rPr>
          <w:rFonts w:asciiTheme="minorHAnsi" w:eastAsiaTheme="minorHAnsi" w:hAnsiTheme="minorHAnsi" w:cstheme="minorBidi"/>
          <w:sz w:val="22"/>
          <w:szCs w:val="22"/>
          <w:lang w:val="en-US"/>
        </w:rPr>
        <w:t>aquatoxicity</w:t>
      </w:r>
      <w:proofErr w:type="spellEnd"/>
      <w:r w:rsidRPr="00861B3B">
        <w:rPr>
          <w:rFonts w:asciiTheme="minorHAnsi" w:eastAsiaTheme="minorHAnsi" w:hAnsiTheme="minorHAnsi" w:cstheme="minorBidi"/>
          <w:sz w:val="22"/>
          <w:szCs w:val="22"/>
          <w:lang w:val="en-US"/>
        </w:rPr>
        <w:t>)</w:t>
      </w:r>
    </w:p>
    <w:p w14:paraId="1F790937" w14:textId="77777777" w:rsidR="00861B3B" w:rsidRPr="00861B3B" w:rsidRDefault="00861B3B" w:rsidP="00861B3B">
      <w:pPr>
        <w:suppressAutoHyphens w:val="0"/>
        <w:spacing w:after="160" w:line="259" w:lineRule="auto"/>
        <w:ind w:left="720" w:firstLine="720"/>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2"/>
          <w:szCs w:val="22"/>
          <w:lang w:val="en-US"/>
        </w:rPr>
        <w:t>What are we solving here?</w:t>
      </w:r>
    </w:p>
    <w:p w14:paraId="01633D34"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loading of 1 substance from one or more shore tanks at one or more locations </w:t>
      </w:r>
      <w:r w:rsidRPr="00861B3B">
        <w:rPr>
          <w:rFonts w:asciiTheme="minorHAnsi" w:eastAsiaTheme="minorHAnsi" w:hAnsiTheme="minorHAnsi" w:cstheme="minorBidi"/>
          <w:sz w:val="22"/>
          <w:szCs w:val="22"/>
          <w:u w:val="single"/>
          <w:lang w:val="en-US"/>
        </w:rPr>
        <w:t xml:space="preserve">should not be considered as loading on top </w:t>
      </w:r>
      <w:r w:rsidRPr="00861B3B">
        <w:rPr>
          <w:rFonts w:asciiTheme="minorHAnsi" w:eastAsiaTheme="minorHAnsi" w:hAnsiTheme="minorHAnsi" w:cstheme="minorBidi"/>
          <w:sz w:val="22"/>
          <w:szCs w:val="22"/>
          <w:lang w:val="en-US"/>
        </w:rPr>
        <w:t xml:space="preserve">and therefore out of scope for this working group, when the substances loaded have the same class, dangers, packaging groups.  </w:t>
      </w:r>
    </w:p>
    <w:p w14:paraId="572FAC89"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5AFAE9E6"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66EBF199"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04A05AA5"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16C21A2D"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2F72E699"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6605428A"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72D6827E"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2A591E3A"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37E953B0"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0D3C5EC2"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600BE774"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43BB4912"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02EF2204" w14:textId="77777777" w:rsidR="00861B3B" w:rsidRDefault="00861B3B">
      <w:pPr>
        <w:suppressAutoHyphens w:val="0"/>
        <w:spacing w:line="240" w:lineRule="auto"/>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br w:type="page"/>
      </w:r>
    </w:p>
    <w:p w14:paraId="2AF8AB34" w14:textId="77777777" w:rsidR="00861B3B" w:rsidRPr="00861B3B" w:rsidRDefault="00861B3B" w:rsidP="00861B3B">
      <w:pPr>
        <w:suppressAutoHyphens w:val="0"/>
        <w:spacing w:after="160" w:line="259" w:lineRule="auto"/>
        <w:ind w:left="1440"/>
        <w:rPr>
          <w:rFonts w:asciiTheme="minorHAnsi" w:eastAsiaTheme="minorHAnsi" w:hAnsiTheme="minorHAnsi" w:cstheme="minorBidi"/>
          <w:sz w:val="22"/>
          <w:szCs w:val="22"/>
          <w:lang w:val="en-US"/>
        </w:rPr>
      </w:pPr>
    </w:p>
    <w:p w14:paraId="20CCA2C4" w14:textId="77777777" w:rsidR="00861B3B" w:rsidRPr="00861B3B" w:rsidRDefault="00861B3B" w:rsidP="00861B3B">
      <w:pPr>
        <w:numPr>
          <w:ilvl w:val="0"/>
          <w:numId w:val="37"/>
        </w:numPr>
        <w:suppressAutoHyphens w:val="0"/>
        <w:spacing w:after="160" w:line="259" w:lineRule="auto"/>
        <w:contextualSpacing/>
        <w:rPr>
          <w:rFonts w:asciiTheme="minorHAnsi" w:eastAsiaTheme="minorHAnsi" w:hAnsiTheme="minorHAnsi" w:cstheme="minorBidi"/>
          <w:b/>
          <w:sz w:val="22"/>
          <w:szCs w:val="22"/>
          <w:lang w:val="en-US"/>
        </w:rPr>
      </w:pPr>
      <w:r w:rsidRPr="00861B3B">
        <w:rPr>
          <w:rFonts w:asciiTheme="minorHAnsi" w:eastAsiaTheme="minorHAnsi" w:hAnsiTheme="minorHAnsi" w:cstheme="minorBidi"/>
          <w:b/>
          <w:sz w:val="28"/>
          <w:szCs w:val="28"/>
          <w:lang w:val="en-US"/>
        </w:rPr>
        <w:t>INVENTORY OF ITEMS FOR DISCUSSION</w:t>
      </w:r>
    </w:p>
    <w:p w14:paraId="658CFE83"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sz w:val="22"/>
          <w:szCs w:val="22"/>
          <w:lang w:val="en-US"/>
        </w:rPr>
      </w:pPr>
    </w:p>
    <w:p w14:paraId="6D0CC21A"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Based on the above real-life case studies we present an inventory of items for discussion in the group:</w:t>
      </w:r>
    </w:p>
    <w:p w14:paraId="1D7F4979"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 </w:t>
      </w:r>
    </w:p>
    <w:p w14:paraId="37325B55"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Scope of the IWG Loading on Top</w:t>
      </w:r>
    </w:p>
    <w:p w14:paraId="21E6A472"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Loading on top of “same cargo”</w:t>
      </w:r>
    </w:p>
    <w:p w14:paraId="283F77B7"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What is same cargo?</w:t>
      </w:r>
    </w:p>
    <w:p w14:paraId="25E07A34"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“Same cargo” can be described as products or substances which are classified under the same UN number and having different dangers.  We should ask ourselves if this applies to all liquid substances in Table C, or that some UN numbers due to their composition should be excluded, such as UN 1993?</w:t>
      </w:r>
    </w:p>
    <w:p w14:paraId="2FBCE4C0"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For consideration: Reference ADN 2.1.1.2, single entries under A, and collective entries under B and C. (Not D)?</w:t>
      </w:r>
    </w:p>
    <w:p w14:paraId="7CA054A4" w14:textId="77777777" w:rsidR="00861B3B" w:rsidRPr="00861B3B"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en-US"/>
        </w:rPr>
      </w:pPr>
    </w:p>
    <w:p w14:paraId="2DDC0EF1"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 normal regular loading operation:</w:t>
      </w:r>
    </w:p>
    <w:p w14:paraId="6E35F4A9"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Loading of one product with </w:t>
      </w:r>
      <w:r w:rsidRPr="00861B3B">
        <w:rPr>
          <w:rFonts w:asciiTheme="minorHAnsi" w:eastAsiaTheme="minorHAnsi" w:hAnsiTheme="minorHAnsi" w:cstheme="minorBidi"/>
          <w:sz w:val="22"/>
          <w:szCs w:val="22"/>
          <w:u w:val="single"/>
          <w:lang w:val="en-US"/>
        </w:rPr>
        <w:t>one classification</w:t>
      </w:r>
      <w:r w:rsidRPr="00861B3B">
        <w:rPr>
          <w:rFonts w:asciiTheme="minorHAnsi" w:eastAsiaTheme="minorHAnsi" w:hAnsiTheme="minorHAnsi" w:cstheme="minorBidi"/>
          <w:sz w:val="22"/>
          <w:szCs w:val="22"/>
          <w:lang w:val="en-US"/>
        </w:rPr>
        <w:t xml:space="preserve"> from different shore tanks as described under 9:</w:t>
      </w:r>
    </w:p>
    <w:p w14:paraId="26F7F1AE"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Example: Barge has 1 order to load 4000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of UN 1268 NAPHTA at location A</w:t>
      </w:r>
    </w:p>
    <w:p w14:paraId="10FF6479"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Location A stores NAPHTA in Shore tanks 1 and 2</w:t>
      </w:r>
    </w:p>
    <w:p w14:paraId="30BE3BA4"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Shore tank 1 has a balance of 2000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shore tanks 2 has 4000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w:t>
      </w:r>
    </w:p>
    <w:p w14:paraId="0D02D993"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Terminal loads from Shore tank 1 </w:t>
      </w:r>
      <w:proofErr w:type="spellStart"/>
      <w:r w:rsidRPr="00861B3B">
        <w:rPr>
          <w:rFonts w:asciiTheme="minorHAnsi" w:eastAsiaTheme="minorHAnsi" w:hAnsiTheme="minorHAnsi" w:cstheme="minorBidi"/>
          <w:sz w:val="22"/>
          <w:szCs w:val="22"/>
          <w:lang w:val="en-US"/>
        </w:rPr>
        <w:t>upto</w:t>
      </w:r>
      <w:proofErr w:type="spellEnd"/>
      <w:r w:rsidRPr="00861B3B">
        <w:rPr>
          <w:rFonts w:asciiTheme="minorHAnsi" w:eastAsiaTheme="minorHAnsi" w:hAnsiTheme="minorHAnsi" w:cstheme="minorBidi"/>
          <w:sz w:val="22"/>
          <w:szCs w:val="22"/>
          <w:lang w:val="en-US"/>
        </w:rPr>
        <w:t xml:space="preserve"> empty, them switches to Shore tank 2 and completes the loading of the 4000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 xml:space="preserve"> batch.</w:t>
      </w:r>
    </w:p>
    <w:p w14:paraId="41618B75"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Ship sails with 1 transport document for 4000 </w:t>
      </w:r>
      <w:proofErr w:type="spellStart"/>
      <w:r w:rsidRPr="00861B3B">
        <w:rPr>
          <w:rFonts w:asciiTheme="minorHAnsi" w:eastAsiaTheme="minorHAnsi" w:hAnsiTheme="minorHAnsi" w:cstheme="minorBidi"/>
          <w:sz w:val="22"/>
          <w:szCs w:val="22"/>
          <w:lang w:val="en-US"/>
        </w:rPr>
        <w:t>cbm</w:t>
      </w:r>
      <w:proofErr w:type="spellEnd"/>
      <w:r w:rsidRPr="00861B3B">
        <w:rPr>
          <w:rFonts w:asciiTheme="minorHAnsi" w:eastAsiaTheme="minorHAnsi" w:hAnsiTheme="minorHAnsi" w:cstheme="minorBidi"/>
          <w:sz w:val="22"/>
          <w:szCs w:val="22"/>
          <w:lang w:val="en-US"/>
        </w:rPr>
        <w:t>.</w:t>
      </w:r>
    </w:p>
    <w:p w14:paraId="562FE40A"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Products: All; for consideration: Reference ADN 2.1.1.2, single entries under A, and collective entries under B and C. (Not D)?</w:t>
      </w:r>
    </w:p>
    <w:p w14:paraId="064C39FD" w14:textId="77777777" w:rsidR="00861B3B" w:rsidRPr="00861B3B"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en-US"/>
        </w:rPr>
      </w:pPr>
    </w:p>
    <w:p w14:paraId="35595708"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Are geographical limitations to be applied to the loading on top operation? </w:t>
      </w:r>
    </w:p>
    <w:p w14:paraId="3F6CA99E"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International, i.e. start loading in Belgium, complete loading in Germany? </w:t>
      </w:r>
    </w:p>
    <w:p w14:paraId="46B3F8D3"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National, i.e. start loading in Rotterdam, complete loading in Amsterdam? </w:t>
      </w:r>
    </w:p>
    <w:p w14:paraId="015D9C1C"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Regional, i.e. start loading in Rotterdam, complete loading in Dordrecht?</w:t>
      </w:r>
    </w:p>
    <w:p w14:paraId="7F3A8F65"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Local, i.e. start loading in Rotterdam-</w:t>
      </w:r>
      <w:proofErr w:type="spellStart"/>
      <w:r w:rsidRPr="00861B3B">
        <w:rPr>
          <w:rFonts w:asciiTheme="minorHAnsi" w:eastAsiaTheme="minorHAnsi" w:hAnsiTheme="minorHAnsi" w:cstheme="minorBidi"/>
          <w:sz w:val="22"/>
          <w:szCs w:val="22"/>
          <w:lang w:val="en-US"/>
        </w:rPr>
        <w:t>Botlek</w:t>
      </w:r>
      <w:proofErr w:type="spellEnd"/>
      <w:r w:rsidRPr="00861B3B">
        <w:rPr>
          <w:rFonts w:asciiTheme="minorHAnsi" w:eastAsiaTheme="minorHAnsi" w:hAnsiTheme="minorHAnsi" w:cstheme="minorBidi"/>
          <w:sz w:val="22"/>
          <w:szCs w:val="22"/>
          <w:lang w:val="en-US"/>
        </w:rPr>
        <w:t>, complete loading in Rotterdam-</w:t>
      </w:r>
      <w:proofErr w:type="spellStart"/>
      <w:r w:rsidRPr="00861B3B">
        <w:rPr>
          <w:rFonts w:asciiTheme="minorHAnsi" w:eastAsiaTheme="minorHAnsi" w:hAnsiTheme="minorHAnsi" w:cstheme="minorBidi"/>
          <w:sz w:val="22"/>
          <w:szCs w:val="22"/>
          <w:lang w:val="en-US"/>
        </w:rPr>
        <w:t>Europoort</w:t>
      </w:r>
      <w:proofErr w:type="spellEnd"/>
      <w:r w:rsidRPr="00861B3B">
        <w:rPr>
          <w:rFonts w:asciiTheme="minorHAnsi" w:eastAsiaTheme="minorHAnsi" w:hAnsiTheme="minorHAnsi" w:cstheme="minorBidi"/>
          <w:sz w:val="22"/>
          <w:szCs w:val="22"/>
          <w:lang w:val="en-US"/>
        </w:rPr>
        <w:t>?</w:t>
      </w:r>
    </w:p>
    <w:p w14:paraId="049C22DD" w14:textId="77777777" w:rsidR="00861B3B" w:rsidRPr="00861B3B" w:rsidRDefault="00861B3B" w:rsidP="00861B3B">
      <w:pPr>
        <w:suppressAutoHyphens w:val="0"/>
        <w:spacing w:after="160" w:line="259" w:lineRule="auto"/>
        <w:ind w:left="1440"/>
        <w:contextualSpacing/>
        <w:rPr>
          <w:rFonts w:asciiTheme="minorHAnsi" w:eastAsiaTheme="minorHAnsi" w:hAnsiTheme="minorHAnsi" w:cstheme="minorBidi"/>
          <w:sz w:val="22"/>
          <w:szCs w:val="22"/>
          <w:lang w:val="en-US"/>
        </w:rPr>
      </w:pPr>
    </w:p>
    <w:p w14:paraId="74F21907"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Which UN numbers/substances are in scope of this proposal?</w:t>
      </w:r>
    </w:p>
    <w:p w14:paraId="06B709D9" w14:textId="77777777" w:rsidR="00861B3B" w:rsidRPr="003C1BB0"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fr-FR"/>
        </w:rPr>
      </w:pPr>
      <w:r w:rsidRPr="003C1BB0">
        <w:rPr>
          <w:rFonts w:asciiTheme="minorHAnsi" w:eastAsiaTheme="minorHAnsi" w:hAnsiTheme="minorHAnsi" w:cstheme="minorBidi"/>
          <w:sz w:val="22"/>
          <w:szCs w:val="22"/>
          <w:lang w:val="fr-FR"/>
        </w:rPr>
        <w:t xml:space="preserve">UN 1202, UN 1268, UN 3295, UN 3082, </w:t>
      </w:r>
      <w:proofErr w:type="spellStart"/>
      <w:r w:rsidRPr="003C1BB0">
        <w:rPr>
          <w:rFonts w:asciiTheme="minorHAnsi" w:eastAsiaTheme="minorHAnsi" w:hAnsiTheme="minorHAnsi" w:cstheme="minorBidi"/>
          <w:sz w:val="22"/>
          <w:szCs w:val="22"/>
          <w:lang w:val="fr-FR"/>
        </w:rPr>
        <w:t>any</w:t>
      </w:r>
      <w:proofErr w:type="spellEnd"/>
      <w:r w:rsidRPr="003C1BB0">
        <w:rPr>
          <w:rFonts w:asciiTheme="minorHAnsi" w:eastAsiaTheme="minorHAnsi" w:hAnsiTheme="minorHAnsi" w:cstheme="minorBidi"/>
          <w:sz w:val="22"/>
          <w:szCs w:val="22"/>
          <w:lang w:val="fr-FR"/>
        </w:rPr>
        <w:t xml:space="preserve"> </w:t>
      </w:r>
      <w:proofErr w:type="spellStart"/>
      <w:proofErr w:type="gramStart"/>
      <w:r w:rsidRPr="003C1BB0">
        <w:rPr>
          <w:rFonts w:asciiTheme="minorHAnsi" w:eastAsiaTheme="minorHAnsi" w:hAnsiTheme="minorHAnsi" w:cstheme="minorBidi"/>
          <w:sz w:val="22"/>
          <w:szCs w:val="22"/>
          <w:lang w:val="fr-FR"/>
        </w:rPr>
        <w:t>other</w:t>
      </w:r>
      <w:proofErr w:type="spellEnd"/>
      <w:r w:rsidRPr="003C1BB0">
        <w:rPr>
          <w:rFonts w:asciiTheme="minorHAnsi" w:eastAsiaTheme="minorHAnsi" w:hAnsiTheme="minorHAnsi" w:cstheme="minorBidi"/>
          <w:sz w:val="22"/>
          <w:szCs w:val="22"/>
          <w:lang w:val="fr-FR"/>
        </w:rPr>
        <w:t>?</w:t>
      </w:r>
      <w:proofErr w:type="gramEnd"/>
    </w:p>
    <w:p w14:paraId="37017750" w14:textId="77777777" w:rsidR="00861B3B" w:rsidRPr="003C1BB0"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fr-FR"/>
        </w:rPr>
      </w:pPr>
    </w:p>
    <w:p w14:paraId="4E4B1BB7"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Roles &amp; Responsibilities of the participants – Further highlighted under V.</w:t>
      </w:r>
    </w:p>
    <w:p w14:paraId="32732BA6"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main participants are the Filler, the Consignor and the Carrier; it should be established if the current description of roles and responsibilities need to be amended to reflect the loading on top operation. </w:t>
      </w:r>
    </w:p>
    <w:p w14:paraId="075E55ED"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lastRenderedPageBreak/>
        <w:t xml:space="preserve">It should be established if, besides filler, consignor, carrier, there are other roles/responsibilities which would be impacted?  </w:t>
      </w:r>
    </w:p>
    <w:p w14:paraId="491317AD"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Is there a chance of a chemical reaction?</w:t>
      </w:r>
    </w:p>
    <w:p w14:paraId="7C80129F"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A chemical reaction must always be excluded. </w:t>
      </w:r>
    </w:p>
    <w:p w14:paraId="5857689A"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 chemical reaction between 2 substances of the same UN number is not likely</w:t>
      </w:r>
    </w:p>
    <w:p w14:paraId="2C54CC1D"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If the substance is classified in accordance with 2.1.1.2, and falling under A or B or C.  </w:t>
      </w:r>
    </w:p>
    <w:p w14:paraId="4C274B27"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How do we feel about Substances falling under 2.1.1.2, D?</w:t>
      </w:r>
    </w:p>
    <w:p w14:paraId="1A7AF01C" w14:textId="77777777" w:rsidR="00861B3B" w:rsidRPr="00861B3B" w:rsidRDefault="00861B3B" w:rsidP="00861B3B">
      <w:pPr>
        <w:suppressAutoHyphens w:val="0"/>
        <w:spacing w:after="160" w:line="259" w:lineRule="auto"/>
        <w:ind w:left="1440"/>
        <w:contextualSpacing/>
        <w:rPr>
          <w:rFonts w:asciiTheme="minorHAnsi" w:eastAsiaTheme="minorHAnsi" w:hAnsiTheme="minorHAnsi" w:cstheme="minorBidi"/>
          <w:sz w:val="22"/>
          <w:szCs w:val="22"/>
          <w:lang w:val="en-US"/>
        </w:rPr>
      </w:pPr>
    </w:p>
    <w:p w14:paraId="795A2CF2"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Is there a risk of blending illegal streams or substances and if so, how can it be contained?</w:t>
      </w:r>
    </w:p>
    <w:p w14:paraId="137B4AC2"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In the event of regular loading operations at terminals, oil installations, refineries, this risk is excluded. </w:t>
      </w:r>
    </w:p>
    <w:p w14:paraId="7BEFBE47"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Should a loading on top operation be documented? (i.e. in the form of a detailed loading plan and instructions to and communicated with participants in a traceable form?)</w:t>
      </w:r>
    </w:p>
    <w:p w14:paraId="3763A6C6"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Do we need a clear description of responsibilities of participants in ADN in this type of operation?</w:t>
      </w:r>
    </w:p>
    <w:p w14:paraId="0501D2E0" w14:textId="77777777" w:rsidR="00861B3B" w:rsidRPr="00861B3B" w:rsidRDefault="00861B3B" w:rsidP="00861B3B">
      <w:pPr>
        <w:suppressAutoHyphens w:val="0"/>
        <w:spacing w:after="160" w:line="259" w:lineRule="auto"/>
        <w:ind w:left="720"/>
        <w:contextualSpacing/>
        <w:rPr>
          <w:rFonts w:asciiTheme="minorHAnsi" w:eastAsiaTheme="minorHAnsi" w:hAnsiTheme="minorHAnsi" w:cstheme="minorBidi"/>
          <w:sz w:val="22"/>
          <w:szCs w:val="22"/>
          <w:lang w:val="en-US"/>
        </w:rPr>
      </w:pPr>
    </w:p>
    <w:p w14:paraId="32037FCB"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Classification of the commingled substance </w:t>
      </w:r>
    </w:p>
    <w:p w14:paraId="4B4A4CDC"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Who is responsible for the classification of the commingled substance?</w:t>
      </w:r>
    </w:p>
    <w:p w14:paraId="7C738403"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Further highlighted under V.</w:t>
      </w:r>
    </w:p>
    <w:p w14:paraId="769C5D19" w14:textId="77777777" w:rsidR="00861B3B" w:rsidRPr="00861B3B"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 </w:t>
      </w:r>
    </w:p>
    <w:p w14:paraId="67AC8B94"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Choice of ship type</w:t>
      </w:r>
    </w:p>
    <w:p w14:paraId="6173A493"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Substances to be loaded as well as the commingled substance must appear on the ship’s substance list in accordance with 1.16.1.2.5</w:t>
      </w:r>
    </w:p>
    <w:p w14:paraId="2C7D8640"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 suitable ship to load and carry the commingled substance is the ship which must be able to carry:</w:t>
      </w:r>
    </w:p>
    <w:p w14:paraId="66941FD6"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commingled substance </w:t>
      </w:r>
      <w:r w:rsidRPr="00861B3B">
        <w:rPr>
          <w:rFonts w:asciiTheme="minorHAnsi" w:eastAsiaTheme="minorHAnsi" w:hAnsiTheme="minorHAnsi" w:cstheme="minorBidi"/>
          <w:sz w:val="22"/>
          <w:szCs w:val="22"/>
          <w:u w:val="single"/>
          <w:lang w:val="en-US"/>
        </w:rPr>
        <w:t>and</w:t>
      </w:r>
    </w:p>
    <w:p w14:paraId="5B9645BC"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All the substances of which the commingled substance is made of. </w:t>
      </w:r>
    </w:p>
    <w:p w14:paraId="2EFE13D7" w14:textId="77777777" w:rsidR="00861B3B" w:rsidRPr="00861B3B" w:rsidRDefault="00861B3B" w:rsidP="00861B3B">
      <w:pPr>
        <w:suppressAutoHyphens w:val="0"/>
        <w:spacing w:after="160" w:line="259" w:lineRule="auto"/>
        <w:ind w:left="2520"/>
        <w:contextualSpacing/>
        <w:rPr>
          <w:rFonts w:asciiTheme="minorHAnsi" w:eastAsiaTheme="minorHAnsi" w:hAnsiTheme="minorHAnsi" w:cstheme="minorBidi"/>
          <w:sz w:val="22"/>
          <w:szCs w:val="22"/>
          <w:lang w:val="en-US"/>
        </w:rPr>
      </w:pPr>
    </w:p>
    <w:p w14:paraId="644BF113"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Operations traceability:  How is this enforceable? </w:t>
      </w:r>
    </w:p>
    <w:p w14:paraId="506C5B2A"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What documents should be made available to carrier and loading facility?</w:t>
      </w:r>
    </w:p>
    <w:p w14:paraId="67F23E5C"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u w:val="single"/>
          <w:lang w:val="en-US"/>
        </w:rPr>
        <w:t>Can be:</w:t>
      </w:r>
      <w:r w:rsidRPr="00861B3B">
        <w:rPr>
          <w:rFonts w:asciiTheme="minorHAnsi" w:eastAsiaTheme="minorHAnsi" w:hAnsiTheme="minorHAnsi" w:cstheme="minorBidi"/>
          <w:sz w:val="22"/>
          <w:szCs w:val="22"/>
          <w:lang w:val="en-US"/>
        </w:rPr>
        <w:t xml:space="preserve"> a detailed loading plan issued by the carrier (7.2.4.11?) </w:t>
      </w:r>
    </w:p>
    <w:p w14:paraId="534F4309" w14:textId="77777777" w:rsidR="00861B3B" w:rsidRPr="00861B3B" w:rsidRDefault="00861B3B" w:rsidP="00861B3B">
      <w:pPr>
        <w:numPr>
          <w:ilvl w:val="3"/>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Based on the consignor’s instruction?</w:t>
      </w:r>
    </w:p>
    <w:p w14:paraId="22CB9487" w14:textId="77777777" w:rsidR="00861B3B" w:rsidRPr="00861B3B" w:rsidRDefault="00861B3B" w:rsidP="00861B3B">
      <w:pPr>
        <w:numPr>
          <w:ilvl w:val="3"/>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Showing details of this operation (product, UN number/dangers, qty, etc. </w:t>
      </w:r>
    </w:p>
    <w:p w14:paraId="770DB3DD"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Voyage registration (in the spirit of 8.1.11?)</w:t>
      </w:r>
    </w:p>
    <w:p w14:paraId="63BA27A9" w14:textId="77777777" w:rsidR="00861B3B" w:rsidRPr="00861B3B" w:rsidRDefault="00861B3B" w:rsidP="00861B3B">
      <w:pPr>
        <w:numPr>
          <w:ilvl w:val="2"/>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u w:val="single"/>
          <w:lang w:val="en-US"/>
        </w:rPr>
        <w:t>Must be</w:t>
      </w:r>
      <w:r w:rsidRPr="00861B3B">
        <w:rPr>
          <w:rFonts w:asciiTheme="minorHAnsi" w:eastAsiaTheme="minorHAnsi" w:hAnsiTheme="minorHAnsi" w:cstheme="minorBidi"/>
          <w:sz w:val="22"/>
          <w:szCs w:val="22"/>
          <w:lang w:val="en-US"/>
        </w:rPr>
        <w:t xml:space="preserve">: </w:t>
      </w:r>
    </w:p>
    <w:p w14:paraId="77905A54" w14:textId="77777777" w:rsidR="00861B3B" w:rsidRPr="00861B3B" w:rsidRDefault="00861B3B" w:rsidP="00861B3B">
      <w:pPr>
        <w:numPr>
          <w:ilvl w:val="3"/>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ADN compliant Transport according to 5.4.1</w:t>
      </w:r>
    </w:p>
    <w:p w14:paraId="77E643D8" w14:textId="77777777" w:rsidR="00861B3B" w:rsidRPr="00861B3B" w:rsidRDefault="00861B3B" w:rsidP="00861B3B">
      <w:pPr>
        <w:numPr>
          <w:ilvl w:val="4"/>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For each individually loaded parcels;</w:t>
      </w:r>
    </w:p>
    <w:p w14:paraId="57C5B512" w14:textId="77777777" w:rsidR="00861B3B" w:rsidRPr="00861B3B" w:rsidRDefault="00861B3B" w:rsidP="00861B3B">
      <w:pPr>
        <w:numPr>
          <w:ilvl w:val="4"/>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For the commingled product </w:t>
      </w:r>
    </w:p>
    <w:p w14:paraId="56C05A44" w14:textId="77777777" w:rsidR="00861B3B" w:rsidRPr="00861B3B" w:rsidRDefault="00861B3B" w:rsidP="00861B3B">
      <w:pPr>
        <w:numPr>
          <w:ilvl w:val="3"/>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ADN Checklist according to 8.6.3</w:t>
      </w:r>
    </w:p>
    <w:p w14:paraId="2C53BDAB"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Who is responsible for providing these?</w:t>
      </w:r>
    </w:p>
    <w:p w14:paraId="23A0103B" w14:textId="77777777" w:rsidR="00861B3B" w:rsidRPr="00861B3B" w:rsidRDefault="00861B3B" w:rsidP="00861B3B">
      <w:pPr>
        <w:numPr>
          <w:ilvl w:val="1"/>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Who is responsible for its contents?</w:t>
      </w:r>
    </w:p>
    <w:p w14:paraId="4E9B695F" w14:textId="77777777" w:rsidR="00861B3B" w:rsidRPr="00861B3B"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en-US"/>
        </w:rPr>
      </w:pPr>
    </w:p>
    <w:p w14:paraId="3B26355B" w14:textId="77777777" w:rsidR="00861B3B" w:rsidRPr="00861B3B" w:rsidRDefault="00861B3B" w:rsidP="00861B3B">
      <w:pPr>
        <w:suppressAutoHyphens w:val="0"/>
        <w:spacing w:after="160" w:line="259" w:lineRule="auto"/>
        <w:ind w:left="1800"/>
        <w:contextualSpacing/>
        <w:rPr>
          <w:rFonts w:asciiTheme="minorHAnsi" w:eastAsiaTheme="minorHAnsi" w:hAnsiTheme="minorHAnsi" w:cstheme="minorBidi"/>
          <w:sz w:val="22"/>
          <w:szCs w:val="22"/>
          <w:lang w:val="en-US"/>
        </w:rPr>
      </w:pPr>
    </w:p>
    <w:p w14:paraId="43D9C7B7" w14:textId="77777777" w:rsidR="00861B3B" w:rsidRPr="00861B3B" w:rsidRDefault="00861B3B" w:rsidP="00861B3B">
      <w:pPr>
        <w:numPr>
          <w:ilvl w:val="0"/>
          <w:numId w:val="37"/>
        </w:numPr>
        <w:suppressAutoHyphens w:val="0"/>
        <w:spacing w:after="160" w:line="259" w:lineRule="auto"/>
        <w:contextualSpacing/>
        <w:rPr>
          <w:rFonts w:asciiTheme="minorHAnsi" w:eastAsiaTheme="minorHAnsi" w:hAnsiTheme="minorHAnsi" w:cstheme="minorBidi"/>
          <w:b/>
          <w:sz w:val="28"/>
          <w:szCs w:val="28"/>
          <w:lang w:val="en-US"/>
        </w:rPr>
      </w:pPr>
      <w:r w:rsidRPr="00861B3B">
        <w:rPr>
          <w:rFonts w:asciiTheme="minorHAnsi" w:eastAsiaTheme="minorHAnsi" w:hAnsiTheme="minorHAnsi" w:cstheme="minorBidi"/>
          <w:b/>
          <w:sz w:val="28"/>
          <w:szCs w:val="28"/>
          <w:lang w:val="en-US"/>
        </w:rPr>
        <w:t>ARTICLES FOR REVIEW</w:t>
      </w:r>
    </w:p>
    <w:p w14:paraId="14CF814A"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Bidi"/>
          <w:b/>
          <w:sz w:val="28"/>
          <w:szCs w:val="28"/>
          <w:lang w:val="en-US"/>
        </w:rPr>
      </w:pPr>
    </w:p>
    <w:p w14:paraId="779FA422" w14:textId="77777777" w:rsidR="00861B3B" w:rsidRPr="00861B3B" w:rsidRDefault="00861B3B" w:rsidP="00861B3B">
      <w:pPr>
        <w:numPr>
          <w:ilvl w:val="0"/>
          <w:numId w:val="36"/>
        </w:numPr>
        <w:suppressAutoHyphens w:val="0"/>
        <w:spacing w:after="160" w:line="259" w:lineRule="auto"/>
        <w:contextualSpacing/>
        <w:rPr>
          <w:rFonts w:asciiTheme="minorHAnsi" w:eastAsiaTheme="minorHAnsi" w:hAnsiTheme="minorHAnsi" w:cstheme="minorBidi"/>
          <w:sz w:val="22"/>
          <w:szCs w:val="22"/>
          <w:lang w:val="en-US"/>
        </w:rPr>
      </w:pPr>
      <w:r w:rsidRPr="00861B3B">
        <w:rPr>
          <w:rFonts w:asciiTheme="minorHAnsi" w:eastAsiaTheme="minorHAnsi" w:hAnsiTheme="minorHAnsi" w:cstheme="minorBidi"/>
          <w:sz w:val="22"/>
          <w:szCs w:val="22"/>
          <w:lang w:val="en-US"/>
        </w:rPr>
        <w:t xml:space="preserve">The inventory of items for discussion result in the below mentioned list of articles for review.  The IWG members can discuss if a regulation of loading on top would require amending existing articles and/or proposing new articles for ADN: </w:t>
      </w:r>
    </w:p>
    <w:tbl>
      <w:tblPr>
        <w:tblW w:w="10620" w:type="dxa"/>
        <w:tblLook w:val="04A0" w:firstRow="1" w:lastRow="0" w:firstColumn="1" w:lastColumn="0" w:noHBand="0" w:noVBand="1"/>
      </w:tblPr>
      <w:tblGrid>
        <w:gridCol w:w="1160"/>
        <w:gridCol w:w="3840"/>
        <w:gridCol w:w="5620"/>
      </w:tblGrid>
      <w:tr w:rsidR="00861B3B" w:rsidRPr="00861B3B" w14:paraId="10C431D6"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4268ABA8"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1.1.2</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448E16E2"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Scope</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A10C78D"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Is it desirable and if yes is it possible to approach this type of operation similar to 5.4.1.1.7: “carriage in accordance with 1.1.4.2.1</w:t>
            </w:r>
            <w:proofErr w:type="gramStart"/>
            <w:r w:rsidRPr="00861B3B">
              <w:rPr>
                <w:rFonts w:ascii="Calibri" w:hAnsi="Calibri" w:cs="Calibri"/>
                <w:color w:val="000000"/>
                <w:sz w:val="18"/>
                <w:szCs w:val="18"/>
                <w:lang w:val="en-US"/>
              </w:rPr>
              <w:t>” ?</w:t>
            </w:r>
            <w:proofErr w:type="gramEnd"/>
          </w:p>
        </w:tc>
      </w:tr>
      <w:tr w:rsidR="00861B3B" w:rsidRPr="00861B3B" w14:paraId="151ECC22"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51B88867"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1.2.1</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2F55B0F5"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Definitions</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572832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Discuss to develop a definition of “same cargo” and “loading on top”?</w:t>
            </w:r>
          </w:p>
        </w:tc>
      </w:tr>
      <w:tr w:rsidR="00861B3B" w:rsidRPr="00861B3B" w14:paraId="2E2DF713"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98A0114"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 xml:space="preserve">1.4.2 </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1E58361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Obligations of the main participants</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39207B7B" w14:textId="77777777" w:rsidR="00861B3B" w:rsidRPr="00861B3B" w:rsidRDefault="00861B3B" w:rsidP="00861B3B">
            <w:pPr>
              <w:suppressAutoHyphens w:val="0"/>
              <w:spacing w:line="240" w:lineRule="auto"/>
              <w:rPr>
                <w:rFonts w:ascii="Calibri" w:hAnsi="Calibri" w:cs="Calibri"/>
                <w:color w:val="000000"/>
                <w:sz w:val="18"/>
                <w:szCs w:val="18"/>
                <w:lang w:val="en-US"/>
              </w:rPr>
            </w:pPr>
          </w:p>
        </w:tc>
      </w:tr>
      <w:tr w:rsidR="00861B3B" w:rsidRPr="00861B3B" w14:paraId="6E6D40E1"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46C6221" w14:textId="77777777" w:rsidR="00861B3B" w:rsidRPr="00861B3B" w:rsidRDefault="00861B3B" w:rsidP="00861B3B">
            <w:pPr>
              <w:suppressAutoHyphens w:val="0"/>
              <w:spacing w:line="240" w:lineRule="auto"/>
              <w:rPr>
                <w:lang w:val="en-US"/>
              </w:rPr>
            </w:pP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3CFD57BE" w14:textId="77777777" w:rsidR="00861B3B" w:rsidRPr="00861B3B" w:rsidRDefault="00861B3B" w:rsidP="00861B3B">
            <w:pPr>
              <w:tabs>
                <w:tab w:val="left" w:pos="1118"/>
              </w:tabs>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1.4.2.1 Consignor</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5E1BE000"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As highlighted under V., item 17a</w:t>
            </w:r>
          </w:p>
        </w:tc>
      </w:tr>
      <w:tr w:rsidR="00861B3B" w:rsidRPr="00861B3B" w14:paraId="7737FCC7"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05EF29E" w14:textId="77777777" w:rsidR="00861B3B" w:rsidRPr="00861B3B" w:rsidRDefault="00861B3B" w:rsidP="00861B3B">
            <w:pPr>
              <w:suppressAutoHyphens w:val="0"/>
              <w:spacing w:line="240" w:lineRule="auto"/>
              <w:rPr>
                <w:rFonts w:ascii="Calibri" w:hAnsi="Calibri" w:cs="Calibri"/>
                <w:color w:val="000000"/>
                <w:sz w:val="18"/>
                <w:szCs w:val="18"/>
                <w:lang w:val="en-US"/>
              </w:rPr>
            </w:pP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058E9369"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1.4.2.2 Carrier</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center"/>
            <w:hideMark/>
          </w:tcPr>
          <w:p w14:paraId="49B9C7EF"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As highlighted under V., item 17b</w:t>
            </w:r>
          </w:p>
        </w:tc>
      </w:tr>
      <w:tr w:rsidR="00861B3B" w:rsidRPr="00861B3B" w14:paraId="57119A6E"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9E96025"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 xml:space="preserve">1.4.3 </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491A3D0A"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Obligations of the other participants</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EA47B0F" w14:textId="77777777" w:rsidR="00861B3B" w:rsidRPr="00861B3B" w:rsidRDefault="00861B3B" w:rsidP="00861B3B">
            <w:pPr>
              <w:suppressAutoHyphens w:val="0"/>
              <w:spacing w:line="240" w:lineRule="auto"/>
              <w:rPr>
                <w:rFonts w:ascii="Calibri" w:hAnsi="Calibri" w:cs="Calibri"/>
                <w:color w:val="000000"/>
                <w:sz w:val="18"/>
                <w:szCs w:val="18"/>
                <w:lang w:val="en-US"/>
              </w:rPr>
            </w:pPr>
          </w:p>
        </w:tc>
      </w:tr>
      <w:tr w:rsidR="00861B3B" w:rsidRPr="00861B3B" w14:paraId="232BBB4A"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95E5FB3" w14:textId="77777777" w:rsidR="00861B3B" w:rsidRPr="00861B3B" w:rsidRDefault="00861B3B" w:rsidP="00861B3B">
            <w:pPr>
              <w:suppressAutoHyphens w:val="0"/>
              <w:spacing w:line="240" w:lineRule="auto"/>
              <w:rPr>
                <w:lang w:val="en-US"/>
              </w:rPr>
            </w:pP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148A4BE4"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1.4.3.3 Filler</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center"/>
            <w:hideMark/>
          </w:tcPr>
          <w:p w14:paraId="188E38F5"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As highlighted under V., item 17c</w:t>
            </w:r>
          </w:p>
        </w:tc>
      </w:tr>
      <w:tr w:rsidR="00861B3B" w:rsidRPr="00861B3B" w14:paraId="0ADCCEB2"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5FBCC6C5"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5.4.1</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682258F1"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Dangerous Goods Transport Document</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8BB0C8A" w14:textId="77777777" w:rsidR="00861B3B" w:rsidRPr="00861B3B" w:rsidRDefault="00861B3B" w:rsidP="00861B3B">
            <w:pPr>
              <w:suppressAutoHyphens w:val="0"/>
              <w:spacing w:line="240" w:lineRule="auto"/>
              <w:rPr>
                <w:rFonts w:ascii="Calibri" w:hAnsi="Calibri" w:cs="Calibri"/>
                <w:color w:val="000000"/>
                <w:sz w:val="18"/>
                <w:szCs w:val="18"/>
                <w:lang w:val="en-US"/>
              </w:rPr>
            </w:pPr>
          </w:p>
        </w:tc>
      </w:tr>
      <w:tr w:rsidR="00861B3B" w:rsidRPr="00861B3B" w14:paraId="5794AF30"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3F23DDB" w14:textId="77777777" w:rsidR="00861B3B" w:rsidRPr="00861B3B" w:rsidRDefault="00861B3B" w:rsidP="00861B3B">
            <w:pPr>
              <w:suppressAutoHyphens w:val="0"/>
              <w:spacing w:line="240" w:lineRule="auto"/>
              <w:rPr>
                <w:lang w:val="en-US"/>
              </w:rPr>
            </w:pP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0F3BE76F"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5.4.1.1.2 Carriage in tank vessels</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082A3DE2"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Anything to be added/amended here?</w:t>
            </w:r>
          </w:p>
        </w:tc>
      </w:tr>
      <w:tr w:rsidR="00861B3B" w:rsidRPr="00861B3B" w14:paraId="04D52D50" w14:textId="77777777" w:rsidTr="00C43040">
        <w:trPr>
          <w:trHeight w:val="495"/>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E11A517" w14:textId="77777777" w:rsidR="00861B3B" w:rsidRPr="00861B3B" w:rsidRDefault="00861B3B" w:rsidP="00861B3B">
            <w:pPr>
              <w:suppressAutoHyphens w:val="0"/>
              <w:spacing w:line="240" w:lineRule="auto"/>
              <w:rPr>
                <w:rFonts w:ascii="Calibri" w:hAnsi="Calibri" w:cs="Calibri"/>
                <w:color w:val="000000"/>
                <w:sz w:val="18"/>
                <w:szCs w:val="18"/>
                <w:lang w:val="en-US"/>
              </w:rPr>
            </w:pP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05F76FB3"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5.4.1.1.7</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084E1C0"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refers to scope 1.1.2 - (scope and applicability), which could bear a reference to loading on top such as 1.1.x.x.x? – for discussion</w:t>
            </w:r>
          </w:p>
        </w:tc>
      </w:tr>
      <w:tr w:rsidR="00861B3B" w:rsidRPr="00861B3B" w14:paraId="3306F035"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1381023"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7.2.3.42</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5ECFC4E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Cargo heating system</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63C260C2"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To be discussed if this poses challenges?</w:t>
            </w:r>
          </w:p>
        </w:tc>
      </w:tr>
      <w:tr w:rsidR="00861B3B" w:rsidRPr="00861B3B" w14:paraId="36A8AD94"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C39F327"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7.2.4.7</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4631E719"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Places of loading and unloading</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37B9250"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Does the current text cover a loading on top operation?</w:t>
            </w:r>
          </w:p>
        </w:tc>
      </w:tr>
      <w:tr w:rsidR="00861B3B" w:rsidRPr="00861B3B" w14:paraId="2EB0A22A"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017C82F"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7.2.4.10</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2B675624"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Checklist</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36607D38"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In conjunction with 8.6.3 - Is the current format suitable for a loading on top operation?</w:t>
            </w:r>
          </w:p>
        </w:tc>
      </w:tr>
      <w:tr w:rsidR="00861B3B" w:rsidRPr="00861B3B" w14:paraId="7B185758"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949F069"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7.2.4.11</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3498CD1A"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Loading plan</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50139EE"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Discuss if and how to incorporate details of a loading on top operation in the loading plan. Should this be formalized?</w:t>
            </w:r>
          </w:p>
        </w:tc>
      </w:tr>
      <w:tr w:rsidR="00861B3B" w:rsidRPr="00861B3B" w14:paraId="3683B64A" w14:textId="77777777" w:rsidTr="00C43040">
        <w:trPr>
          <w:trHeight w:val="495"/>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6FDBBCC8"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7.2.4.12</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5BE6418F"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Registration during voyage</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B6E035C"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refers to 8.1.11 - register of operations UN 1203 - discuss if it is desirable to use/amend these articles to formalize could band how to extend to a loading on top operation?</w:t>
            </w:r>
          </w:p>
        </w:tc>
      </w:tr>
      <w:tr w:rsidR="00861B3B" w:rsidRPr="00861B3B" w14:paraId="7463BDD6"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5F514DD"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7.2.4.13</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562E5646"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Measures to be taken before loading</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AB09C29"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Does the current text cover a loading on top operation?</w:t>
            </w:r>
          </w:p>
        </w:tc>
      </w:tr>
      <w:tr w:rsidR="00861B3B" w:rsidRPr="00861B3B" w14:paraId="1D61472B" w14:textId="77777777" w:rsidTr="00C43040">
        <w:trPr>
          <w:trHeight w:val="48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176BEFE"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7.2.4.16</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3389E0AE"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Measures to be taken during loading, carriage, unloading and handling</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B7D34D9"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Does the current text cover a loading on top operation?</w:t>
            </w:r>
          </w:p>
        </w:tc>
      </w:tr>
      <w:tr w:rsidR="00861B3B" w:rsidRPr="00861B3B" w14:paraId="17C16B43"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7F40A66"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7.2.4.21</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283FB35D"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Filling of cargo tanks</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ED0B520"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Does the current text cover a loading on top operation?</w:t>
            </w:r>
          </w:p>
        </w:tc>
      </w:tr>
      <w:tr w:rsidR="00861B3B" w:rsidRPr="00861B3B" w14:paraId="300B8E56"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23CAC9F"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8.1.2</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1CB75450"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Documents</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02A40FA"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Does the current text cover a loading on top operation?</w:t>
            </w:r>
          </w:p>
        </w:tc>
      </w:tr>
      <w:tr w:rsidR="00861B3B" w:rsidRPr="00861B3B" w14:paraId="751F534E"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6605913"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8.1.11</w:t>
            </w:r>
          </w:p>
        </w:tc>
        <w:tc>
          <w:tcPr>
            <w:tcW w:w="3840" w:type="dxa"/>
            <w:tcBorders>
              <w:top w:val="single" w:sz="4" w:space="0" w:color="4472C4"/>
              <w:left w:val="single" w:sz="4" w:space="0" w:color="4472C4"/>
              <w:bottom w:val="single" w:sz="4" w:space="0" w:color="4472C4"/>
              <w:right w:val="single" w:sz="4" w:space="0" w:color="4472C4"/>
            </w:tcBorders>
            <w:shd w:val="clear" w:color="auto" w:fill="auto"/>
            <w:hideMark/>
          </w:tcPr>
          <w:p w14:paraId="794613F4"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Register of operations UN 1203</w:t>
            </w:r>
          </w:p>
        </w:tc>
        <w:tc>
          <w:tcPr>
            <w:tcW w:w="562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1078609E"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relates to discussion on 7.2.4.11 and 7.2.4.12</w:t>
            </w:r>
          </w:p>
        </w:tc>
      </w:tr>
      <w:tr w:rsidR="00861B3B" w:rsidRPr="00861B3B" w14:paraId="3C815A59" w14:textId="77777777" w:rsidTr="00C43040">
        <w:trPr>
          <w:trHeight w:val="300"/>
        </w:trPr>
        <w:tc>
          <w:tcPr>
            <w:tcW w:w="116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4DCBC33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8.6.3</w:t>
            </w:r>
          </w:p>
        </w:tc>
        <w:tc>
          <w:tcPr>
            <w:tcW w:w="3840" w:type="dxa"/>
            <w:tcBorders>
              <w:top w:val="single" w:sz="4" w:space="0" w:color="4472C4"/>
              <w:left w:val="single" w:sz="4" w:space="0" w:color="4472C4"/>
              <w:bottom w:val="single" w:sz="4" w:space="0" w:color="4472C4"/>
              <w:right w:val="single" w:sz="4" w:space="0" w:color="4472C4"/>
            </w:tcBorders>
            <w:shd w:val="clear" w:color="D9E1F2" w:fill="D9E1F2"/>
            <w:hideMark/>
          </w:tcPr>
          <w:p w14:paraId="1D0D9DD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ADN checklist</w:t>
            </w:r>
          </w:p>
        </w:tc>
        <w:tc>
          <w:tcPr>
            <w:tcW w:w="562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E6D91DB" w14:textId="77777777" w:rsidR="00861B3B" w:rsidRPr="00861B3B" w:rsidRDefault="00861B3B" w:rsidP="00861B3B">
            <w:pPr>
              <w:suppressAutoHyphens w:val="0"/>
              <w:spacing w:line="240" w:lineRule="auto"/>
              <w:rPr>
                <w:rFonts w:ascii="Calibri" w:hAnsi="Calibri" w:cs="Calibri"/>
                <w:color w:val="000000"/>
                <w:sz w:val="18"/>
                <w:szCs w:val="18"/>
                <w:lang w:val="en-US"/>
              </w:rPr>
            </w:pPr>
            <w:r w:rsidRPr="00861B3B">
              <w:rPr>
                <w:rFonts w:ascii="Calibri" w:hAnsi="Calibri" w:cs="Calibri"/>
                <w:color w:val="000000"/>
                <w:sz w:val="18"/>
                <w:szCs w:val="18"/>
                <w:lang w:val="en-US"/>
              </w:rPr>
              <w:t>Is the current format suitable for a loading on top operation?</w:t>
            </w:r>
          </w:p>
        </w:tc>
      </w:tr>
    </w:tbl>
    <w:p w14:paraId="4973CF5D"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7AE7041D"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0B95CADE"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0C9463B8"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33C23EBF"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3DEDE201"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6A04182D" w14:textId="77777777" w:rsidR="00861B3B" w:rsidRPr="00861B3B" w:rsidRDefault="00861B3B" w:rsidP="00861B3B">
      <w:pPr>
        <w:numPr>
          <w:ilvl w:val="0"/>
          <w:numId w:val="37"/>
        </w:numPr>
        <w:suppressAutoHyphens w:val="0"/>
        <w:spacing w:after="160" w:line="259" w:lineRule="auto"/>
        <w:contextualSpacing/>
        <w:rPr>
          <w:rFonts w:asciiTheme="minorHAnsi" w:eastAsiaTheme="minorHAnsi" w:hAnsiTheme="minorHAnsi" w:cstheme="minorHAnsi"/>
          <w:b/>
          <w:sz w:val="28"/>
          <w:szCs w:val="28"/>
          <w:lang w:val="en-US"/>
        </w:rPr>
      </w:pPr>
      <w:bookmarkStart w:id="1" w:name="_Hlk511729445"/>
      <w:r w:rsidRPr="00861B3B">
        <w:rPr>
          <w:rFonts w:asciiTheme="minorHAnsi" w:eastAsiaTheme="minorHAnsi" w:hAnsiTheme="minorHAnsi" w:cstheme="minorHAnsi"/>
          <w:b/>
          <w:sz w:val="28"/>
          <w:szCs w:val="28"/>
          <w:lang w:val="en-US"/>
        </w:rPr>
        <w:lastRenderedPageBreak/>
        <w:t>ROLES AND RESPONSIBILITIES FOR PARTICIPANTS IN THE LOADING ON TOP OPERATION</w:t>
      </w:r>
    </w:p>
    <w:p w14:paraId="3A20720E" w14:textId="77777777" w:rsidR="00861B3B" w:rsidRPr="00861B3B" w:rsidRDefault="00861B3B" w:rsidP="00861B3B">
      <w:pPr>
        <w:suppressAutoHyphens w:val="0"/>
        <w:spacing w:after="160" w:line="259" w:lineRule="auto"/>
        <w:ind w:left="1080"/>
        <w:contextualSpacing/>
        <w:rPr>
          <w:rFonts w:asciiTheme="minorHAnsi" w:eastAsiaTheme="minorHAnsi" w:hAnsiTheme="minorHAnsi" w:cstheme="minorHAnsi"/>
          <w:b/>
          <w:sz w:val="28"/>
          <w:szCs w:val="28"/>
          <w:lang w:val="en-US"/>
        </w:rPr>
      </w:pPr>
    </w:p>
    <w:bookmarkEnd w:id="1"/>
    <w:p w14:paraId="09C458A8" w14:textId="77777777" w:rsidR="00861B3B" w:rsidRPr="00861B3B" w:rsidRDefault="00861B3B" w:rsidP="00861B3B">
      <w:pPr>
        <w:numPr>
          <w:ilvl w:val="0"/>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The key participants in the operation of loading on top in barges are the Consignor, Filler and Carrier.   Their relevant responsibilities are described in 1.4.1</w:t>
      </w:r>
    </w:p>
    <w:p w14:paraId="4C89E924" w14:textId="77777777" w:rsidR="00861B3B" w:rsidRPr="00861B3B" w:rsidRDefault="00861B3B" w:rsidP="00861B3B">
      <w:pPr>
        <w:numPr>
          <w:ilvl w:val="0"/>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 xml:space="preserve">To what extent, if any, do the responsibilities of Consignor, Filler and/or Carrier change in the event of a loading on top operation; </w:t>
      </w:r>
    </w:p>
    <w:p w14:paraId="61C1E830" w14:textId="77777777" w:rsidR="00861B3B" w:rsidRPr="00861B3B" w:rsidRDefault="00861B3B" w:rsidP="00861B3B">
      <w:pPr>
        <w:numPr>
          <w:ilvl w:val="0"/>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 xml:space="preserve">Notwithstanding the above, the consignor, carrier and filler must always comply with their other respective obligations in accordance with ADN, as referred to in Annex III of  </w:t>
      </w:r>
      <w:hyperlink r:id="rId9" w:history="1">
        <w:r w:rsidRPr="00861B3B">
          <w:rPr>
            <w:rFonts w:asciiTheme="minorHAnsi" w:eastAsiaTheme="minorHAnsi" w:hAnsiTheme="minorHAnsi" w:cstheme="minorHAnsi"/>
            <w:color w:val="0563C1" w:themeColor="hyperlink"/>
            <w:sz w:val="22"/>
            <w:szCs w:val="22"/>
            <w:u w:val="single"/>
            <w:lang w:val="en-US"/>
          </w:rPr>
          <w:t>ECE/TRANS/WP.15/AC.2/2018/39</w:t>
        </w:r>
      </w:hyperlink>
      <w:r w:rsidRPr="00861B3B">
        <w:rPr>
          <w:rFonts w:asciiTheme="minorHAnsi" w:eastAsiaTheme="minorHAnsi" w:hAnsiTheme="minorHAnsi" w:cstheme="minorHAnsi"/>
          <w:sz w:val="22"/>
          <w:szCs w:val="22"/>
          <w:lang w:val="en-US"/>
        </w:rPr>
        <w:t xml:space="preserve"> as submitted and introduced by the IWG “loading on top”  during the 33</w:t>
      </w:r>
      <w:r w:rsidRPr="00861B3B">
        <w:rPr>
          <w:rFonts w:asciiTheme="minorHAnsi" w:eastAsiaTheme="minorHAnsi" w:hAnsiTheme="minorHAnsi" w:cstheme="minorHAnsi"/>
          <w:sz w:val="22"/>
          <w:szCs w:val="22"/>
          <w:vertAlign w:val="superscript"/>
          <w:lang w:val="en-US"/>
        </w:rPr>
        <w:t>rd</w:t>
      </w:r>
      <w:r w:rsidRPr="00861B3B">
        <w:rPr>
          <w:rFonts w:asciiTheme="minorHAnsi" w:eastAsiaTheme="minorHAnsi" w:hAnsiTheme="minorHAnsi" w:cstheme="minorHAnsi"/>
          <w:sz w:val="22"/>
          <w:szCs w:val="22"/>
          <w:lang w:val="en-US"/>
        </w:rPr>
        <w:t xml:space="preserve"> session of the Joint Meeting of Experts, 27-31 August 2018:</w:t>
      </w:r>
    </w:p>
    <w:p w14:paraId="66F558AB" w14:textId="77777777" w:rsidR="00861B3B" w:rsidRPr="00861B3B" w:rsidRDefault="00861B3B" w:rsidP="00861B3B">
      <w:pPr>
        <w:suppressAutoHyphens w:val="0"/>
        <w:spacing w:after="200" w:line="276" w:lineRule="auto"/>
        <w:ind w:left="1080"/>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 xml:space="preserve"> </w:t>
      </w:r>
    </w:p>
    <w:p w14:paraId="6D579327" w14:textId="77777777" w:rsidR="00861B3B" w:rsidRPr="00861B3B" w:rsidRDefault="00861B3B" w:rsidP="00861B3B">
      <w:pPr>
        <w:numPr>
          <w:ilvl w:val="1"/>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The Consignor:</w:t>
      </w:r>
    </w:p>
    <w:tbl>
      <w:tblPr>
        <w:tblStyle w:val="TableGrid5"/>
        <w:tblW w:w="9625" w:type="dxa"/>
        <w:tblLook w:val="04A0" w:firstRow="1" w:lastRow="0" w:firstColumn="1" w:lastColumn="0" w:noHBand="0" w:noVBand="1"/>
      </w:tblPr>
      <w:tblGrid>
        <w:gridCol w:w="2605"/>
        <w:gridCol w:w="5310"/>
        <w:gridCol w:w="1710"/>
      </w:tblGrid>
      <w:tr w:rsidR="00861B3B" w:rsidRPr="00861B3B" w14:paraId="43ED6CE4" w14:textId="77777777" w:rsidTr="00C43040">
        <w:tc>
          <w:tcPr>
            <w:tcW w:w="2605" w:type="dxa"/>
          </w:tcPr>
          <w:p w14:paraId="53B522BF"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For the Consignor, it means that he:</w:t>
            </w:r>
          </w:p>
        </w:tc>
        <w:tc>
          <w:tcPr>
            <w:tcW w:w="5310" w:type="dxa"/>
          </w:tcPr>
          <w:p w14:paraId="6702E2A9"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Action:</w:t>
            </w:r>
          </w:p>
        </w:tc>
        <w:tc>
          <w:tcPr>
            <w:tcW w:w="1710" w:type="dxa"/>
          </w:tcPr>
          <w:p w14:paraId="74BE4F19"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ADN</w:t>
            </w:r>
          </w:p>
        </w:tc>
      </w:tr>
      <w:tr w:rsidR="00861B3B" w:rsidRPr="00861B3B" w14:paraId="09D9B8EF" w14:textId="77777777" w:rsidTr="00C43040">
        <w:tc>
          <w:tcPr>
            <w:tcW w:w="2605" w:type="dxa"/>
          </w:tcPr>
          <w:p w14:paraId="06773595"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Ascertains that the dangerous goods are classified and authorized for carriage in accordance with ADN. </w:t>
            </w:r>
          </w:p>
        </w:tc>
        <w:tc>
          <w:tcPr>
            <w:tcW w:w="5310" w:type="dxa"/>
          </w:tcPr>
          <w:p w14:paraId="264F44EF"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Identifies compatible substances and their locations; classifies the commingled substance</w:t>
            </w:r>
          </w:p>
        </w:tc>
        <w:tc>
          <w:tcPr>
            <w:tcW w:w="1710" w:type="dxa"/>
          </w:tcPr>
          <w:p w14:paraId="4A145A5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2.1.2; 2.1.3.5.1; 2.1.3.5.2; 2.1.3.5.3; 1.4.2.1.1 (a); 7.2.4.13.1 3rd paragraph</w:t>
            </w:r>
          </w:p>
        </w:tc>
      </w:tr>
      <w:tr w:rsidR="00861B3B" w:rsidRPr="00861B3B" w14:paraId="021D536F" w14:textId="77777777" w:rsidTr="00C43040">
        <w:trPr>
          <w:trHeight w:val="1430"/>
        </w:trPr>
        <w:tc>
          <w:tcPr>
            <w:tcW w:w="2605" w:type="dxa"/>
          </w:tcPr>
          <w:p w14:paraId="009864B2"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Furnishes the carrier with information and data …</w:t>
            </w:r>
          </w:p>
        </w:tc>
        <w:tc>
          <w:tcPr>
            <w:tcW w:w="5310" w:type="dxa"/>
          </w:tcPr>
          <w:p w14:paraId="715BB928" w14:textId="77777777" w:rsidR="00861B3B" w:rsidRPr="00861B3B" w:rsidRDefault="00861B3B" w:rsidP="00861B3B">
            <w:pPr>
              <w:suppressAutoHyphens w:val="0"/>
              <w:spacing w:after="200" w:line="276" w:lineRule="auto"/>
              <w:rPr>
                <w:rFonts w:cstheme="minorHAnsi"/>
                <w:sz w:val="20"/>
                <w:lang w:val="en-US"/>
              </w:rPr>
            </w:pPr>
            <w:r w:rsidRPr="00861B3B">
              <w:rPr>
                <w:rFonts w:cstheme="minorHAnsi"/>
                <w:sz w:val="20"/>
                <w:lang w:val="en-US"/>
              </w:rPr>
              <w:t>Submits a request to the Carrier for a barge to be suitable for all substances to be loaded as well as the final commingled substance, provides the transport document (or the required information in a traceable format) in line with requirements of 5.4 and table C</w:t>
            </w:r>
          </w:p>
        </w:tc>
        <w:tc>
          <w:tcPr>
            <w:tcW w:w="1710" w:type="dxa"/>
          </w:tcPr>
          <w:p w14:paraId="66DB3216"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1.4.2.1.1(b); 5.4.1</w:t>
            </w:r>
          </w:p>
        </w:tc>
      </w:tr>
      <w:tr w:rsidR="00861B3B" w:rsidRPr="00861B3B" w14:paraId="441C089A" w14:textId="77777777" w:rsidTr="00C43040">
        <w:trPr>
          <w:trHeight w:val="692"/>
        </w:trPr>
        <w:tc>
          <w:tcPr>
            <w:tcW w:w="2605" w:type="dxa"/>
          </w:tcPr>
          <w:p w14:paraId="3A1669D8"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Uses only approved tank-vessels suitable for the carriage of the goods in question; </w:t>
            </w:r>
          </w:p>
        </w:tc>
        <w:tc>
          <w:tcPr>
            <w:tcW w:w="5310" w:type="dxa"/>
          </w:tcPr>
          <w:p w14:paraId="08E756DF"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For each individual substance and the commingled substance, checks the Carrier’s barge suitability against a vetting system (i.e. EBIS) or international regulation.  </w:t>
            </w:r>
          </w:p>
        </w:tc>
        <w:tc>
          <w:tcPr>
            <w:tcW w:w="1710" w:type="dxa"/>
          </w:tcPr>
          <w:p w14:paraId="2DFC537F"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1.4.2.1.1(c)</w:t>
            </w:r>
          </w:p>
        </w:tc>
      </w:tr>
      <w:tr w:rsidR="00861B3B" w:rsidRPr="00861B3B" w14:paraId="2F470637" w14:textId="77777777" w:rsidTr="00C43040">
        <w:trPr>
          <w:trHeight w:val="692"/>
        </w:trPr>
        <w:tc>
          <w:tcPr>
            <w:tcW w:w="2605" w:type="dxa"/>
          </w:tcPr>
          <w:p w14:paraId="0282D125"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Furnishes the carrier with information and data …</w:t>
            </w:r>
          </w:p>
          <w:p w14:paraId="6F9E19B5" w14:textId="77777777" w:rsidR="00861B3B" w:rsidRPr="00861B3B" w:rsidRDefault="00861B3B" w:rsidP="00861B3B">
            <w:pPr>
              <w:suppressAutoHyphens w:val="0"/>
              <w:spacing w:line="240" w:lineRule="auto"/>
              <w:rPr>
                <w:rFonts w:cstheme="minorHAnsi"/>
                <w:lang w:val="en-US"/>
              </w:rPr>
            </w:pPr>
          </w:p>
        </w:tc>
        <w:tc>
          <w:tcPr>
            <w:tcW w:w="5310" w:type="dxa"/>
          </w:tcPr>
          <w:p w14:paraId="1F4D2779"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Communicates to the carrier the loading plan, containing information and ADN proper Shipping Names per substance and quantity to be loaded </w:t>
            </w:r>
          </w:p>
        </w:tc>
        <w:tc>
          <w:tcPr>
            <w:tcW w:w="1710" w:type="dxa"/>
          </w:tcPr>
          <w:p w14:paraId="6DF01AF4"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1.4.2.1.1(b)</w:t>
            </w:r>
          </w:p>
        </w:tc>
      </w:tr>
    </w:tbl>
    <w:p w14:paraId="52C64452"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1B37DD8D"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493B22F1"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7CB864A5"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48F9F9C3"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38EF965E"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5A685689"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6FCC9D0F"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17B239BE" w14:textId="77777777" w:rsidR="00861B3B" w:rsidRPr="00861B3B" w:rsidRDefault="00861B3B" w:rsidP="00861B3B">
      <w:pPr>
        <w:suppressAutoHyphens w:val="0"/>
        <w:spacing w:after="200" w:line="276" w:lineRule="auto"/>
        <w:ind w:left="1800"/>
        <w:contextualSpacing/>
        <w:rPr>
          <w:rFonts w:asciiTheme="minorHAnsi" w:eastAsiaTheme="minorHAnsi" w:hAnsiTheme="minorHAnsi" w:cstheme="minorHAnsi"/>
          <w:sz w:val="22"/>
          <w:szCs w:val="22"/>
          <w:lang w:val="en-US"/>
        </w:rPr>
      </w:pPr>
    </w:p>
    <w:p w14:paraId="2B5DFA14" w14:textId="77777777" w:rsidR="00861B3B" w:rsidRPr="00861B3B" w:rsidRDefault="00861B3B" w:rsidP="00861B3B">
      <w:pPr>
        <w:numPr>
          <w:ilvl w:val="1"/>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lastRenderedPageBreak/>
        <w:t>The Carrier:</w:t>
      </w:r>
    </w:p>
    <w:tbl>
      <w:tblPr>
        <w:tblStyle w:val="TableGrid5"/>
        <w:tblW w:w="9625" w:type="dxa"/>
        <w:tblLook w:val="04A0" w:firstRow="1" w:lastRow="0" w:firstColumn="1" w:lastColumn="0" w:noHBand="0" w:noVBand="1"/>
      </w:tblPr>
      <w:tblGrid>
        <w:gridCol w:w="2605"/>
        <w:gridCol w:w="5310"/>
        <w:gridCol w:w="1710"/>
      </w:tblGrid>
      <w:tr w:rsidR="00861B3B" w:rsidRPr="00861B3B" w14:paraId="3BC7D93B" w14:textId="77777777" w:rsidTr="00C43040">
        <w:tc>
          <w:tcPr>
            <w:tcW w:w="2605" w:type="dxa"/>
          </w:tcPr>
          <w:p w14:paraId="4F4F92C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For the Carrier, it means that he must:</w:t>
            </w:r>
          </w:p>
        </w:tc>
        <w:tc>
          <w:tcPr>
            <w:tcW w:w="5310" w:type="dxa"/>
          </w:tcPr>
          <w:p w14:paraId="3ABDC683"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Action</w:t>
            </w:r>
          </w:p>
        </w:tc>
        <w:tc>
          <w:tcPr>
            <w:tcW w:w="1710" w:type="dxa"/>
          </w:tcPr>
          <w:p w14:paraId="1D75659C"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ADN</w:t>
            </w:r>
          </w:p>
        </w:tc>
      </w:tr>
      <w:tr w:rsidR="00861B3B" w:rsidRPr="00861B3B" w14:paraId="06E2E37D" w14:textId="77777777" w:rsidTr="00C43040">
        <w:tc>
          <w:tcPr>
            <w:tcW w:w="2605" w:type="dxa"/>
          </w:tcPr>
          <w:p w14:paraId="7CE571D0"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Ascertain that the dangerous goods in question are authorized for carriage;</w:t>
            </w:r>
          </w:p>
        </w:tc>
        <w:tc>
          <w:tcPr>
            <w:tcW w:w="5310" w:type="dxa"/>
          </w:tcPr>
          <w:p w14:paraId="094C4069"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Assign a suitable barge against Consignors request by checking the ADN Proper Shipping Names to be loaded against the Ships Substance list of the performing barge</w:t>
            </w:r>
          </w:p>
        </w:tc>
        <w:tc>
          <w:tcPr>
            <w:tcW w:w="1710" w:type="dxa"/>
          </w:tcPr>
          <w:p w14:paraId="4D4FBBC2"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1.4.2.2.1(a); 1.16.1.2.5</w:t>
            </w:r>
          </w:p>
        </w:tc>
      </w:tr>
      <w:tr w:rsidR="00861B3B" w:rsidRPr="00861B3B" w14:paraId="4C08F7CB" w14:textId="77777777" w:rsidTr="00C43040">
        <w:tc>
          <w:tcPr>
            <w:tcW w:w="2605" w:type="dxa"/>
          </w:tcPr>
          <w:p w14:paraId="493DD600"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Ascertain that all information prescribed in ADN related to the dangerous goods to be carried has been provided by the consignor;</w:t>
            </w:r>
          </w:p>
          <w:p w14:paraId="6447A28D" w14:textId="77777777" w:rsidR="00861B3B" w:rsidRPr="00861B3B" w:rsidRDefault="00861B3B" w:rsidP="00861B3B">
            <w:pPr>
              <w:suppressAutoHyphens w:val="0"/>
              <w:spacing w:line="240" w:lineRule="auto"/>
              <w:ind w:left="2160"/>
              <w:contextualSpacing/>
              <w:rPr>
                <w:rFonts w:cstheme="minorHAnsi"/>
                <w:lang w:val="en-US"/>
              </w:rPr>
            </w:pPr>
          </w:p>
        </w:tc>
        <w:tc>
          <w:tcPr>
            <w:tcW w:w="5310" w:type="dxa"/>
          </w:tcPr>
          <w:p w14:paraId="2B33F249" w14:textId="77777777" w:rsidR="00861B3B" w:rsidRPr="00861B3B" w:rsidRDefault="00861B3B" w:rsidP="00861B3B">
            <w:pPr>
              <w:suppressAutoHyphens w:val="0"/>
              <w:spacing w:after="200" w:line="276" w:lineRule="auto"/>
              <w:rPr>
                <w:rFonts w:cstheme="minorHAnsi"/>
                <w:sz w:val="20"/>
                <w:lang w:val="en-US"/>
              </w:rPr>
            </w:pPr>
            <w:r w:rsidRPr="00861B3B">
              <w:rPr>
                <w:rFonts w:cstheme="minorHAnsi"/>
                <w:sz w:val="20"/>
                <w:lang w:val="en-US"/>
              </w:rPr>
              <w:t xml:space="preserve">Verify that all transport documents (or the required information in a traceable format), the loading plan and loading sequence has been received from the Consignor; he receives, evaluates, forwards the relevant transport documents (or the required information in a traceable format, loading plan to the Master of the performing barge. </w:t>
            </w:r>
          </w:p>
        </w:tc>
        <w:tc>
          <w:tcPr>
            <w:tcW w:w="1710" w:type="dxa"/>
          </w:tcPr>
          <w:p w14:paraId="02E2A60D"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1.4.2.2.1(b)</w:t>
            </w:r>
          </w:p>
        </w:tc>
      </w:tr>
      <w:tr w:rsidR="00861B3B" w:rsidRPr="00861B3B" w14:paraId="4A5635FA" w14:textId="77777777" w:rsidTr="00C43040">
        <w:trPr>
          <w:trHeight w:val="692"/>
        </w:trPr>
        <w:tc>
          <w:tcPr>
            <w:tcW w:w="2605" w:type="dxa"/>
          </w:tcPr>
          <w:p w14:paraId="0F1713FF"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Ascertain that the vessel substance list in accordance with 1.16.1.2.5 complies with Table C of chapter 3.2 including the modifications made to it.</w:t>
            </w:r>
          </w:p>
        </w:tc>
        <w:tc>
          <w:tcPr>
            <w:tcW w:w="5310" w:type="dxa"/>
          </w:tcPr>
          <w:p w14:paraId="0366E1AD" w14:textId="77777777" w:rsidR="00861B3B" w:rsidRPr="00861B3B" w:rsidRDefault="00861B3B" w:rsidP="00861B3B">
            <w:pPr>
              <w:suppressAutoHyphens w:val="0"/>
              <w:spacing w:after="200" w:line="276" w:lineRule="auto"/>
              <w:rPr>
                <w:rFonts w:cstheme="minorHAnsi"/>
                <w:sz w:val="20"/>
                <w:lang w:val="en-US"/>
              </w:rPr>
            </w:pPr>
            <w:r w:rsidRPr="00861B3B">
              <w:rPr>
                <w:rFonts w:cstheme="minorHAnsi"/>
                <w:sz w:val="20"/>
                <w:lang w:val="en-US"/>
              </w:rPr>
              <w:t>Check by visual inspection that the individual components and the commingled mixture as mentioned on the Transport</w:t>
            </w:r>
            <w:r w:rsidRPr="00861B3B">
              <w:rPr>
                <w:rFonts w:cstheme="minorHAnsi"/>
                <w:sz w:val="20"/>
                <w:highlight w:val="yellow"/>
                <w:lang w:val="en-US"/>
              </w:rPr>
              <w:t xml:space="preserve"> </w:t>
            </w:r>
            <w:r w:rsidRPr="00861B3B">
              <w:rPr>
                <w:rFonts w:cstheme="minorHAnsi"/>
                <w:sz w:val="20"/>
                <w:lang w:val="en-US"/>
              </w:rPr>
              <w:t>Document (or the required information in a traceable format) and accompanying documents are on the Ships Substance list in accordance with 1.16.1.2.5 and that this list complies with Table C of chapter 3.2 including the modifications made to it.</w:t>
            </w:r>
          </w:p>
          <w:p w14:paraId="1CEC5AA1" w14:textId="77777777" w:rsidR="00861B3B" w:rsidRPr="00861B3B" w:rsidRDefault="00861B3B" w:rsidP="00861B3B">
            <w:pPr>
              <w:suppressAutoHyphens w:val="0"/>
              <w:spacing w:line="240" w:lineRule="auto"/>
              <w:rPr>
                <w:rFonts w:cstheme="minorHAnsi"/>
                <w:lang w:val="en-US"/>
              </w:rPr>
            </w:pPr>
          </w:p>
        </w:tc>
        <w:tc>
          <w:tcPr>
            <w:tcW w:w="1710" w:type="dxa"/>
          </w:tcPr>
          <w:p w14:paraId="325D8F7B"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1.4.2.2.1(j)</w:t>
            </w:r>
          </w:p>
        </w:tc>
      </w:tr>
      <w:tr w:rsidR="00861B3B" w:rsidRPr="00861B3B" w14:paraId="5BEF8FCA" w14:textId="77777777" w:rsidTr="00C43040">
        <w:trPr>
          <w:trHeight w:val="692"/>
        </w:trPr>
        <w:tc>
          <w:tcPr>
            <w:tcW w:w="2605" w:type="dxa"/>
          </w:tcPr>
          <w:p w14:paraId="68619EEB"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Ascertain that during loading, carriage, unloading and any other handling of the dangerous goods in the holds or cargo tanks, special requirements are complied with.</w:t>
            </w:r>
          </w:p>
        </w:tc>
        <w:tc>
          <w:tcPr>
            <w:tcW w:w="5310" w:type="dxa"/>
          </w:tcPr>
          <w:p w14:paraId="041A9B2E"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Must ensure that the specific requirements for each substance and the commingled substance are complied with, perform his obligations under 1.4.2.2 and 8.6.3 jointly with the filler</w:t>
            </w:r>
          </w:p>
        </w:tc>
        <w:tc>
          <w:tcPr>
            <w:tcW w:w="1710" w:type="dxa"/>
          </w:tcPr>
          <w:p w14:paraId="0BBFE637"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1.4.2.2.1(</w:t>
            </w:r>
            <w:proofErr w:type="spellStart"/>
            <w:r w:rsidRPr="00861B3B">
              <w:rPr>
                <w:rFonts w:cstheme="minorHAnsi"/>
                <w:lang w:val="en-US"/>
              </w:rPr>
              <w:t>i</w:t>
            </w:r>
            <w:proofErr w:type="spellEnd"/>
            <w:r w:rsidRPr="00861B3B">
              <w:rPr>
                <w:rFonts w:cstheme="minorHAnsi"/>
                <w:lang w:val="en-US"/>
              </w:rPr>
              <w:t>)</w:t>
            </w:r>
          </w:p>
        </w:tc>
      </w:tr>
    </w:tbl>
    <w:p w14:paraId="106C20FC" w14:textId="77777777" w:rsidR="00861B3B" w:rsidRPr="00861B3B" w:rsidRDefault="00861B3B" w:rsidP="00861B3B">
      <w:pPr>
        <w:suppressAutoHyphens w:val="0"/>
        <w:spacing w:after="160" w:line="259" w:lineRule="auto"/>
        <w:ind w:left="1440"/>
        <w:contextualSpacing/>
        <w:rPr>
          <w:rFonts w:asciiTheme="minorHAnsi" w:eastAsiaTheme="minorHAnsi" w:hAnsiTheme="minorHAnsi" w:cstheme="minorHAnsi"/>
          <w:sz w:val="22"/>
          <w:szCs w:val="22"/>
          <w:lang w:val="en-US"/>
        </w:rPr>
      </w:pPr>
    </w:p>
    <w:p w14:paraId="1F3A2CE7" w14:textId="77777777" w:rsidR="00861B3B" w:rsidRPr="00861B3B" w:rsidRDefault="00861B3B" w:rsidP="00861B3B">
      <w:pPr>
        <w:suppressAutoHyphens w:val="0"/>
        <w:spacing w:after="160" w:line="259" w:lineRule="auto"/>
        <w:ind w:left="1440"/>
        <w:contextualSpacing/>
        <w:rPr>
          <w:rFonts w:asciiTheme="minorHAnsi" w:eastAsiaTheme="minorHAnsi" w:hAnsiTheme="minorHAnsi" w:cstheme="minorHAnsi"/>
          <w:sz w:val="22"/>
          <w:szCs w:val="22"/>
          <w:lang w:val="en-US"/>
        </w:rPr>
      </w:pPr>
    </w:p>
    <w:p w14:paraId="15D96D17" w14:textId="77777777" w:rsidR="00861B3B" w:rsidRPr="00861B3B" w:rsidRDefault="00861B3B" w:rsidP="00861B3B">
      <w:pPr>
        <w:numPr>
          <w:ilvl w:val="1"/>
          <w:numId w:val="36"/>
        </w:numPr>
        <w:suppressAutoHyphens w:val="0"/>
        <w:spacing w:after="200" w:line="276" w:lineRule="auto"/>
        <w:contextualSpacing/>
        <w:rPr>
          <w:rFonts w:asciiTheme="minorHAnsi" w:eastAsiaTheme="minorHAnsi" w:hAnsiTheme="minorHAnsi" w:cstheme="minorHAnsi"/>
          <w:sz w:val="22"/>
          <w:szCs w:val="22"/>
          <w:lang w:val="en-US"/>
        </w:rPr>
      </w:pPr>
      <w:r w:rsidRPr="00861B3B">
        <w:rPr>
          <w:rFonts w:asciiTheme="minorHAnsi" w:eastAsiaTheme="minorHAnsi" w:hAnsiTheme="minorHAnsi" w:cstheme="minorHAnsi"/>
          <w:sz w:val="22"/>
          <w:szCs w:val="22"/>
          <w:lang w:val="en-US"/>
        </w:rPr>
        <w:t>The Filler</w:t>
      </w:r>
    </w:p>
    <w:tbl>
      <w:tblPr>
        <w:tblStyle w:val="TableGrid5"/>
        <w:tblW w:w="9625" w:type="dxa"/>
        <w:tblLook w:val="04A0" w:firstRow="1" w:lastRow="0" w:firstColumn="1" w:lastColumn="0" w:noHBand="0" w:noVBand="1"/>
      </w:tblPr>
      <w:tblGrid>
        <w:gridCol w:w="2605"/>
        <w:gridCol w:w="5310"/>
        <w:gridCol w:w="1710"/>
      </w:tblGrid>
      <w:tr w:rsidR="00861B3B" w:rsidRPr="00861B3B" w14:paraId="2FC3FE3E" w14:textId="77777777" w:rsidTr="00C43040">
        <w:tc>
          <w:tcPr>
            <w:tcW w:w="2605" w:type="dxa"/>
          </w:tcPr>
          <w:p w14:paraId="513AD6A8"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For the Filler, it means that he:</w:t>
            </w:r>
          </w:p>
        </w:tc>
        <w:tc>
          <w:tcPr>
            <w:tcW w:w="5310" w:type="dxa"/>
          </w:tcPr>
          <w:p w14:paraId="5949D9ED"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Action</w:t>
            </w:r>
          </w:p>
        </w:tc>
        <w:tc>
          <w:tcPr>
            <w:tcW w:w="1710" w:type="dxa"/>
          </w:tcPr>
          <w:p w14:paraId="013A2C59"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ADN</w:t>
            </w:r>
          </w:p>
        </w:tc>
      </w:tr>
      <w:tr w:rsidR="00861B3B" w:rsidRPr="00861B3B" w14:paraId="08D6DBC2" w14:textId="77777777" w:rsidTr="00C43040">
        <w:tc>
          <w:tcPr>
            <w:tcW w:w="2605" w:type="dxa"/>
          </w:tcPr>
          <w:p w14:paraId="0CFD54F0"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Shall complete his section of the checklist referred to in 7.2.4.10 prior to the loading of the cargo tanks</w:t>
            </w:r>
          </w:p>
        </w:tc>
        <w:tc>
          <w:tcPr>
            <w:tcW w:w="5310" w:type="dxa"/>
          </w:tcPr>
          <w:p w14:paraId="6DB033F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Informs the Carrier about the loading agreement, performs his obligations according to 1.4.3.3, 7.2.4.10 and 8.6.3 jointly with the Carrier</w:t>
            </w:r>
          </w:p>
        </w:tc>
        <w:tc>
          <w:tcPr>
            <w:tcW w:w="1710" w:type="dxa"/>
          </w:tcPr>
          <w:p w14:paraId="1BC5A85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1.4.3.3(m) </w:t>
            </w:r>
          </w:p>
        </w:tc>
      </w:tr>
      <w:tr w:rsidR="00861B3B" w:rsidRPr="00861B3B" w14:paraId="1F34FACB" w14:textId="77777777" w:rsidTr="00C43040">
        <w:tc>
          <w:tcPr>
            <w:tcW w:w="2605" w:type="dxa"/>
          </w:tcPr>
          <w:p w14:paraId="35B95B06"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shall only fill cargo tanks with the dangerous goods accepted in such tanks </w:t>
            </w:r>
          </w:p>
          <w:p w14:paraId="22E5BBD7" w14:textId="77777777" w:rsidR="00861B3B" w:rsidRPr="00861B3B" w:rsidRDefault="00861B3B" w:rsidP="00861B3B">
            <w:pPr>
              <w:suppressAutoHyphens w:val="0"/>
              <w:spacing w:line="240" w:lineRule="auto"/>
              <w:ind w:left="2160"/>
              <w:contextualSpacing/>
              <w:rPr>
                <w:rFonts w:cstheme="minorHAnsi"/>
                <w:lang w:val="en-US"/>
              </w:rPr>
            </w:pPr>
          </w:p>
        </w:tc>
        <w:tc>
          <w:tcPr>
            <w:tcW w:w="5310" w:type="dxa"/>
          </w:tcPr>
          <w:p w14:paraId="6263E598"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Performs his obligations according to 1.4.3.3, 7.2.4.10 and 8.6.3 jointly with the Carrier</w:t>
            </w:r>
          </w:p>
        </w:tc>
        <w:tc>
          <w:tcPr>
            <w:tcW w:w="1710" w:type="dxa"/>
          </w:tcPr>
          <w:p w14:paraId="2D6BE4CB"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1.4.3.3(n)</w:t>
            </w:r>
          </w:p>
        </w:tc>
      </w:tr>
      <w:tr w:rsidR="00861B3B" w:rsidRPr="00861B3B" w14:paraId="7E156252" w14:textId="77777777" w:rsidTr="00C43040">
        <w:tc>
          <w:tcPr>
            <w:tcW w:w="2605" w:type="dxa"/>
          </w:tcPr>
          <w:p w14:paraId="4E85F65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 xml:space="preserve">shall ascertain that, when prescribed in 7.2.4.25.5, there is a flame-arrester in the vapor return piping to </w:t>
            </w:r>
            <w:r w:rsidRPr="00861B3B">
              <w:rPr>
                <w:rFonts w:cstheme="minorHAnsi"/>
                <w:lang w:val="en-US"/>
              </w:rPr>
              <w:lastRenderedPageBreak/>
              <w:t xml:space="preserve">protect the vessel against detonations and flame-fronts from the landward side </w:t>
            </w:r>
          </w:p>
          <w:p w14:paraId="04476097" w14:textId="77777777" w:rsidR="00861B3B" w:rsidRPr="00861B3B" w:rsidRDefault="00861B3B" w:rsidP="00861B3B">
            <w:pPr>
              <w:suppressAutoHyphens w:val="0"/>
              <w:spacing w:line="240" w:lineRule="auto"/>
              <w:ind w:left="2160"/>
              <w:contextualSpacing/>
              <w:rPr>
                <w:rFonts w:cstheme="minorHAnsi"/>
                <w:lang w:val="en-US"/>
              </w:rPr>
            </w:pPr>
          </w:p>
        </w:tc>
        <w:tc>
          <w:tcPr>
            <w:tcW w:w="5310" w:type="dxa"/>
          </w:tcPr>
          <w:p w14:paraId="41512831"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lastRenderedPageBreak/>
              <w:t>Performs his obligations according to 1.4.3.3, 7.2.4.10 and 8.6.3 jointly with the Carrier</w:t>
            </w:r>
          </w:p>
        </w:tc>
        <w:tc>
          <w:tcPr>
            <w:tcW w:w="1710" w:type="dxa"/>
          </w:tcPr>
          <w:p w14:paraId="617FC780" w14:textId="77777777" w:rsidR="00861B3B" w:rsidRPr="00861B3B" w:rsidRDefault="00861B3B" w:rsidP="00861B3B">
            <w:pPr>
              <w:suppressAutoHyphens w:val="0"/>
              <w:spacing w:line="240" w:lineRule="auto"/>
              <w:rPr>
                <w:rFonts w:cstheme="minorHAnsi"/>
                <w:lang w:val="en-US"/>
              </w:rPr>
            </w:pPr>
            <w:r w:rsidRPr="00861B3B">
              <w:rPr>
                <w:rFonts w:cstheme="minorHAnsi"/>
                <w:lang w:val="en-US"/>
              </w:rPr>
              <w:t>1.4.3.3(r)</w:t>
            </w:r>
          </w:p>
        </w:tc>
      </w:tr>
    </w:tbl>
    <w:p w14:paraId="1569E86A" w14:textId="77777777" w:rsidR="00861B3B" w:rsidRPr="00861B3B" w:rsidRDefault="00861B3B" w:rsidP="00861B3B">
      <w:pPr>
        <w:suppressAutoHyphens w:val="0"/>
        <w:spacing w:after="160" w:line="259" w:lineRule="auto"/>
        <w:ind w:left="1440"/>
        <w:contextualSpacing/>
        <w:rPr>
          <w:rFonts w:asciiTheme="minorHAnsi" w:eastAsiaTheme="minorHAnsi" w:hAnsiTheme="minorHAnsi" w:cstheme="minorHAnsi"/>
          <w:sz w:val="22"/>
          <w:szCs w:val="22"/>
          <w:lang w:val="en-US"/>
        </w:rPr>
      </w:pPr>
    </w:p>
    <w:p w14:paraId="1B05F178"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4E0D3C98" w14:textId="77777777" w:rsidR="00861B3B" w:rsidRPr="00861B3B" w:rsidRDefault="00861B3B" w:rsidP="00861B3B">
      <w:pPr>
        <w:suppressAutoHyphens w:val="0"/>
        <w:spacing w:after="160" w:line="259" w:lineRule="auto"/>
        <w:rPr>
          <w:rFonts w:asciiTheme="minorHAnsi" w:eastAsiaTheme="minorHAnsi" w:hAnsiTheme="minorHAnsi" w:cstheme="minorBidi"/>
          <w:sz w:val="22"/>
          <w:szCs w:val="22"/>
          <w:lang w:val="en-US"/>
        </w:rPr>
      </w:pPr>
    </w:p>
    <w:p w14:paraId="6CDA6F4E" w14:textId="77777777" w:rsidR="00861B3B" w:rsidRPr="004749A3" w:rsidRDefault="00861B3B" w:rsidP="000E1737">
      <w:pPr>
        <w:pStyle w:val="Bullet1G"/>
        <w:numPr>
          <w:ilvl w:val="0"/>
          <w:numId w:val="0"/>
        </w:numPr>
        <w:rPr>
          <w:lang w:val="en-US"/>
        </w:rPr>
      </w:pPr>
    </w:p>
    <w:sectPr w:rsidR="00861B3B" w:rsidRPr="004749A3" w:rsidSect="0024175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33BF" w14:textId="77777777" w:rsidR="00305BE8" w:rsidRDefault="00305BE8"/>
  </w:endnote>
  <w:endnote w:type="continuationSeparator" w:id="0">
    <w:p w14:paraId="07992153" w14:textId="77777777" w:rsidR="00305BE8" w:rsidRDefault="00305BE8"/>
  </w:endnote>
  <w:endnote w:type="continuationNotice" w:id="1">
    <w:p w14:paraId="50F3FEF6" w14:textId="77777777" w:rsidR="00305BE8" w:rsidRDefault="00305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AA39" w14:textId="77777777" w:rsidR="00585131" w:rsidRDefault="00585131">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3A154B">
      <w:rPr>
        <w:b/>
        <w:noProof/>
        <w:sz w:val="18"/>
      </w:rPr>
      <w:t>2</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C83A" w14:textId="77777777" w:rsidR="00585131" w:rsidRPr="00BD684A" w:rsidRDefault="0058513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3A154B">
      <w:rPr>
        <w:b/>
        <w:noProof/>
        <w:sz w:val="18"/>
      </w:rPr>
      <w:t>15</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6F6D" w14:textId="77777777" w:rsidR="00585131" w:rsidRDefault="00585131" w:rsidP="00BD684A">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3A154B">
      <w:rPr>
        <w:b/>
        <w:noProof/>
        <w:sz w:val="18"/>
      </w:rPr>
      <w:t>1</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0467" w14:textId="77777777" w:rsidR="00305BE8" w:rsidRDefault="00305BE8">
      <w:pPr>
        <w:tabs>
          <w:tab w:val="right" w:pos="2155"/>
        </w:tabs>
        <w:spacing w:after="80"/>
        <w:ind w:left="680"/>
        <w:rPr>
          <w:u w:val="single"/>
        </w:rPr>
      </w:pPr>
      <w:r>
        <w:rPr>
          <w:u w:val="single"/>
        </w:rPr>
        <w:tab/>
      </w:r>
    </w:p>
  </w:footnote>
  <w:footnote w:type="continuationSeparator" w:id="0">
    <w:p w14:paraId="7973DD26" w14:textId="77777777" w:rsidR="00305BE8" w:rsidRDefault="00305BE8">
      <w:pPr>
        <w:tabs>
          <w:tab w:val="left" w:pos="2155"/>
        </w:tabs>
        <w:spacing w:after="80"/>
        <w:ind w:left="680"/>
        <w:rPr>
          <w:u w:val="single"/>
        </w:rPr>
      </w:pPr>
      <w:r>
        <w:rPr>
          <w:u w:val="single"/>
        </w:rPr>
        <w:tab/>
      </w:r>
    </w:p>
  </w:footnote>
  <w:footnote w:type="continuationNotice" w:id="1">
    <w:p w14:paraId="0159A269" w14:textId="77777777" w:rsidR="00305BE8" w:rsidRDefault="00305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A2AC" w14:textId="77777777" w:rsidR="00585131" w:rsidRPr="003B35B1" w:rsidRDefault="00585131" w:rsidP="00446B79">
    <w:pPr>
      <w:pBdr>
        <w:bottom w:val="single" w:sz="4" w:space="1" w:color="auto"/>
      </w:pBdr>
      <w:rPr>
        <w:b/>
      </w:rPr>
    </w:pPr>
    <w:r>
      <w:rPr>
        <w:b/>
      </w:rPr>
      <w:t>ECE/TRANS/WP.15/AC.2/2018/39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8651" w14:textId="77777777" w:rsidR="00585131" w:rsidRPr="00BD684A" w:rsidRDefault="00585131" w:rsidP="00BD684A">
    <w:pPr>
      <w:pBdr>
        <w:bottom w:val="single" w:sz="4" w:space="1" w:color="auto"/>
      </w:pBdr>
      <w:jc w:val="right"/>
      <w:rPr>
        <w:b/>
      </w:rPr>
    </w:pPr>
    <w:r>
      <w:rPr>
        <w:b/>
      </w:rPr>
      <w:t>ECE/TRANS/WP.15/AC.2/2018/39</w:t>
    </w:r>
    <w:r w:rsidR="003618B3">
      <w:rPr>
        <w:noProof/>
        <w:lang w:val="de-DE" w:eastAsia="de-DE"/>
      </w:rPr>
      <mc:AlternateContent>
        <mc:Choice Requires="wps">
          <w:drawing>
            <wp:anchor distT="0" distB="0" distL="114300" distR="114300" simplePos="0" relativeHeight="251661312" behindDoc="0" locked="0" layoutInCell="1" allowOverlap="1" wp14:anchorId="36C61222" wp14:editId="67B268A2">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4F73A" w14:textId="77777777" w:rsidR="00585131" w:rsidRPr="00241754" w:rsidRDefault="00585131" w:rsidP="00BD684A">
                          <w:pPr>
                            <w:pBdr>
                              <w:bottom w:val="single" w:sz="4" w:space="1" w:color="auto"/>
                            </w:pBdr>
                            <w:jc w:val="right"/>
                            <w:rPr>
                              <w:b/>
                            </w:rPr>
                          </w:pPr>
                          <w:r>
                            <w:rPr>
                              <w:b/>
                            </w:rPr>
                            <w:t>ECE/TRANS/WP.15/AC.2/2018/39</w:t>
                          </w:r>
                        </w:p>
                        <w:p w14:paraId="366D46E2" w14:textId="77777777" w:rsidR="00585131" w:rsidRDefault="005851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1222" id="_x0000_t202" coordsize="21600,21600" o:spt="202" path="m,l,21600r21600,l21600,xe">
              <v:stroke joinstyle="miter"/>
              <v:path gradientshapeok="t" o:connecttype="rect"/>
            </v:shapetype>
            <v:shape id="Text Box 3" o:spid="_x0000_s1026" type="#_x0000_t202" style="position:absolute;left:0;text-align:left;margin-left:77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14:paraId="4264F73A" w14:textId="77777777" w:rsidR="00585131" w:rsidRPr="00241754" w:rsidRDefault="00585131" w:rsidP="00BD684A">
                    <w:pPr>
                      <w:pBdr>
                        <w:bottom w:val="single" w:sz="4" w:space="1" w:color="auto"/>
                      </w:pBdr>
                      <w:jc w:val="right"/>
                      <w:rPr>
                        <w:b/>
                      </w:rPr>
                    </w:pPr>
                    <w:r>
                      <w:rPr>
                        <w:b/>
                      </w:rPr>
                      <w:t>ECE/TRANS/WP.15/AC.2/2018/39</w:t>
                    </w:r>
                  </w:p>
                  <w:p w14:paraId="366D46E2" w14:textId="77777777" w:rsidR="00585131" w:rsidRDefault="0058513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06A529D2"/>
    <w:multiLevelType w:val="hybridMultilevel"/>
    <w:tmpl w:val="2604C568"/>
    <w:lvl w:ilvl="0" w:tplc="B8B0C898">
      <w:start w:val="16"/>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F7314"/>
    <w:multiLevelType w:val="hybridMultilevel"/>
    <w:tmpl w:val="79ECC9EA"/>
    <w:lvl w:ilvl="0" w:tplc="8EF0FC3C">
      <w:start w:val="1"/>
      <w:numFmt w:val="upperRoman"/>
      <w:lvlText w:val="%1."/>
      <w:lvlJc w:val="right"/>
      <w:pPr>
        <w:ind w:left="720" w:hanging="360"/>
      </w:pPr>
      <w:rPr>
        <w:sz w:val="28"/>
        <w:szCs w:val="28"/>
      </w:rPr>
    </w:lvl>
    <w:lvl w:ilvl="1" w:tplc="BBEE33C8">
      <w:start w:val="1"/>
      <w:numFmt w:val="decimal"/>
      <w:lvlText w:val="%2."/>
      <w:lvlJc w:val="left"/>
      <w:pPr>
        <w:ind w:left="1440" w:hanging="360"/>
      </w:pPr>
      <w:rPr>
        <w:rFonts w:asciiTheme="minorHAnsi" w:eastAsiaTheme="minorHAnsi" w:hAnsiTheme="minorHAnsi" w:cstheme="minorBidi"/>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7"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FEF0EA6"/>
    <w:multiLevelType w:val="hybridMultilevel"/>
    <w:tmpl w:val="A96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114DC"/>
    <w:multiLevelType w:val="hybridMultilevel"/>
    <w:tmpl w:val="EC36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C116E9"/>
    <w:multiLevelType w:val="hybridMultilevel"/>
    <w:tmpl w:val="8D4058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77BCA"/>
    <w:multiLevelType w:val="hybridMultilevel"/>
    <w:tmpl w:val="D99CEA0A"/>
    <w:lvl w:ilvl="0" w:tplc="3514C3A0">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E23BD"/>
    <w:multiLevelType w:val="hybridMultilevel"/>
    <w:tmpl w:val="A7609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37191C"/>
    <w:multiLevelType w:val="hybridMultilevel"/>
    <w:tmpl w:val="254A0D26"/>
    <w:lvl w:ilvl="0" w:tplc="48F0AC80">
      <w:numFmt w:val="bullet"/>
      <w:lvlText w:val="-"/>
      <w:lvlJc w:val="left"/>
      <w:pPr>
        <w:ind w:left="468" w:hanging="360"/>
      </w:pPr>
      <w:rPr>
        <w:rFonts w:ascii="Arial" w:eastAsia="Calibri" w:hAnsi="Arial" w:cs="Aria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start w:val="1"/>
      <w:numFmt w:val="bullet"/>
      <w:lvlText w:val=""/>
      <w:lvlJc w:val="left"/>
      <w:pPr>
        <w:ind w:left="2628" w:hanging="360"/>
      </w:pPr>
      <w:rPr>
        <w:rFonts w:ascii="Symbol" w:hAnsi="Symbol" w:hint="default"/>
      </w:rPr>
    </w:lvl>
    <w:lvl w:ilvl="4" w:tplc="08090003">
      <w:start w:val="1"/>
      <w:numFmt w:val="bullet"/>
      <w:lvlText w:val="o"/>
      <w:lvlJc w:val="left"/>
      <w:pPr>
        <w:ind w:left="3348" w:hanging="360"/>
      </w:pPr>
      <w:rPr>
        <w:rFonts w:ascii="Courier New" w:hAnsi="Courier New" w:cs="Courier New" w:hint="default"/>
      </w:rPr>
    </w:lvl>
    <w:lvl w:ilvl="5" w:tplc="08090005">
      <w:start w:val="1"/>
      <w:numFmt w:val="bullet"/>
      <w:lvlText w:val=""/>
      <w:lvlJc w:val="left"/>
      <w:pPr>
        <w:ind w:left="4068" w:hanging="360"/>
      </w:pPr>
      <w:rPr>
        <w:rFonts w:ascii="Wingdings" w:hAnsi="Wingdings" w:hint="default"/>
      </w:rPr>
    </w:lvl>
    <w:lvl w:ilvl="6" w:tplc="08090001">
      <w:start w:val="1"/>
      <w:numFmt w:val="bullet"/>
      <w:lvlText w:val=""/>
      <w:lvlJc w:val="left"/>
      <w:pPr>
        <w:ind w:left="4788" w:hanging="360"/>
      </w:pPr>
      <w:rPr>
        <w:rFonts w:ascii="Symbol" w:hAnsi="Symbol" w:hint="default"/>
      </w:rPr>
    </w:lvl>
    <w:lvl w:ilvl="7" w:tplc="08090003">
      <w:start w:val="1"/>
      <w:numFmt w:val="bullet"/>
      <w:lvlText w:val="o"/>
      <w:lvlJc w:val="left"/>
      <w:pPr>
        <w:ind w:left="5508" w:hanging="360"/>
      </w:pPr>
      <w:rPr>
        <w:rFonts w:ascii="Courier New" w:hAnsi="Courier New" w:cs="Courier New" w:hint="default"/>
      </w:rPr>
    </w:lvl>
    <w:lvl w:ilvl="8" w:tplc="08090005">
      <w:start w:val="1"/>
      <w:numFmt w:val="bullet"/>
      <w:lvlText w:val=""/>
      <w:lvlJc w:val="left"/>
      <w:pPr>
        <w:ind w:left="6228"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A0F81"/>
    <w:multiLevelType w:val="hybridMultilevel"/>
    <w:tmpl w:val="50100DBA"/>
    <w:lvl w:ilvl="0" w:tplc="1E143FA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5" w15:restartNumberingAfterBreak="0">
    <w:nsid w:val="73F14528"/>
    <w:multiLevelType w:val="hybridMultilevel"/>
    <w:tmpl w:val="7F1A9ED6"/>
    <w:lvl w:ilvl="0" w:tplc="F8B0371E">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5"/>
  </w:num>
  <w:num w:numId="15">
    <w:abstractNumId w:val="25"/>
  </w:num>
  <w:num w:numId="16">
    <w:abstractNumId w:val="28"/>
  </w:num>
  <w:num w:numId="17">
    <w:abstractNumId w:val="14"/>
  </w:num>
  <w:num w:numId="18">
    <w:abstractNumId w:val="32"/>
  </w:num>
  <w:num w:numId="19">
    <w:abstractNumId w:val="26"/>
  </w:num>
  <w:num w:numId="20">
    <w:abstractNumId w:val="17"/>
  </w:num>
  <w:num w:numId="21">
    <w:abstractNumId w:val="36"/>
  </w:num>
  <w:num w:numId="22">
    <w:abstractNumId w:val="34"/>
  </w:num>
  <w:num w:numId="23">
    <w:abstractNumId w:val="16"/>
  </w:num>
  <w:num w:numId="24">
    <w:abstractNumId w:val="11"/>
  </w:num>
  <w:num w:numId="25">
    <w:abstractNumId w:val="19"/>
  </w:num>
  <w:num w:numId="26">
    <w:abstractNumId w:val="20"/>
  </w:num>
  <w:num w:numId="27">
    <w:abstractNumId w:val="30"/>
  </w:num>
  <w:num w:numId="28">
    <w:abstractNumId w:val="13"/>
  </w:num>
  <w:num w:numId="29">
    <w:abstractNumId w:val="21"/>
  </w:num>
  <w:num w:numId="30">
    <w:abstractNumId w:val="12"/>
  </w:num>
  <w:num w:numId="31">
    <w:abstractNumId w:val="29"/>
  </w:num>
  <w:num w:numId="32">
    <w:abstractNumId w:val="31"/>
  </w:num>
  <w:num w:numId="33">
    <w:abstractNumId w:val="23"/>
  </w:num>
  <w:num w:numId="34">
    <w:abstractNumId w:val="27"/>
  </w:num>
  <w:num w:numId="35">
    <w:abstractNumId w:val="33"/>
  </w:num>
  <w:num w:numId="36">
    <w:abstractNumId w:val="24"/>
  </w:num>
  <w:num w:numId="37">
    <w:abstractNumId w:val="35"/>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es-ES" w:vendorID="64" w:dllVersion="6" w:nlCheck="1" w:checkStyle="0"/>
  <w:activeWritingStyle w:appName="MSWord" w:lang="nl-NL" w:vendorID="64" w:dllVersion="0" w:nlCheck="1" w:checkStyle="0"/>
  <w:activeWritingStyle w:appName="MSWord" w:lang="fr-FR"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BA"/>
    <w:rsid w:val="00004B7A"/>
    <w:rsid w:val="00022219"/>
    <w:rsid w:val="000240B8"/>
    <w:rsid w:val="00024EAF"/>
    <w:rsid w:val="00026199"/>
    <w:rsid w:val="00032BCA"/>
    <w:rsid w:val="000401CE"/>
    <w:rsid w:val="000440D5"/>
    <w:rsid w:val="00045443"/>
    <w:rsid w:val="00045D1E"/>
    <w:rsid w:val="00045D37"/>
    <w:rsid w:val="00045FDE"/>
    <w:rsid w:val="0005091C"/>
    <w:rsid w:val="000517E2"/>
    <w:rsid w:val="000532C7"/>
    <w:rsid w:val="00057106"/>
    <w:rsid w:val="000634A5"/>
    <w:rsid w:val="0006413B"/>
    <w:rsid w:val="00073D8C"/>
    <w:rsid w:val="0007416F"/>
    <w:rsid w:val="0007517C"/>
    <w:rsid w:val="000755B2"/>
    <w:rsid w:val="000841A3"/>
    <w:rsid w:val="00086842"/>
    <w:rsid w:val="00093541"/>
    <w:rsid w:val="00094E2E"/>
    <w:rsid w:val="0009700B"/>
    <w:rsid w:val="000A794A"/>
    <w:rsid w:val="000B3244"/>
    <w:rsid w:val="000B337A"/>
    <w:rsid w:val="000B6D84"/>
    <w:rsid w:val="000C09D0"/>
    <w:rsid w:val="000C242E"/>
    <w:rsid w:val="000C2965"/>
    <w:rsid w:val="000C54D8"/>
    <w:rsid w:val="000D3066"/>
    <w:rsid w:val="000E0EAF"/>
    <w:rsid w:val="000E1737"/>
    <w:rsid w:val="000E2A79"/>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7350"/>
    <w:rsid w:val="00167467"/>
    <w:rsid w:val="0017140D"/>
    <w:rsid w:val="0018416D"/>
    <w:rsid w:val="0018765D"/>
    <w:rsid w:val="001A136F"/>
    <w:rsid w:val="001A4F70"/>
    <w:rsid w:val="001A5085"/>
    <w:rsid w:val="001A71F1"/>
    <w:rsid w:val="001A752B"/>
    <w:rsid w:val="001B080A"/>
    <w:rsid w:val="001B10A0"/>
    <w:rsid w:val="001B1E4B"/>
    <w:rsid w:val="001C3036"/>
    <w:rsid w:val="001E1210"/>
    <w:rsid w:val="001E2770"/>
    <w:rsid w:val="001F2C99"/>
    <w:rsid w:val="001F6A92"/>
    <w:rsid w:val="00202FBB"/>
    <w:rsid w:val="00210044"/>
    <w:rsid w:val="00213C99"/>
    <w:rsid w:val="00214B71"/>
    <w:rsid w:val="00217B8E"/>
    <w:rsid w:val="0022283B"/>
    <w:rsid w:val="00224AF3"/>
    <w:rsid w:val="00230B2B"/>
    <w:rsid w:val="00241754"/>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3B98"/>
    <w:rsid w:val="002D7FFD"/>
    <w:rsid w:val="002E1BB5"/>
    <w:rsid w:val="002E27E3"/>
    <w:rsid w:val="002E68A0"/>
    <w:rsid w:val="002E6C4A"/>
    <w:rsid w:val="002F7D50"/>
    <w:rsid w:val="00300684"/>
    <w:rsid w:val="00300A81"/>
    <w:rsid w:val="00302A0A"/>
    <w:rsid w:val="00305BE8"/>
    <w:rsid w:val="003134DF"/>
    <w:rsid w:val="00317A61"/>
    <w:rsid w:val="00337276"/>
    <w:rsid w:val="00340F33"/>
    <w:rsid w:val="0034439A"/>
    <w:rsid w:val="00344697"/>
    <w:rsid w:val="0034563C"/>
    <w:rsid w:val="00347589"/>
    <w:rsid w:val="003618B3"/>
    <w:rsid w:val="00364307"/>
    <w:rsid w:val="0036513E"/>
    <w:rsid w:val="00371DEB"/>
    <w:rsid w:val="00376091"/>
    <w:rsid w:val="003761B8"/>
    <w:rsid w:val="003762E9"/>
    <w:rsid w:val="00380857"/>
    <w:rsid w:val="00381A41"/>
    <w:rsid w:val="00386B4E"/>
    <w:rsid w:val="00387CCD"/>
    <w:rsid w:val="00391587"/>
    <w:rsid w:val="00391B9D"/>
    <w:rsid w:val="00392BDE"/>
    <w:rsid w:val="003935A5"/>
    <w:rsid w:val="003A154B"/>
    <w:rsid w:val="003A3FBA"/>
    <w:rsid w:val="003A6F80"/>
    <w:rsid w:val="003B0BC1"/>
    <w:rsid w:val="003B35B1"/>
    <w:rsid w:val="003B59FC"/>
    <w:rsid w:val="003C1BB0"/>
    <w:rsid w:val="003C22E6"/>
    <w:rsid w:val="003C2939"/>
    <w:rsid w:val="003C46A0"/>
    <w:rsid w:val="003D10ED"/>
    <w:rsid w:val="003E4DED"/>
    <w:rsid w:val="003E4E69"/>
    <w:rsid w:val="003F06D7"/>
    <w:rsid w:val="003F270A"/>
    <w:rsid w:val="003F3BEE"/>
    <w:rsid w:val="00405683"/>
    <w:rsid w:val="004202BD"/>
    <w:rsid w:val="0042401A"/>
    <w:rsid w:val="00424E32"/>
    <w:rsid w:val="00427C8F"/>
    <w:rsid w:val="004305B1"/>
    <w:rsid w:val="004460F9"/>
    <w:rsid w:val="00446B79"/>
    <w:rsid w:val="00446DF6"/>
    <w:rsid w:val="004477CE"/>
    <w:rsid w:val="004531C4"/>
    <w:rsid w:val="0045368F"/>
    <w:rsid w:val="0046155F"/>
    <w:rsid w:val="00467076"/>
    <w:rsid w:val="00471D7A"/>
    <w:rsid w:val="00472859"/>
    <w:rsid w:val="004749A3"/>
    <w:rsid w:val="004808A8"/>
    <w:rsid w:val="004819CF"/>
    <w:rsid w:val="00483375"/>
    <w:rsid w:val="004A0104"/>
    <w:rsid w:val="004A6022"/>
    <w:rsid w:val="004B62BF"/>
    <w:rsid w:val="004D1C6E"/>
    <w:rsid w:val="004D4787"/>
    <w:rsid w:val="004E4C77"/>
    <w:rsid w:val="004E4CC3"/>
    <w:rsid w:val="005055CC"/>
    <w:rsid w:val="00507B1C"/>
    <w:rsid w:val="0051398E"/>
    <w:rsid w:val="0052066C"/>
    <w:rsid w:val="005235DD"/>
    <w:rsid w:val="00526A9D"/>
    <w:rsid w:val="00526CCA"/>
    <w:rsid w:val="00526FC6"/>
    <w:rsid w:val="00532AD7"/>
    <w:rsid w:val="005343C9"/>
    <w:rsid w:val="00537B62"/>
    <w:rsid w:val="00541A11"/>
    <w:rsid w:val="005428F0"/>
    <w:rsid w:val="0054379F"/>
    <w:rsid w:val="00543E0A"/>
    <w:rsid w:val="005450F3"/>
    <w:rsid w:val="005553BB"/>
    <w:rsid w:val="00561D65"/>
    <w:rsid w:val="005658CD"/>
    <w:rsid w:val="00572236"/>
    <w:rsid w:val="00573F2E"/>
    <w:rsid w:val="00577F31"/>
    <w:rsid w:val="005827CD"/>
    <w:rsid w:val="005833CB"/>
    <w:rsid w:val="0058438D"/>
    <w:rsid w:val="00585131"/>
    <w:rsid w:val="00594F5A"/>
    <w:rsid w:val="005A3D13"/>
    <w:rsid w:val="005A7ECB"/>
    <w:rsid w:val="005B16DC"/>
    <w:rsid w:val="005B3EFE"/>
    <w:rsid w:val="005B54FA"/>
    <w:rsid w:val="005C0819"/>
    <w:rsid w:val="005C467F"/>
    <w:rsid w:val="005C611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62A52"/>
    <w:rsid w:val="0067041E"/>
    <w:rsid w:val="0067429C"/>
    <w:rsid w:val="00674391"/>
    <w:rsid w:val="00680075"/>
    <w:rsid w:val="00680391"/>
    <w:rsid w:val="00684A12"/>
    <w:rsid w:val="006877DE"/>
    <w:rsid w:val="00694E75"/>
    <w:rsid w:val="00697CA2"/>
    <w:rsid w:val="006A5BAF"/>
    <w:rsid w:val="006B0366"/>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A8F"/>
    <w:rsid w:val="00722D7D"/>
    <w:rsid w:val="00734F20"/>
    <w:rsid w:val="007455D9"/>
    <w:rsid w:val="00747CA8"/>
    <w:rsid w:val="007503D0"/>
    <w:rsid w:val="007510AD"/>
    <w:rsid w:val="00753671"/>
    <w:rsid w:val="00753755"/>
    <w:rsid w:val="00753ABE"/>
    <w:rsid w:val="007557E5"/>
    <w:rsid w:val="0076518E"/>
    <w:rsid w:val="007701AE"/>
    <w:rsid w:val="007721BD"/>
    <w:rsid w:val="00772464"/>
    <w:rsid w:val="00775959"/>
    <w:rsid w:val="00776067"/>
    <w:rsid w:val="00780A50"/>
    <w:rsid w:val="00780C0C"/>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D1368"/>
    <w:rsid w:val="007F0D64"/>
    <w:rsid w:val="0080168B"/>
    <w:rsid w:val="008059A3"/>
    <w:rsid w:val="00806A75"/>
    <w:rsid w:val="008078DC"/>
    <w:rsid w:val="0081106B"/>
    <w:rsid w:val="00813543"/>
    <w:rsid w:val="00817A1C"/>
    <w:rsid w:val="00820A23"/>
    <w:rsid w:val="00830C13"/>
    <w:rsid w:val="00831E12"/>
    <w:rsid w:val="00835F82"/>
    <w:rsid w:val="00845127"/>
    <w:rsid w:val="0085389B"/>
    <w:rsid w:val="00856A9B"/>
    <w:rsid w:val="008573BC"/>
    <w:rsid w:val="008610F7"/>
    <w:rsid w:val="00861B3B"/>
    <w:rsid w:val="008644F5"/>
    <w:rsid w:val="00867AAE"/>
    <w:rsid w:val="00874E4D"/>
    <w:rsid w:val="008757A0"/>
    <w:rsid w:val="00876716"/>
    <w:rsid w:val="00877E7D"/>
    <w:rsid w:val="00877F95"/>
    <w:rsid w:val="00882429"/>
    <w:rsid w:val="00890A0F"/>
    <w:rsid w:val="00890A31"/>
    <w:rsid w:val="00891507"/>
    <w:rsid w:val="00891D8D"/>
    <w:rsid w:val="008A3703"/>
    <w:rsid w:val="008B670D"/>
    <w:rsid w:val="008B7809"/>
    <w:rsid w:val="008C446A"/>
    <w:rsid w:val="008C4C09"/>
    <w:rsid w:val="008D5D3B"/>
    <w:rsid w:val="008D693C"/>
    <w:rsid w:val="008D7A1F"/>
    <w:rsid w:val="008E03F7"/>
    <w:rsid w:val="008E26F5"/>
    <w:rsid w:val="008E4272"/>
    <w:rsid w:val="008E4A57"/>
    <w:rsid w:val="008E6B15"/>
    <w:rsid w:val="008F7849"/>
    <w:rsid w:val="00904294"/>
    <w:rsid w:val="00906FB6"/>
    <w:rsid w:val="009113CA"/>
    <w:rsid w:val="00916DCF"/>
    <w:rsid w:val="0092501C"/>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72C69"/>
    <w:rsid w:val="009823A5"/>
    <w:rsid w:val="0098464F"/>
    <w:rsid w:val="0098672F"/>
    <w:rsid w:val="009960EE"/>
    <w:rsid w:val="009A030B"/>
    <w:rsid w:val="009B04B9"/>
    <w:rsid w:val="009B7958"/>
    <w:rsid w:val="009C00FB"/>
    <w:rsid w:val="009C5DEE"/>
    <w:rsid w:val="009C73FE"/>
    <w:rsid w:val="009D1795"/>
    <w:rsid w:val="009D18D8"/>
    <w:rsid w:val="009D3F9F"/>
    <w:rsid w:val="009D60B7"/>
    <w:rsid w:val="009E4E58"/>
    <w:rsid w:val="009E7B20"/>
    <w:rsid w:val="009F7F33"/>
    <w:rsid w:val="00A035F0"/>
    <w:rsid w:val="00A061DF"/>
    <w:rsid w:val="00A11DB9"/>
    <w:rsid w:val="00A1385B"/>
    <w:rsid w:val="00A20EB2"/>
    <w:rsid w:val="00A25618"/>
    <w:rsid w:val="00A429BD"/>
    <w:rsid w:val="00A42D5D"/>
    <w:rsid w:val="00A44660"/>
    <w:rsid w:val="00A45656"/>
    <w:rsid w:val="00A54C98"/>
    <w:rsid w:val="00A562D3"/>
    <w:rsid w:val="00A56814"/>
    <w:rsid w:val="00A677E6"/>
    <w:rsid w:val="00A70354"/>
    <w:rsid w:val="00A70A49"/>
    <w:rsid w:val="00A84217"/>
    <w:rsid w:val="00A867D9"/>
    <w:rsid w:val="00A912CA"/>
    <w:rsid w:val="00AA6A46"/>
    <w:rsid w:val="00AB1878"/>
    <w:rsid w:val="00AB5FE4"/>
    <w:rsid w:val="00AD5F18"/>
    <w:rsid w:val="00AE1969"/>
    <w:rsid w:val="00AE1C51"/>
    <w:rsid w:val="00AE7FB5"/>
    <w:rsid w:val="00AF095F"/>
    <w:rsid w:val="00AF13B2"/>
    <w:rsid w:val="00AF7EB3"/>
    <w:rsid w:val="00B01B63"/>
    <w:rsid w:val="00B0360E"/>
    <w:rsid w:val="00B051E1"/>
    <w:rsid w:val="00B07149"/>
    <w:rsid w:val="00B10E78"/>
    <w:rsid w:val="00B1171A"/>
    <w:rsid w:val="00B12181"/>
    <w:rsid w:val="00B12D35"/>
    <w:rsid w:val="00B17DF9"/>
    <w:rsid w:val="00B44B0E"/>
    <w:rsid w:val="00B50FCB"/>
    <w:rsid w:val="00B51EF8"/>
    <w:rsid w:val="00B54049"/>
    <w:rsid w:val="00B6345C"/>
    <w:rsid w:val="00B64AFA"/>
    <w:rsid w:val="00B65E66"/>
    <w:rsid w:val="00B75796"/>
    <w:rsid w:val="00B81805"/>
    <w:rsid w:val="00B82511"/>
    <w:rsid w:val="00B92A07"/>
    <w:rsid w:val="00B92EB7"/>
    <w:rsid w:val="00BA02A3"/>
    <w:rsid w:val="00BA1B8B"/>
    <w:rsid w:val="00BA212B"/>
    <w:rsid w:val="00BB0811"/>
    <w:rsid w:val="00BB347B"/>
    <w:rsid w:val="00BB3862"/>
    <w:rsid w:val="00BB41B0"/>
    <w:rsid w:val="00BB7A08"/>
    <w:rsid w:val="00BC1694"/>
    <w:rsid w:val="00BD684A"/>
    <w:rsid w:val="00BE4121"/>
    <w:rsid w:val="00C00921"/>
    <w:rsid w:val="00C030EB"/>
    <w:rsid w:val="00C05474"/>
    <w:rsid w:val="00C05F2B"/>
    <w:rsid w:val="00C12963"/>
    <w:rsid w:val="00C16712"/>
    <w:rsid w:val="00C23191"/>
    <w:rsid w:val="00C272F4"/>
    <w:rsid w:val="00C339A0"/>
    <w:rsid w:val="00C33A25"/>
    <w:rsid w:val="00C36C0A"/>
    <w:rsid w:val="00C4347B"/>
    <w:rsid w:val="00C460FB"/>
    <w:rsid w:val="00C46989"/>
    <w:rsid w:val="00C51684"/>
    <w:rsid w:val="00C53189"/>
    <w:rsid w:val="00C5368B"/>
    <w:rsid w:val="00C57581"/>
    <w:rsid w:val="00C6221E"/>
    <w:rsid w:val="00C70773"/>
    <w:rsid w:val="00C711F2"/>
    <w:rsid w:val="00C7613D"/>
    <w:rsid w:val="00C80CCE"/>
    <w:rsid w:val="00C8603F"/>
    <w:rsid w:val="00C86D7D"/>
    <w:rsid w:val="00C93AF7"/>
    <w:rsid w:val="00C944F0"/>
    <w:rsid w:val="00CA0695"/>
    <w:rsid w:val="00CA1683"/>
    <w:rsid w:val="00CA4C81"/>
    <w:rsid w:val="00CC2982"/>
    <w:rsid w:val="00CE18FB"/>
    <w:rsid w:val="00CE2FC5"/>
    <w:rsid w:val="00CF0031"/>
    <w:rsid w:val="00CF1270"/>
    <w:rsid w:val="00CF17EB"/>
    <w:rsid w:val="00CF663B"/>
    <w:rsid w:val="00CF6BF6"/>
    <w:rsid w:val="00D0177A"/>
    <w:rsid w:val="00D06DFB"/>
    <w:rsid w:val="00D11205"/>
    <w:rsid w:val="00D11D6E"/>
    <w:rsid w:val="00D15B8B"/>
    <w:rsid w:val="00D20433"/>
    <w:rsid w:val="00D2091B"/>
    <w:rsid w:val="00D21631"/>
    <w:rsid w:val="00D21A03"/>
    <w:rsid w:val="00D27E21"/>
    <w:rsid w:val="00D41080"/>
    <w:rsid w:val="00D42E3A"/>
    <w:rsid w:val="00D53053"/>
    <w:rsid w:val="00D53780"/>
    <w:rsid w:val="00D53C6B"/>
    <w:rsid w:val="00D56FD2"/>
    <w:rsid w:val="00D60487"/>
    <w:rsid w:val="00D61720"/>
    <w:rsid w:val="00D62200"/>
    <w:rsid w:val="00D66C42"/>
    <w:rsid w:val="00D71354"/>
    <w:rsid w:val="00D84585"/>
    <w:rsid w:val="00D84DA7"/>
    <w:rsid w:val="00D854B5"/>
    <w:rsid w:val="00D85503"/>
    <w:rsid w:val="00D8691E"/>
    <w:rsid w:val="00D86CD5"/>
    <w:rsid w:val="00D90269"/>
    <w:rsid w:val="00D9326B"/>
    <w:rsid w:val="00D956D9"/>
    <w:rsid w:val="00DA53FF"/>
    <w:rsid w:val="00DB6A19"/>
    <w:rsid w:val="00DC1FB4"/>
    <w:rsid w:val="00DE0024"/>
    <w:rsid w:val="00DE024B"/>
    <w:rsid w:val="00DE4089"/>
    <w:rsid w:val="00DF2DC6"/>
    <w:rsid w:val="00DF410F"/>
    <w:rsid w:val="00E02787"/>
    <w:rsid w:val="00E07BD6"/>
    <w:rsid w:val="00E11551"/>
    <w:rsid w:val="00E16C6E"/>
    <w:rsid w:val="00E2148D"/>
    <w:rsid w:val="00E230BE"/>
    <w:rsid w:val="00E30A67"/>
    <w:rsid w:val="00E31D5D"/>
    <w:rsid w:val="00E351E4"/>
    <w:rsid w:val="00E411FA"/>
    <w:rsid w:val="00E4153B"/>
    <w:rsid w:val="00E41801"/>
    <w:rsid w:val="00E434E2"/>
    <w:rsid w:val="00E43F09"/>
    <w:rsid w:val="00E463FB"/>
    <w:rsid w:val="00E53672"/>
    <w:rsid w:val="00E54DA3"/>
    <w:rsid w:val="00E565A4"/>
    <w:rsid w:val="00E6137E"/>
    <w:rsid w:val="00E64414"/>
    <w:rsid w:val="00E7429E"/>
    <w:rsid w:val="00E742AA"/>
    <w:rsid w:val="00E76B89"/>
    <w:rsid w:val="00E80222"/>
    <w:rsid w:val="00E866D6"/>
    <w:rsid w:val="00E97B2D"/>
    <w:rsid w:val="00EA28B7"/>
    <w:rsid w:val="00EA35E6"/>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0D29"/>
    <w:rsid w:val="00F32CCB"/>
    <w:rsid w:val="00F36D0F"/>
    <w:rsid w:val="00F37B3C"/>
    <w:rsid w:val="00F4048C"/>
    <w:rsid w:val="00F51635"/>
    <w:rsid w:val="00F5187E"/>
    <w:rsid w:val="00F609B7"/>
    <w:rsid w:val="00F618F1"/>
    <w:rsid w:val="00F711AA"/>
    <w:rsid w:val="00F714AB"/>
    <w:rsid w:val="00F729F8"/>
    <w:rsid w:val="00F744A4"/>
    <w:rsid w:val="00F75D32"/>
    <w:rsid w:val="00F84B81"/>
    <w:rsid w:val="00F9207D"/>
    <w:rsid w:val="00FA58F8"/>
    <w:rsid w:val="00FB0389"/>
    <w:rsid w:val="00FB06D8"/>
    <w:rsid w:val="00FC321C"/>
    <w:rsid w:val="00FC6D5D"/>
    <w:rsid w:val="00FD5B29"/>
    <w:rsid w:val="00FF16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610B7"/>
  <w15:docId w15:val="{8103859B-237D-4E2C-A0C1-488B62A9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35F0"/>
    <w:rPr>
      <w:color w:val="808080"/>
      <w:shd w:val="clear" w:color="auto" w:fill="E6E6E6"/>
    </w:rPr>
  </w:style>
  <w:style w:type="paragraph" w:styleId="ListParagraph">
    <w:name w:val="List Paragraph"/>
    <w:basedOn w:val="Normal"/>
    <w:uiPriority w:val="34"/>
    <w:qFormat/>
    <w:rsid w:val="00E97B2D"/>
    <w:pPr>
      <w:suppressAutoHyphens w:val="0"/>
      <w:spacing w:after="200" w:line="276" w:lineRule="auto"/>
      <w:ind w:left="720"/>
      <w:contextualSpacing/>
    </w:pPr>
    <w:rPr>
      <w:rFonts w:ascii="Calibri" w:eastAsia="Calibri" w:hAnsi="Calibri" w:cs="Arial"/>
      <w:sz w:val="22"/>
      <w:szCs w:val="22"/>
      <w:lang w:val="en-US"/>
    </w:rPr>
  </w:style>
  <w:style w:type="table" w:customStyle="1" w:styleId="TableGrid2">
    <w:name w:val="Table Grid2"/>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61B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rcm-europecentralasia.org/fileadmin/DAM/trans/doc/2018/dgwp15ac2/ECE-TRANS-WP15-AC2-2018-39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6DE3-5FB0-4582-BF64-0B3B48A5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3839</Words>
  <Characters>21883</Characters>
  <Application>Microsoft Office Word</Application>
  <DocSecurity>0</DocSecurity>
  <Lines>182</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creator>Pierre Dufour</dc:creator>
  <cp:lastModifiedBy>Lucille Caillot</cp:lastModifiedBy>
  <cp:revision>9</cp:revision>
  <cp:lastPrinted>2017-11-01T11:14:00Z</cp:lastPrinted>
  <dcterms:created xsi:type="dcterms:W3CDTF">2019-12-20T10:18:00Z</dcterms:created>
  <dcterms:modified xsi:type="dcterms:W3CDTF">2020-01-10T10:04:00Z</dcterms:modified>
</cp:coreProperties>
</file>