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762298" w14:paraId="27C5F076" w14:textId="77777777" w:rsidTr="00B20551">
        <w:trPr>
          <w:cantSplit/>
          <w:trHeight w:hRule="exact" w:val="851"/>
        </w:trPr>
        <w:tc>
          <w:tcPr>
            <w:tcW w:w="1276" w:type="dxa"/>
            <w:tcBorders>
              <w:bottom w:val="single" w:sz="4" w:space="0" w:color="auto"/>
            </w:tcBorders>
            <w:vAlign w:val="bottom"/>
          </w:tcPr>
          <w:p w14:paraId="1BDC76A4" w14:textId="77777777" w:rsidR="009E6CB7" w:rsidRPr="00294C44" w:rsidRDefault="009E6CB7" w:rsidP="00B20551">
            <w:pPr>
              <w:spacing w:after="80"/>
            </w:pPr>
          </w:p>
        </w:tc>
        <w:tc>
          <w:tcPr>
            <w:tcW w:w="2268" w:type="dxa"/>
            <w:tcBorders>
              <w:bottom w:val="single" w:sz="4" w:space="0" w:color="auto"/>
            </w:tcBorders>
            <w:vAlign w:val="bottom"/>
          </w:tcPr>
          <w:p w14:paraId="73C02820" w14:textId="77777777" w:rsidR="009E6CB7" w:rsidRPr="009A332E" w:rsidRDefault="009E6CB7" w:rsidP="00B20551">
            <w:pPr>
              <w:spacing w:after="80" w:line="300" w:lineRule="exact"/>
              <w:rPr>
                <w:b/>
                <w:sz w:val="24"/>
                <w:szCs w:val="24"/>
              </w:rPr>
            </w:pPr>
            <w:r w:rsidRPr="009A332E">
              <w:rPr>
                <w:sz w:val="28"/>
                <w:szCs w:val="28"/>
              </w:rPr>
              <w:t>United Nations</w:t>
            </w:r>
          </w:p>
        </w:tc>
        <w:tc>
          <w:tcPr>
            <w:tcW w:w="6095" w:type="dxa"/>
            <w:gridSpan w:val="2"/>
            <w:tcBorders>
              <w:bottom w:val="single" w:sz="4" w:space="0" w:color="auto"/>
            </w:tcBorders>
            <w:vAlign w:val="bottom"/>
          </w:tcPr>
          <w:p w14:paraId="2DD03675" w14:textId="733A026A" w:rsidR="009E6CB7" w:rsidRPr="00762298" w:rsidRDefault="005F0F19" w:rsidP="00954785">
            <w:pPr>
              <w:jc w:val="right"/>
            </w:pPr>
            <w:r w:rsidRPr="005F0F19">
              <w:rPr>
                <w:sz w:val="40"/>
              </w:rPr>
              <w:t>ECE</w:t>
            </w:r>
            <w:r>
              <w:t>/TRANS/2020/10</w:t>
            </w:r>
          </w:p>
        </w:tc>
      </w:tr>
      <w:tr w:rsidR="00FF02F5" w:rsidRPr="00762298" w14:paraId="5245C04C" w14:textId="77777777" w:rsidTr="00B20551">
        <w:trPr>
          <w:cantSplit/>
          <w:trHeight w:hRule="exact" w:val="2835"/>
        </w:trPr>
        <w:tc>
          <w:tcPr>
            <w:tcW w:w="1276" w:type="dxa"/>
            <w:tcBorders>
              <w:top w:val="single" w:sz="4" w:space="0" w:color="auto"/>
              <w:bottom w:val="single" w:sz="12" w:space="0" w:color="auto"/>
            </w:tcBorders>
          </w:tcPr>
          <w:p w14:paraId="6FA69D0E" w14:textId="77777777" w:rsidR="009E6CB7" w:rsidRPr="009A332E" w:rsidRDefault="00686A48" w:rsidP="00B20551">
            <w:pPr>
              <w:spacing w:before="120"/>
            </w:pPr>
            <w:r w:rsidRPr="00294C44">
              <w:rPr>
                <w:noProof/>
                <w:lang w:eastAsia="fr-CH"/>
              </w:rPr>
              <w:drawing>
                <wp:inline distT="0" distB="0" distL="0" distR="0" wp14:anchorId="274431D0" wp14:editId="7E37C3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E41925" w14:textId="77777777" w:rsidR="009E6CB7" w:rsidRPr="00762298" w:rsidRDefault="009E6CB7" w:rsidP="00B20551">
            <w:pPr>
              <w:spacing w:before="120" w:line="420" w:lineRule="exact"/>
              <w:rPr>
                <w:sz w:val="40"/>
                <w:szCs w:val="40"/>
              </w:rPr>
            </w:pPr>
            <w:r w:rsidRPr="00762298">
              <w:rPr>
                <w:b/>
                <w:sz w:val="40"/>
                <w:szCs w:val="40"/>
              </w:rPr>
              <w:t>Economic and Social Council</w:t>
            </w:r>
          </w:p>
        </w:tc>
        <w:tc>
          <w:tcPr>
            <w:tcW w:w="2835" w:type="dxa"/>
            <w:tcBorders>
              <w:top w:val="single" w:sz="4" w:space="0" w:color="auto"/>
              <w:bottom w:val="single" w:sz="12" w:space="0" w:color="auto"/>
            </w:tcBorders>
          </w:tcPr>
          <w:p w14:paraId="7AA59267" w14:textId="77777777" w:rsidR="009E6CB7" w:rsidRPr="00762298" w:rsidRDefault="00954785" w:rsidP="00954785">
            <w:pPr>
              <w:spacing w:before="240" w:line="240" w:lineRule="exact"/>
            </w:pPr>
            <w:r w:rsidRPr="00762298">
              <w:t>Distr.: General</w:t>
            </w:r>
          </w:p>
          <w:p w14:paraId="3CEE8430" w14:textId="7D9F5623" w:rsidR="00C3146E" w:rsidRDefault="00A80C25" w:rsidP="00954785">
            <w:pPr>
              <w:spacing w:line="240" w:lineRule="exact"/>
            </w:pPr>
            <w:r>
              <w:t>1</w:t>
            </w:r>
            <w:r w:rsidR="006003FB">
              <w:t>7</w:t>
            </w:r>
            <w:r>
              <w:t xml:space="preserve"> </w:t>
            </w:r>
            <w:r w:rsidR="004E4D88" w:rsidRPr="00762298">
              <w:t>December</w:t>
            </w:r>
            <w:r w:rsidR="00CD3488" w:rsidRPr="00762298">
              <w:t xml:space="preserve"> </w:t>
            </w:r>
            <w:r w:rsidR="00954785" w:rsidRPr="00762298">
              <w:t>2019</w:t>
            </w:r>
          </w:p>
          <w:p w14:paraId="368050B6" w14:textId="77777777" w:rsidR="008864A7" w:rsidRPr="00762298" w:rsidRDefault="008864A7" w:rsidP="00954785">
            <w:pPr>
              <w:spacing w:line="240" w:lineRule="exact"/>
            </w:pPr>
          </w:p>
          <w:p w14:paraId="2551E833" w14:textId="77777777" w:rsidR="00954785" w:rsidRPr="00762298" w:rsidRDefault="00954785" w:rsidP="00954785">
            <w:pPr>
              <w:spacing w:line="240" w:lineRule="exact"/>
            </w:pPr>
            <w:r w:rsidRPr="00762298">
              <w:t>Original: English</w:t>
            </w:r>
          </w:p>
        </w:tc>
      </w:tr>
    </w:tbl>
    <w:p w14:paraId="58EF004B" w14:textId="77777777" w:rsidR="00250503" w:rsidRPr="00762298" w:rsidRDefault="00250503" w:rsidP="00250503">
      <w:pPr>
        <w:spacing w:before="120"/>
        <w:rPr>
          <w:b/>
          <w:bCs/>
          <w:sz w:val="28"/>
          <w:szCs w:val="28"/>
        </w:rPr>
      </w:pPr>
      <w:r w:rsidRPr="00762298">
        <w:rPr>
          <w:b/>
          <w:bCs/>
          <w:sz w:val="28"/>
          <w:szCs w:val="28"/>
        </w:rPr>
        <w:t>Economic Commission for Europe</w:t>
      </w:r>
    </w:p>
    <w:p w14:paraId="63EB3188" w14:textId="77777777" w:rsidR="00250503" w:rsidRPr="00762298" w:rsidRDefault="00250503" w:rsidP="00250503">
      <w:pPr>
        <w:spacing w:before="120"/>
        <w:rPr>
          <w:sz w:val="28"/>
          <w:szCs w:val="28"/>
        </w:rPr>
      </w:pPr>
      <w:r w:rsidRPr="00762298">
        <w:rPr>
          <w:sz w:val="28"/>
          <w:szCs w:val="28"/>
        </w:rPr>
        <w:t>Inland Transport Committee</w:t>
      </w:r>
    </w:p>
    <w:p w14:paraId="50D82B03" w14:textId="77777777" w:rsidR="00250503" w:rsidRPr="00762298" w:rsidRDefault="00250503" w:rsidP="00250503">
      <w:pPr>
        <w:spacing w:before="120"/>
        <w:rPr>
          <w:b/>
          <w:bCs/>
        </w:rPr>
      </w:pPr>
      <w:r w:rsidRPr="00762298">
        <w:rPr>
          <w:b/>
          <w:bCs/>
        </w:rPr>
        <w:t>Eighty-second session</w:t>
      </w:r>
    </w:p>
    <w:p w14:paraId="0FF6EE8E" w14:textId="33C919E0" w:rsidR="000543B0" w:rsidRPr="00762298" w:rsidRDefault="00250503" w:rsidP="000543B0">
      <w:pPr>
        <w:rPr>
          <w:b/>
          <w:bCs/>
        </w:rPr>
      </w:pPr>
      <w:r w:rsidRPr="00762298">
        <w:t>Geneva, 25</w:t>
      </w:r>
      <w:r w:rsidR="005A2B97">
        <w:t>–</w:t>
      </w:r>
      <w:r w:rsidRPr="009A332E">
        <w:t>28 February 2020</w:t>
      </w:r>
      <w:r w:rsidRPr="009A332E">
        <w:br/>
      </w:r>
      <w:r w:rsidR="000543B0" w:rsidRPr="00762298">
        <w:t>Item 4 (h) of the provisional agenda</w:t>
      </w:r>
      <w:r w:rsidR="000543B0" w:rsidRPr="00762298">
        <w:br/>
      </w:r>
      <w:r w:rsidR="000543B0" w:rsidRPr="00762298">
        <w:rPr>
          <w:b/>
          <w:bCs/>
        </w:rPr>
        <w:t xml:space="preserve">Strategic questions of a horizontal policy </w:t>
      </w:r>
      <w:r w:rsidR="000543B0" w:rsidRPr="00762298">
        <w:rPr>
          <w:b/>
          <w:bCs/>
        </w:rPr>
        <w:br/>
        <w:t>or regulatory nature: Road safety</w:t>
      </w:r>
    </w:p>
    <w:p w14:paraId="0F2A769C" w14:textId="77777777" w:rsidR="00A25C36" w:rsidRPr="009A332E" w:rsidRDefault="00A25C36" w:rsidP="00A25C36">
      <w:pPr>
        <w:pStyle w:val="HChG"/>
      </w:pPr>
      <w:bookmarkStart w:id="0" w:name="_Hlk18676048"/>
      <w:r w:rsidRPr="00762298">
        <w:tab/>
      </w:r>
      <w:r w:rsidRPr="00762298">
        <w:tab/>
        <w:t>The Road Safety System Assessment Process</w:t>
      </w:r>
    </w:p>
    <w:p w14:paraId="6B14FAE9" w14:textId="03AC75F1" w:rsidR="00A25C36" w:rsidRDefault="00A25C36" w:rsidP="00A25C36">
      <w:pPr>
        <w:pStyle w:val="H1G"/>
      </w:pPr>
      <w:r w:rsidRPr="009A332E">
        <w:tab/>
      </w:r>
      <w:r w:rsidRPr="009A332E">
        <w:tab/>
        <w:t>Note by the secretariat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F2414" w14:paraId="6F7202D8" w14:textId="77777777" w:rsidTr="006E5E26">
        <w:trPr>
          <w:trHeight w:hRule="exact" w:val="240"/>
          <w:jc w:val="center"/>
        </w:trPr>
        <w:tc>
          <w:tcPr>
            <w:tcW w:w="7654" w:type="dxa"/>
            <w:tcBorders>
              <w:top w:val="single" w:sz="4" w:space="0" w:color="auto"/>
            </w:tcBorders>
            <w:shd w:val="clear" w:color="auto" w:fill="auto"/>
          </w:tcPr>
          <w:p w14:paraId="472B9EA5" w14:textId="77777777" w:rsidR="00DF2414" w:rsidRDefault="00DF2414" w:rsidP="006E5E26">
            <w:pPr>
              <w:spacing w:line="240" w:lineRule="auto"/>
            </w:pPr>
          </w:p>
        </w:tc>
      </w:tr>
      <w:tr w:rsidR="006003FB" w14:paraId="4904A919" w14:textId="77777777" w:rsidTr="006E5E26">
        <w:trPr>
          <w:jc w:val="center"/>
        </w:trPr>
        <w:tc>
          <w:tcPr>
            <w:tcW w:w="7654" w:type="dxa"/>
            <w:tcBorders>
              <w:bottom w:val="nil"/>
            </w:tcBorders>
            <w:shd w:val="clear" w:color="auto" w:fill="auto"/>
            <w:tcMar>
              <w:left w:w="142" w:type="dxa"/>
              <w:right w:w="142" w:type="dxa"/>
            </w:tcMar>
          </w:tcPr>
          <w:p w14:paraId="43B6533E" w14:textId="77777777" w:rsidR="006003FB" w:rsidRPr="00762298" w:rsidRDefault="006003FB" w:rsidP="006003FB">
            <w:pPr>
              <w:spacing w:after="120"/>
            </w:pPr>
            <w:r w:rsidRPr="00762298">
              <w:tab/>
              <w:t xml:space="preserve">National Road Safety System Assessments (RSSA) are assessments of a country’s progress and needs in improving its road safety management and performance, as measured by the numbers of road users that are being killed or seriously injured over time. Their purpose is to assist countries to: </w:t>
            </w:r>
          </w:p>
          <w:p w14:paraId="44A45C85" w14:textId="77777777" w:rsidR="006003FB" w:rsidRPr="00294C44" w:rsidRDefault="006003FB" w:rsidP="006003FB">
            <w:pPr>
              <w:spacing w:after="120"/>
            </w:pPr>
            <w:r w:rsidRPr="00762298">
              <w:t>•</w:t>
            </w:r>
            <w:r w:rsidRPr="00762298">
              <w:tab/>
            </w:r>
            <w:r w:rsidRPr="00294C44">
              <w:t>Identify the status, progress and gaps in road safety</w:t>
            </w:r>
          </w:p>
          <w:p w14:paraId="707E42D7" w14:textId="77777777" w:rsidR="006003FB" w:rsidRPr="00294C44" w:rsidRDefault="006003FB" w:rsidP="006003FB">
            <w:pPr>
              <w:spacing w:after="120"/>
            </w:pPr>
            <w:r w:rsidRPr="00294C44">
              <w:t>•</w:t>
            </w:r>
            <w:r w:rsidRPr="00294C44">
              <w:tab/>
              <w:t xml:space="preserve">Improve their Road Safety Management </w:t>
            </w:r>
          </w:p>
          <w:p w14:paraId="36D71ADB" w14:textId="77777777" w:rsidR="006003FB" w:rsidRPr="00294C44" w:rsidRDefault="006003FB" w:rsidP="006003FB">
            <w:pPr>
              <w:spacing w:after="120"/>
            </w:pPr>
            <w:r w:rsidRPr="00294C44">
              <w:t>•</w:t>
            </w:r>
            <w:r w:rsidRPr="00294C44">
              <w:tab/>
              <w:t xml:space="preserve">Promote continuous coordination and cooperation among stakeholders in mainstreaming the use of the safety system concept and progress consistent with the overall objectives of 2030 Agenda for Sustainable Development and the </w:t>
            </w:r>
            <w:r>
              <w:t>Sustainable Development Goal</w:t>
            </w:r>
            <w:r w:rsidRPr="00294C44">
              <w:t>s</w:t>
            </w:r>
          </w:p>
          <w:p w14:paraId="12C5CAE0" w14:textId="04CEA7DE" w:rsidR="006003FB" w:rsidRDefault="006003FB" w:rsidP="006003FB">
            <w:pPr>
              <w:spacing w:after="120"/>
              <w:jc w:val="both"/>
            </w:pPr>
            <w:r w:rsidRPr="00294C44">
              <w:t>•</w:t>
            </w:r>
            <w:r w:rsidRPr="00294C44">
              <w:tab/>
              <w:t>Prioritize tasks</w:t>
            </w:r>
            <w:r w:rsidRPr="009A332E">
              <w:t xml:space="preserve"> </w:t>
            </w:r>
          </w:p>
        </w:tc>
      </w:tr>
      <w:tr w:rsidR="006003FB" w14:paraId="6B27BE6E" w14:textId="77777777" w:rsidTr="006E5E26">
        <w:trPr>
          <w:jc w:val="center"/>
        </w:trPr>
        <w:tc>
          <w:tcPr>
            <w:tcW w:w="7654" w:type="dxa"/>
            <w:tcBorders>
              <w:bottom w:val="nil"/>
            </w:tcBorders>
            <w:shd w:val="clear" w:color="auto" w:fill="auto"/>
            <w:tcMar>
              <w:left w:w="142" w:type="dxa"/>
              <w:right w:w="142" w:type="dxa"/>
            </w:tcMar>
          </w:tcPr>
          <w:p w14:paraId="4DE1D150" w14:textId="510040F2" w:rsidR="006003FB" w:rsidRDefault="006003FB" w:rsidP="006003FB">
            <w:pPr>
              <w:spacing w:after="120"/>
            </w:pPr>
            <w:r w:rsidRPr="00762298">
              <w:tab/>
              <w:t xml:space="preserve">The Committee may wish to </w:t>
            </w:r>
            <w:r w:rsidRPr="00762298">
              <w:rPr>
                <w:b/>
                <w:bCs/>
              </w:rPr>
              <w:t>consider and, possibly, adopt</w:t>
            </w:r>
            <w:r w:rsidRPr="00762298">
              <w:t xml:space="preserve"> the RSSA process and approach contained in this document, as a tool that will complement member States and </w:t>
            </w:r>
            <w:r>
              <w:t xml:space="preserve">the </w:t>
            </w:r>
            <w:r w:rsidRPr="009A332E">
              <w:t xml:space="preserve">efforts </w:t>
            </w:r>
            <w:r>
              <w:t xml:space="preserve">of </w:t>
            </w:r>
            <w:r w:rsidRPr="00820D7E">
              <w:t>contracting parties</w:t>
            </w:r>
            <w:r w:rsidRPr="009A332E">
              <w:t xml:space="preserve"> to enhance their national road safety systems, thus </w:t>
            </w:r>
            <w:r w:rsidRPr="00762298">
              <w:t>further strengthening the Committee’s contribution to ongoing efforts to improve road safety performance globally.</w:t>
            </w:r>
          </w:p>
        </w:tc>
      </w:tr>
      <w:tr w:rsidR="00DF2414" w14:paraId="5F3A5FC0" w14:textId="77777777" w:rsidTr="006E5E26">
        <w:trPr>
          <w:jc w:val="center"/>
        </w:trPr>
        <w:tc>
          <w:tcPr>
            <w:tcW w:w="7654" w:type="dxa"/>
            <w:tcBorders>
              <w:bottom w:val="nil"/>
            </w:tcBorders>
            <w:shd w:val="clear" w:color="auto" w:fill="auto"/>
            <w:tcMar>
              <w:left w:w="142" w:type="dxa"/>
              <w:right w:w="142" w:type="dxa"/>
            </w:tcMar>
          </w:tcPr>
          <w:p w14:paraId="03E40FAF" w14:textId="77777777" w:rsidR="00DF2414" w:rsidRDefault="00DF2414" w:rsidP="006E5E26">
            <w:pPr>
              <w:spacing w:after="120"/>
              <w:jc w:val="both"/>
            </w:pPr>
          </w:p>
        </w:tc>
      </w:tr>
      <w:tr w:rsidR="00DF2414" w14:paraId="652CE884" w14:textId="77777777" w:rsidTr="006E5E26">
        <w:trPr>
          <w:trHeight w:hRule="exact" w:val="20"/>
          <w:jc w:val="center"/>
        </w:trPr>
        <w:tc>
          <w:tcPr>
            <w:tcW w:w="7654" w:type="dxa"/>
            <w:tcBorders>
              <w:bottom w:val="single" w:sz="4" w:space="0" w:color="auto"/>
            </w:tcBorders>
            <w:shd w:val="clear" w:color="auto" w:fill="auto"/>
          </w:tcPr>
          <w:p w14:paraId="5D7824E9" w14:textId="77777777" w:rsidR="00DF2414" w:rsidRDefault="00DF2414" w:rsidP="006E5E26">
            <w:pPr>
              <w:spacing w:line="240" w:lineRule="auto"/>
            </w:pPr>
          </w:p>
        </w:tc>
      </w:tr>
    </w:tbl>
    <w:bookmarkEnd w:id="0"/>
    <w:p w14:paraId="20EBBA3D" w14:textId="77777777" w:rsidR="00A25C36" w:rsidRPr="00762298" w:rsidRDefault="00A25C36" w:rsidP="00A25C36">
      <w:pPr>
        <w:pStyle w:val="HChG"/>
      </w:pPr>
      <w:r w:rsidRPr="00762298">
        <w:tab/>
        <w:t>I.</w:t>
      </w:r>
      <w:r w:rsidRPr="00762298">
        <w:tab/>
        <w:t>What is a Road Safety System Assessment</w:t>
      </w:r>
    </w:p>
    <w:p w14:paraId="0E5477E0" w14:textId="253E3CDB" w:rsidR="00A25C36" w:rsidRPr="009A332E" w:rsidRDefault="00135C63" w:rsidP="003765B5">
      <w:pPr>
        <w:pStyle w:val="SingleTxtG"/>
      </w:pPr>
      <w:r w:rsidRPr="00762298">
        <w:t>1.</w:t>
      </w:r>
      <w:r w:rsidRPr="00762298">
        <w:tab/>
      </w:r>
      <w:r w:rsidR="00A25C36" w:rsidRPr="009A332E">
        <w:t>A Road Safety System Assessment (RSSA</w:t>
      </w:r>
      <w:r w:rsidR="00294C44">
        <w:t xml:space="preserve"> or Assessment</w:t>
      </w:r>
      <w:r w:rsidR="00A25C36" w:rsidRPr="009A332E">
        <w:t xml:space="preserve">) is an assessment of a country’s progress and needs in improving its </w:t>
      </w:r>
      <w:r w:rsidR="00020497" w:rsidRPr="009A332E">
        <w:t>road safety management and performance</w:t>
      </w:r>
      <w:r w:rsidR="00A25C36" w:rsidRPr="009A332E">
        <w:t xml:space="preserve">, as measured by the numbers of road users that are being killed or seriously injured over time. </w:t>
      </w:r>
      <w:r w:rsidR="00A25C36" w:rsidRPr="00294C44">
        <w:t>RSSA</w:t>
      </w:r>
      <w:r w:rsidR="00A25C36" w:rsidRPr="009A332E">
        <w:t xml:space="preserve"> is based on the comprehensive analysis of the existence and functioning of a country’s road safety system including institutions, legislation, enforcement, education, policies, infrastructures and links to the international regulatory support (</w:t>
      </w:r>
      <w:r w:rsidR="00A25C36" w:rsidRPr="00294C44">
        <w:t>U</w:t>
      </w:r>
      <w:r w:rsidR="00294C44">
        <w:t xml:space="preserve">nited </w:t>
      </w:r>
      <w:r w:rsidR="00A25C36" w:rsidRPr="00294C44">
        <w:t>N</w:t>
      </w:r>
      <w:r w:rsidR="00294C44">
        <w:t>ations</w:t>
      </w:r>
      <w:r w:rsidR="00A25C36" w:rsidRPr="009A332E">
        <w:t xml:space="preserve"> road safety </w:t>
      </w:r>
      <w:r w:rsidR="00A25C36" w:rsidRPr="009A332E">
        <w:lastRenderedPageBreak/>
        <w:t>conventions). The conceptual framework for the analysis and assessment is provided by the Global Framework Plan of Action for Road Safety (GFPA).</w:t>
      </w:r>
    </w:p>
    <w:p w14:paraId="59878B50" w14:textId="77777777" w:rsidR="00135C63" w:rsidRPr="009A332E" w:rsidRDefault="00135C63" w:rsidP="00B4254D">
      <w:pPr>
        <w:pStyle w:val="H1G"/>
        <w:spacing w:before="240"/>
      </w:pPr>
      <w:r w:rsidRPr="009A332E">
        <w:tab/>
      </w:r>
      <w:r w:rsidRPr="009A332E">
        <w:tab/>
      </w:r>
      <w:r w:rsidR="00A25C36" w:rsidRPr="009A332E">
        <w:t xml:space="preserve">The </w:t>
      </w:r>
      <w:r w:rsidR="00A25C36" w:rsidRPr="00B4254D">
        <w:t>Pu</w:t>
      </w:r>
      <w:bookmarkStart w:id="1" w:name="_GoBack"/>
      <w:bookmarkEnd w:id="1"/>
      <w:r w:rsidR="00A25C36" w:rsidRPr="00B4254D">
        <w:t>rpose</w:t>
      </w:r>
    </w:p>
    <w:p w14:paraId="3FF86C15" w14:textId="77777777" w:rsidR="00A25C36" w:rsidRPr="009A332E" w:rsidRDefault="00135C63" w:rsidP="004D2C76">
      <w:pPr>
        <w:pStyle w:val="SingleTxtG"/>
      </w:pPr>
      <w:r w:rsidRPr="009A332E">
        <w:t>2.</w:t>
      </w:r>
      <w:r w:rsidRPr="009A332E">
        <w:tab/>
      </w:r>
      <w:r w:rsidR="00A25C36" w:rsidRPr="009A332E">
        <w:t xml:space="preserve">The purpose of the assessment is to assist countries to: </w:t>
      </w:r>
    </w:p>
    <w:p w14:paraId="38572A4F" w14:textId="5C40A2E0" w:rsidR="00A25C36" w:rsidRPr="009A332E" w:rsidRDefault="00A25C36" w:rsidP="004D2C76">
      <w:pPr>
        <w:pStyle w:val="Bullet1G"/>
      </w:pPr>
      <w:r w:rsidRPr="009A332E">
        <w:t>Identify the status, progress and gaps in road safety</w:t>
      </w:r>
    </w:p>
    <w:p w14:paraId="02FEF9E3" w14:textId="5A30E523" w:rsidR="00A25C36" w:rsidRPr="009A332E" w:rsidRDefault="00A25C36" w:rsidP="004D2C76">
      <w:pPr>
        <w:pStyle w:val="Bullet1G"/>
      </w:pPr>
      <w:r w:rsidRPr="009A332E">
        <w:t xml:space="preserve">Improve their </w:t>
      </w:r>
      <w:r w:rsidR="00020497" w:rsidRPr="009A332E">
        <w:t xml:space="preserve">road safety management </w:t>
      </w:r>
      <w:r w:rsidRPr="009A332E">
        <w:t xml:space="preserve">by establishing baseline conditions and making concrete recommendations for better institutional and policy implementation and performance </w:t>
      </w:r>
    </w:p>
    <w:p w14:paraId="0AC51D22" w14:textId="7D18ABE0" w:rsidR="00A25C36" w:rsidRPr="009A332E" w:rsidRDefault="00A25C36" w:rsidP="004D2C76">
      <w:pPr>
        <w:pStyle w:val="Bullet1G"/>
      </w:pPr>
      <w:r w:rsidRPr="009A332E">
        <w:t xml:space="preserve">To promote continuous coordination and cooperation among stakeholders in mainstreaming the use of the safety system concept and progress consistent with the overall objectives of </w:t>
      </w:r>
      <w:r w:rsidR="00294C44">
        <w:t xml:space="preserve">the </w:t>
      </w:r>
      <w:r w:rsidRPr="009A332E">
        <w:t xml:space="preserve">2030 Agenda for Sustainable Development </w:t>
      </w:r>
      <w:r w:rsidRPr="00294C44">
        <w:t>and the</w:t>
      </w:r>
      <w:r w:rsidR="00294C44">
        <w:t xml:space="preserve"> </w:t>
      </w:r>
      <w:r w:rsidR="00294C44" w:rsidRPr="00294C44">
        <w:t>Sustainable Development Goal</w:t>
      </w:r>
      <w:r w:rsidRPr="00294C44">
        <w:t>s</w:t>
      </w:r>
    </w:p>
    <w:p w14:paraId="46FB6683" w14:textId="5AA92E98" w:rsidR="00A25C36" w:rsidRPr="00762298" w:rsidRDefault="00A25C36" w:rsidP="004D2C76">
      <w:pPr>
        <w:pStyle w:val="Bullet1G"/>
      </w:pPr>
      <w:r w:rsidRPr="00762298">
        <w:t xml:space="preserve">Prioritize tasks that will make it possible to </w:t>
      </w:r>
      <w:r w:rsidR="00020497" w:rsidRPr="00762298">
        <w:t xml:space="preserve">curb the road safety </w:t>
      </w:r>
      <w:r w:rsidRPr="00762298">
        <w:t>crisis, and channel national efforts and financial resources to high-impact investments that are based on reliable, structured and consistent analysis and recommendations</w:t>
      </w:r>
    </w:p>
    <w:p w14:paraId="35989329" w14:textId="77777777" w:rsidR="00A25C36" w:rsidRPr="00762298" w:rsidRDefault="00BF172D" w:rsidP="00BF172D">
      <w:pPr>
        <w:pStyle w:val="HChG"/>
      </w:pPr>
      <w:r w:rsidRPr="00762298">
        <w:tab/>
        <w:t>II.</w:t>
      </w:r>
      <w:r w:rsidRPr="00762298">
        <w:tab/>
      </w:r>
      <w:r w:rsidR="00A25C36" w:rsidRPr="00762298">
        <w:t xml:space="preserve">The Assessment </w:t>
      </w:r>
      <w:r w:rsidR="00020497" w:rsidRPr="00762298">
        <w:t xml:space="preserve">Process </w:t>
      </w:r>
      <w:r w:rsidR="00A25C36" w:rsidRPr="00762298">
        <w:t xml:space="preserve">and its </w:t>
      </w:r>
      <w:r w:rsidR="00020497" w:rsidRPr="00762298">
        <w:t>Outputs</w:t>
      </w:r>
      <w:r w:rsidR="00A25C36" w:rsidRPr="00762298">
        <w:t xml:space="preserve"> and </w:t>
      </w:r>
      <w:r w:rsidR="00020497" w:rsidRPr="00762298">
        <w:t>Outcome</w:t>
      </w:r>
      <w:r w:rsidR="00A25C36" w:rsidRPr="00762298">
        <w:t>s</w:t>
      </w:r>
    </w:p>
    <w:p w14:paraId="395265CF" w14:textId="5145DF20" w:rsidR="00A25C36" w:rsidRPr="009A332E" w:rsidRDefault="00135C63" w:rsidP="003765B5">
      <w:pPr>
        <w:pStyle w:val="SingleTxtG"/>
      </w:pPr>
      <w:r w:rsidRPr="00762298">
        <w:t>3.</w:t>
      </w:r>
      <w:r w:rsidRPr="00762298">
        <w:tab/>
      </w:r>
      <w:r w:rsidR="00A25C36" w:rsidRPr="00762298">
        <w:t xml:space="preserve">As a voluntary exercise, </w:t>
      </w:r>
      <w:r w:rsidR="00A25C36" w:rsidRPr="00294C44">
        <w:t xml:space="preserve">the Assessment </w:t>
      </w:r>
      <w:r w:rsidR="00A25C36" w:rsidRPr="009A332E">
        <w:t>is undertaken at the request of the country itself.</w:t>
      </w:r>
    </w:p>
    <w:p w14:paraId="29188ED7" w14:textId="2A70BFED" w:rsidR="00A25C36" w:rsidRPr="00762298" w:rsidRDefault="00135C63" w:rsidP="003765B5">
      <w:pPr>
        <w:pStyle w:val="SingleTxtG"/>
      </w:pPr>
      <w:r w:rsidRPr="00762298">
        <w:t>4.</w:t>
      </w:r>
      <w:r w:rsidRPr="00762298">
        <w:tab/>
      </w:r>
      <w:r w:rsidR="00A25C36" w:rsidRPr="00762298">
        <w:t>It starts with an agreement on the structure of the report between ECE and/or relevant Regional Commissions on the one hand and high officials of the transport authority in the candidate country</w:t>
      </w:r>
      <w:r w:rsidR="00294C44">
        <w:t xml:space="preserve"> on the other</w:t>
      </w:r>
      <w:r w:rsidR="00A25C36" w:rsidRPr="00762298">
        <w:t xml:space="preserve">. </w:t>
      </w:r>
    </w:p>
    <w:p w14:paraId="2E2CA360" w14:textId="77777777" w:rsidR="00A25C36" w:rsidRPr="009A332E" w:rsidRDefault="00135C63" w:rsidP="003765B5">
      <w:pPr>
        <w:pStyle w:val="SingleTxtG"/>
      </w:pPr>
      <w:r w:rsidRPr="00762298">
        <w:t>5.</w:t>
      </w:r>
      <w:r w:rsidRPr="00762298">
        <w:tab/>
      </w:r>
      <w:r w:rsidR="00A25C36" w:rsidRPr="00762298">
        <w:t>The Assessment Team is made up of international and, on a need basis, national experts. The Assessment Team is flexible to meet the needs of the reviewed country. This team meets with national experts to discuss the problems encountered in their national road safety system, in line with the Global Framework Plan of Action for Road Safety (</w:t>
      </w:r>
      <w:r w:rsidR="00A25C36" w:rsidRPr="00294C44">
        <w:t>GFPA</w:t>
      </w:r>
      <w:r w:rsidR="00A25C36" w:rsidRPr="009A332E">
        <w:t xml:space="preserve">). The team’s final report contains recommendations for further improvement. </w:t>
      </w:r>
    </w:p>
    <w:p w14:paraId="0184687B" w14:textId="77777777" w:rsidR="00A25C36" w:rsidRPr="00762298" w:rsidRDefault="00135C63" w:rsidP="003765B5">
      <w:pPr>
        <w:pStyle w:val="SingleTxtG"/>
      </w:pPr>
      <w:r w:rsidRPr="00762298">
        <w:t>6.</w:t>
      </w:r>
      <w:r w:rsidRPr="00762298">
        <w:tab/>
      </w:r>
      <w:r w:rsidR="00A25C36" w:rsidRPr="00762298">
        <w:t>Peer review of the report in order to increase the robustness and political significance of its analysis and recommendations is to be undertaken.</w:t>
      </w:r>
    </w:p>
    <w:p w14:paraId="4FA8D88D" w14:textId="77777777" w:rsidR="00A25C36" w:rsidRPr="00762298" w:rsidRDefault="00135C63" w:rsidP="003765B5">
      <w:pPr>
        <w:pStyle w:val="SingleTxtG"/>
      </w:pPr>
      <w:r w:rsidRPr="00762298">
        <w:t>7.</w:t>
      </w:r>
      <w:r w:rsidRPr="00762298">
        <w:tab/>
      </w:r>
      <w:r w:rsidR="00A25C36" w:rsidRPr="00762298">
        <w:t>The RSSA process consists of five stages:</w:t>
      </w:r>
    </w:p>
    <w:p w14:paraId="1B8876F6" w14:textId="77777777" w:rsidR="00A25C36" w:rsidRPr="00294C44" w:rsidRDefault="00A37933" w:rsidP="00A37933">
      <w:pPr>
        <w:pStyle w:val="SingleTxtG"/>
        <w:ind w:firstLine="567"/>
      </w:pPr>
      <w:r w:rsidRPr="00762298">
        <w:t>(a)</w:t>
      </w:r>
      <w:r w:rsidRPr="00762298">
        <w:tab/>
      </w:r>
      <w:r w:rsidR="00A25C36" w:rsidRPr="00294C44">
        <w:t xml:space="preserve">Preparatory mission </w:t>
      </w:r>
    </w:p>
    <w:p w14:paraId="5D488339" w14:textId="77777777" w:rsidR="00A25C36" w:rsidRPr="00294C44" w:rsidRDefault="00A37933" w:rsidP="00A37933">
      <w:pPr>
        <w:pStyle w:val="SingleTxtG"/>
        <w:ind w:firstLine="567"/>
      </w:pPr>
      <w:r w:rsidRPr="00294C44">
        <w:t>(b)</w:t>
      </w:r>
      <w:r w:rsidRPr="00294C44">
        <w:tab/>
      </w:r>
      <w:r w:rsidR="00A25C36" w:rsidRPr="00294C44">
        <w:t>Assessment mission and draft report</w:t>
      </w:r>
    </w:p>
    <w:p w14:paraId="41DF02F7" w14:textId="77777777" w:rsidR="00A25C36" w:rsidRPr="00294C44" w:rsidRDefault="00A37933" w:rsidP="00A37933">
      <w:pPr>
        <w:pStyle w:val="SingleTxtG"/>
        <w:ind w:firstLine="567"/>
      </w:pPr>
      <w:r w:rsidRPr="00294C44">
        <w:t>(c)</w:t>
      </w:r>
      <w:r w:rsidRPr="00294C44">
        <w:tab/>
      </w:r>
      <w:r w:rsidR="00A25C36" w:rsidRPr="00294C44">
        <w:t>Peer Review and Report Adoption</w:t>
      </w:r>
    </w:p>
    <w:p w14:paraId="23818EBB" w14:textId="77777777" w:rsidR="00A25C36" w:rsidRPr="00294C44" w:rsidRDefault="00A37933" w:rsidP="00A37933">
      <w:pPr>
        <w:pStyle w:val="SingleTxtG"/>
        <w:ind w:firstLine="567"/>
      </w:pPr>
      <w:r w:rsidRPr="00294C44">
        <w:t>(d)</w:t>
      </w:r>
      <w:r w:rsidRPr="00294C44">
        <w:tab/>
      </w:r>
      <w:r w:rsidR="00A25C36" w:rsidRPr="00294C44">
        <w:t xml:space="preserve">Publication </w:t>
      </w:r>
    </w:p>
    <w:p w14:paraId="3C4D5CF9" w14:textId="77777777" w:rsidR="00A25C36" w:rsidRPr="009A332E" w:rsidRDefault="00A37933" w:rsidP="00A37933">
      <w:pPr>
        <w:pStyle w:val="SingleTxtG"/>
        <w:ind w:firstLine="567"/>
      </w:pPr>
      <w:r w:rsidRPr="00294C44">
        <w:t>(e)</w:t>
      </w:r>
      <w:r w:rsidRPr="00294C44">
        <w:tab/>
      </w:r>
      <w:r w:rsidR="00A25C36" w:rsidRPr="00294C44">
        <w:t>Implementation phase, including capacity development</w:t>
      </w:r>
      <w:r w:rsidR="000C6CB8" w:rsidRPr="00294C44">
        <w:t>.</w:t>
      </w:r>
    </w:p>
    <w:p w14:paraId="7EF48968" w14:textId="6684FEEC" w:rsidR="00A25C36" w:rsidRPr="00762298" w:rsidRDefault="00BF172D" w:rsidP="00BF172D">
      <w:pPr>
        <w:pStyle w:val="H1G"/>
      </w:pPr>
      <w:r w:rsidRPr="00762298">
        <w:tab/>
        <w:t>A.</w:t>
      </w:r>
      <w:r w:rsidRPr="00762298">
        <w:tab/>
      </w:r>
      <w:r w:rsidR="00A25C36" w:rsidRPr="00762298">
        <w:t xml:space="preserve">Preparatory </w:t>
      </w:r>
      <w:r w:rsidR="009E4822" w:rsidRPr="00762298">
        <w:t>Mission</w:t>
      </w:r>
    </w:p>
    <w:p w14:paraId="06484987" w14:textId="77777777" w:rsidR="00A25C36" w:rsidRPr="00762298" w:rsidRDefault="000C6CB8" w:rsidP="003765B5">
      <w:pPr>
        <w:pStyle w:val="SingleTxtG"/>
      </w:pPr>
      <w:r w:rsidRPr="00762298">
        <w:t>8.</w:t>
      </w:r>
      <w:r w:rsidRPr="00762298">
        <w:tab/>
      </w:r>
      <w:r w:rsidR="00A25C36" w:rsidRPr="00762298">
        <w:t xml:space="preserve">The process begins when a country requests the relevant organization to undertake a review. The decision to proceed with a specific country is taken by the relevant organization. </w:t>
      </w:r>
    </w:p>
    <w:p w14:paraId="1E398581" w14:textId="64F64FF3" w:rsidR="00A25C36" w:rsidRPr="009A332E" w:rsidRDefault="00186E7C" w:rsidP="003765B5">
      <w:pPr>
        <w:pStyle w:val="SingleTxtG"/>
      </w:pPr>
      <w:r w:rsidRPr="00762298">
        <w:t>9.</w:t>
      </w:r>
      <w:r w:rsidRPr="00762298">
        <w:tab/>
      </w:r>
      <w:r w:rsidR="00A25C36" w:rsidRPr="00762298">
        <w:t xml:space="preserve">During a preparatory mission to the country, the secretariat consults with the country to be reviewed on the structure of the assessment. The secretariat subsequently assembles an Assessment Team, which typically includes Government experts (international in-kind support) as well as expert staff of ECE and other Regional Commissions, and other related international organizations and agencies with specific expertise, e.g. World Health Organization (on post-crash care pillar), Word Bank, </w:t>
      </w:r>
      <w:r w:rsidR="00294C44" w:rsidRPr="00294C44">
        <w:t>International Road Federation</w:t>
      </w:r>
      <w:r w:rsidR="00A25C36" w:rsidRPr="00294C44">
        <w:t xml:space="preserve">, </w:t>
      </w:r>
      <w:r w:rsidR="00A80C25" w:rsidRPr="00A80C25">
        <w:t>International Alliance for Responsible Drinking</w:t>
      </w:r>
      <w:r w:rsidR="00A25C36" w:rsidRPr="00294C44">
        <w:t xml:space="preserve">, </w:t>
      </w:r>
      <w:r w:rsidR="00A80C25" w:rsidRPr="00A80C25">
        <w:t xml:space="preserve">Fédération Internationale de </w:t>
      </w:r>
      <w:proofErr w:type="spellStart"/>
      <w:r w:rsidR="00A80C25" w:rsidRPr="00A80C25">
        <w:t>l'Automobile</w:t>
      </w:r>
      <w:proofErr w:type="spellEnd"/>
      <w:r w:rsidR="00A25C36" w:rsidRPr="009A332E">
        <w:t>, academia.</w:t>
      </w:r>
    </w:p>
    <w:p w14:paraId="1FC367F4" w14:textId="77777777" w:rsidR="00A25C36" w:rsidRPr="00762298" w:rsidRDefault="00BF172D" w:rsidP="00BF172D">
      <w:pPr>
        <w:pStyle w:val="H1G"/>
      </w:pPr>
      <w:r w:rsidRPr="00762298">
        <w:lastRenderedPageBreak/>
        <w:tab/>
        <w:t>B.</w:t>
      </w:r>
      <w:r w:rsidRPr="00762298">
        <w:tab/>
      </w:r>
      <w:r w:rsidR="00A25C36" w:rsidRPr="00762298">
        <w:t xml:space="preserve">Assessment Mission and </w:t>
      </w:r>
      <w:r w:rsidR="00020497" w:rsidRPr="00762298">
        <w:t>Draft Report</w:t>
      </w:r>
    </w:p>
    <w:p w14:paraId="2677B710" w14:textId="7097813B" w:rsidR="00A25C36" w:rsidRPr="009A332E" w:rsidRDefault="00186E7C" w:rsidP="003765B5">
      <w:pPr>
        <w:pStyle w:val="SingleTxtG"/>
      </w:pPr>
      <w:r w:rsidRPr="00762298">
        <w:t>10.</w:t>
      </w:r>
      <w:r w:rsidRPr="00762298">
        <w:tab/>
      </w:r>
      <w:r w:rsidR="00A25C36" w:rsidRPr="001D2F6D">
        <w:t>Once preparation is completed, t</w:t>
      </w:r>
      <w:r w:rsidR="00A25C36" w:rsidRPr="009A332E">
        <w:t xml:space="preserve">he Assessment Team travels to the country under review and meets with representatives of the </w:t>
      </w:r>
      <w:r w:rsidR="009D1712" w:rsidRPr="00820D7E">
        <w:t xml:space="preserve">national and local </w:t>
      </w:r>
      <w:r w:rsidR="00A25C36" w:rsidRPr="009A332E">
        <w:t>government</w:t>
      </w:r>
      <w:r w:rsidR="00A25C36" w:rsidRPr="001D2F6D">
        <w:t>, non-governmental organizations</w:t>
      </w:r>
      <w:r w:rsidR="00A80C25">
        <w:t xml:space="preserve"> (NGOs)</w:t>
      </w:r>
      <w:r w:rsidR="00A25C36" w:rsidRPr="001D2F6D">
        <w:t xml:space="preserve"> and the private sector. The focus of discussion is on the evaluation of road safety performance, in line with the </w:t>
      </w:r>
      <w:r w:rsidR="009D1712" w:rsidRPr="001D2F6D">
        <w:t>road safety system assessment outline, and the check-list and questionnaire that are</w:t>
      </w:r>
      <w:r w:rsidR="00A25C36" w:rsidRPr="001D2F6D">
        <w:t xml:space="preserve"> to be derived from it. Participation of country experts in the </w:t>
      </w:r>
      <w:r w:rsidR="009D1712" w:rsidRPr="00820D7E">
        <w:t>review</w:t>
      </w:r>
      <w:r w:rsidR="009D1712">
        <w:t xml:space="preserve"> </w:t>
      </w:r>
      <w:r w:rsidR="00A25C36" w:rsidRPr="009A332E">
        <w:t>teams also bring invaluable experience.</w:t>
      </w:r>
    </w:p>
    <w:p w14:paraId="59B695DC" w14:textId="36C11090" w:rsidR="00A25C36" w:rsidRPr="009A332E" w:rsidRDefault="00186E7C" w:rsidP="003765B5">
      <w:pPr>
        <w:pStyle w:val="SingleTxtG"/>
      </w:pPr>
      <w:r w:rsidRPr="009A332E">
        <w:t>11.</w:t>
      </w:r>
      <w:r w:rsidRPr="009A332E">
        <w:tab/>
      </w:r>
      <w:r w:rsidR="00A25C36" w:rsidRPr="009A332E">
        <w:t xml:space="preserve">At the end of the assessment mission, the Assessment Team prepares a series of chapters that are edited and compiled into </w:t>
      </w:r>
      <w:r w:rsidR="00A25C36" w:rsidRPr="0073050E">
        <w:t>a draft RSSA report</w:t>
      </w:r>
      <w:r w:rsidR="00A25C36" w:rsidRPr="009A332E">
        <w:t xml:space="preserve">. Chapters contain both descriptive text and a series of recommendations on ways to improve problem areas. </w:t>
      </w:r>
    </w:p>
    <w:p w14:paraId="4CA009D7" w14:textId="27A53A1B" w:rsidR="00A25C36" w:rsidRPr="009A332E" w:rsidRDefault="00186E7C" w:rsidP="00C3146E">
      <w:pPr>
        <w:pStyle w:val="SingleTxtG"/>
      </w:pPr>
      <w:r w:rsidRPr="009A332E">
        <w:t>12.</w:t>
      </w:r>
      <w:r w:rsidRPr="009A332E">
        <w:tab/>
      </w:r>
      <w:r w:rsidR="00A25C36" w:rsidRPr="009A332E">
        <w:t>The final draft is submitted for Peer Review and adoption (see next phase).</w:t>
      </w:r>
    </w:p>
    <w:p w14:paraId="32A64CAE" w14:textId="77777777" w:rsidR="00A25C36" w:rsidRPr="009A332E" w:rsidRDefault="00BF172D" w:rsidP="00BF172D">
      <w:pPr>
        <w:pStyle w:val="H1G"/>
      </w:pPr>
      <w:r w:rsidRPr="009A332E">
        <w:tab/>
        <w:t>C.</w:t>
      </w:r>
      <w:r w:rsidRPr="009A332E">
        <w:tab/>
      </w:r>
      <w:r w:rsidR="00A25C36" w:rsidRPr="009A332E">
        <w:t>Peer Review and Report Adoption</w:t>
      </w:r>
    </w:p>
    <w:p w14:paraId="30D8854E" w14:textId="7F45AD37" w:rsidR="00A25C36" w:rsidRPr="009A332E" w:rsidRDefault="00186E7C" w:rsidP="003765B5">
      <w:pPr>
        <w:pStyle w:val="SingleTxtG"/>
      </w:pPr>
      <w:r w:rsidRPr="009A332E">
        <w:t>13.</w:t>
      </w:r>
      <w:r w:rsidRPr="009A332E">
        <w:tab/>
      </w:r>
      <w:r w:rsidR="00A25C36" w:rsidRPr="009A332E">
        <w:t xml:space="preserve">The draft RSSA Report undergoes a peer review at this stage. During this </w:t>
      </w:r>
      <w:r w:rsidR="00020497" w:rsidRPr="009A332E">
        <w:t>revie</w:t>
      </w:r>
      <w:r w:rsidR="00A25C36" w:rsidRPr="009A332E">
        <w:t xml:space="preserve">w, discussions focus on some of the major policy issues that have arisen during RSSA with particular attention to conclusions and recommendations and their implementation, including through support through the </w:t>
      </w:r>
      <w:r w:rsidR="00A25C36" w:rsidRPr="00A80C25">
        <w:rPr>
          <w:bCs/>
        </w:rPr>
        <w:t>Fund</w:t>
      </w:r>
      <w:r w:rsidR="00A25C36" w:rsidRPr="009A332E">
        <w:t>.</w:t>
      </w:r>
    </w:p>
    <w:p w14:paraId="7D7ECFDB" w14:textId="77777777" w:rsidR="00A25C36" w:rsidRPr="006C5F94" w:rsidRDefault="00186E7C" w:rsidP="003765B5">
      <w:pPr>
        <w:pStyle w:val="SingleTxtG"/>
      </w:pPr>
      <w:r w:rsidRPr="006C5F94">
        <w:t>14.</w:t>
      </w:r>
      <w:r w:rsidRPr="006C5F94">
        <w:tab/>
      </w:r>
      <w:r w:rsidR="00A25C36" w:rsidRPr="006C5F94">
        <w:t xml:space="preserve">Experts from the reviewed country (national experts) are invited to participate in this meeting. At the end of this </w:t>
      </w:r>
      <w:r w:rsidR="00020497" w:rsidRPr="006C5F94">
        <w:t>revie</w:t>
      </w:r>
      <w:r w:rsidR="00A25C36" w:rsidRPr="006C5F94">
        <w:t xml:space="preserve">w, the </w:t>
      </w:r>
      <w:r w:rsidR="00A25C36" w:rsidRPr="00A80C25">
        <w:rPr>
          <w:bCs/>
        </w:rPr>
        <w:t xml:space="preserve">report is to be adopted </w:t>
      </w:r>
      <w:r w:rsidR="006C5F94" w:rsidRPr="009A332E">
        <w:rPr>
          <w:bCs/>
        </w:rPr>
        <w:t>by the reviewed country</w:t>
      </w:r>
      <w:r w:rsidR="00A25C36" w:rsidRPr="009A332E">
        <w:t>, to increase national ownership and sustained follow-up actions</w:t>
      </w:r>
      <w:r w:rsidR="00A25C36" w:rsidRPr="006C5F94">
        <w:t xml:space="preserve">. </w:t>
      </w:r>
    </w:p>
    <w:p w14:paraId="04F9128D" w14:textId="77777777" w:rsidR="00C3146E" w:rsidRPr="006C5F94" w:rsidRDefault="00186E7C" w:rsidP="003765B5">
      <w:pPr>
        <w:pStyle w:val="SingleTxtG"/>
      </w:pPr>
      <w:r w:rsidRPr="006C5F94">
        <w:t>15.</w:t>
      </w:r>
      <w:r w:rsidRPr="006C5F94">
        <w:tab/>
      </w:r>
      <w:r w:rsidR="00A25C36" w:rsidRPr="006C5F94">
        <w:t>At the conclusion of the Peer Review and following the adoption of the report, it will then be finalized and submitted for publication.</w:t>
      </w:r>
    </w:p>
    <w:p w14:paraId="624966CA" w14:textId="77777777" w:rsidR="00A25C36" w:rsidRPr="00762298" w:rsidRDefault="00BF172D" w:rsidP="00BF172D">
      <w:pPr>
        <w:pStyle w:val="H1G"/>
      </w:pPr>
      <w:r w:rsidRPr="00762298">
        <w:tab/>
        <w:t>D.</w:t>
      </w:r>
      <w:r w:rsidRPr="00762298">
        <w:tab/>
      </w:r>
      <w:r w:rsidR="00A25C36" w:rsidRPr="00762298">
        <w:t>Publication and Launch</w:t>
      </w:r>
    </w:p>
    <w:p w14:paraId="34F93CBC" w14:textId="2F130FB1" w:rsidR="00A25C36" w:rsidRPr="00762298" w:rsidRDefault="00186E7C" w:rsidP="003765B5">
      <w:pPr>
        <w:pStyle w:val="SingleTxtG"/>
      </w:pPr>
      <w:r w:rsidRPr="00762298">
        <w:t>16.</w:t>
      </w:r>
      <w:r w:rsidRPr="00762298">
        <w:tab/>
      </w:r>
      <w:r w:rsidR="00A25C36" w:rsidRPr="00762298">
        <w:t xml:space="preserve">Publication of the completed report is the last step of the assessment process. Updated facts and figures may be requested from the reviewed country. The </w:t>
      </w:r>
      <w:r w:rsidR="006C5F94" w:rsidRPr="00762298">
        <w:t>secretariat incorporates these changes, together with possible changes in line with the conclus</w:t>
      </w:r>
      <w:r w:rsidR="00A25C36" w:rsidRPr="00762298">
        <w:t>ions of the Peer Review. The reports are aimed first at decision</w:t>
      </w:r>
      <w:r w:rsidR="006C5F94">
        <w:t xml:space="preserve"> </w:t>
      </w:r>
      <w:r w:rsidR="00A25C36" w:rsidRPr="009A332E">
        <w:t>makers, but are also directed to all road safety stakeholders in the country under review and in other interested countries.</w:t>
      </w:r>
    </w:p>
    <w:p w14:paraId="589BBA9B" w14:textId="5C816192" w:rsidR="00C3146E" w:rsidRPr="009A332E" w:rsidRDefault="00186E7C" w:rsidP="003765B5">
      <w:pPr>
        <w:pStyle w:val="SingleTxtG"/>
      </w:pPr>
      <w:r w:rsidRPr="00762298">
        <w:t>17.</w:t>
      </w:r>
      <w:r w:rsidRPr="00762298">
        <w:tab/>
      </w:r>
      <w:r w:rsidR="00A25C36" w:rsidRPr="009A332E">
        <w:t xml:space="preserve">Upon request of the reviewed country, a launch is organized to present the findings of the report to the governmental authorities, international community, </w:t>
      </w:r>
      <w:r w:rsidR="00A25C36" w:rsidRPr="00A80C25">
        <w:t>NGOs</w:t>
      </w:r>
      <w:r w:rsidR="00A25C36" w:rsidRPr="009A332E">
        <w:t xml:space="preserve"> and other stakeholders. The launch event is usually well attended by media. The event allows the national road safety stakeholders to draw attention to most pressing road safety issues highlighted </w:t>
      </w:r>
      <w:r w:rsidR="006C5F94" w:rsidRPr="009A332E">
        <w:t>by the road safety system assessment.</w:t>
      </w:r>
    </w:p>
    <w:p w14:paraId="6952C2FE" w14:textId="77777777" w:rsidR="00A25C36" w:rsidRPr="009A332E" w:rsidRDefault="00BF172D" w:rsidP="00BF172D">
      <w:pPr>
        <w:pStyle w:val="H1G"/>
      </w:pPr>
      <w:r w:rsidRPr="009A332E">
        <w:tab/>
        <w:t>E.</w:t>
      </w:r>
      <w:r w:rsidRPr="009A332E">
        <w:tab/>
      </w:r>
      <w:r w:rsidR="00A25C36" w:rsidRPr="009A332E">
        <w:t xml:space="preserve">Implementation and </w:t>
      </w:r>
      <w:r w:rsidR="006C5F94" w:rsidRPr="009A332E">
        <w:t>Capacity Development</w:t>
      </w:r>
    </w:p>
    <w:p w14:paraId="270F7FB0" w14:textId="6A89177F" w:rsidR="00A25C36" w:rsidRPr="009A332E" w:rsidRDefault="00186E7C" w:rsidP="003765B5">
      <w:pPr>
        <w:pStyle w:val="SingleTxtG"/>
      </w:pPr>
      <w:r w:rsidRPr="009A332E">
        <w:t>18.</w:t>
      </w:r>
      <w:r w:rsidRPr="009A332E">
        <w:tab/>
      </w:r>
      <w:r w:rsidR="00A25C36" w:rsidRPr="009A332E">
        <w:t>Following the publication of the report, follow-up actions, that may have been already identified during the assessment phase, are initiated by the reviewed country, with the support of the secretariat. The support may take the form of capacity development activities and, if suitable, United Nations Road Safety Fund interventions.</w:t>
      </w:r>
    </w:p>
    <w:p w14:paraId="18A24E9E" w14:textId="0F165460" w:rsidR="00DB4C61" w:rsidRPr="00762298" w:rsidRDefault="00186E7C" w:rsidP="003765B5">
      <w:pPr>
        <w:pStyle w:val="SingleTxtG"/>
      </w:pPr>
      <w:r w:rsidRPr="009A332E">
        <w:t>19.</w:t>
      </w:r>
      <w:r w:rsidRPr="009A332E">
        <w:tab/>
      </w:r>
      <w:r w:rsidR="00A25C36" w:rsidRPr="009A332E">
        <w:t xml:space="preserve">To close the implementation cycle, the reviewed country may report back to the relevant transport committee of the respective Regional Commission and to the </w:t>
      </w:r>
      <w:r w:rsidR="006C5F94" w:rsidRPr="009A332E">
        <w:t>governing bodies o</w:t>
      </w:r>
      <w:r w:rsidR="00A25C36" w:rsidRPr="009A332E">
        <w:t xml:space="preserve">f </w:t>
      </w:r>
      <w:r w:rsidR="00A25C36" w:rsidRPr="00A80C25">
        <w:t>UNRSF</w:t>
      </w:r>
      <w:r w:rsidR="00A25C36" w:rsidRPr="009A332E">
        <w:t xml:space="preserve"> about progress in implement</w:t>
      </w:r>
      <w:r w:rsidR="006C5F94">
        <w:t xml:space="preserve">ing </w:t>
      </w:r>
      <w:r w:rsidR="00A25C36" w:rsidRPr="009A332E">
        <w:t>RSSA recommendations.</w:t>
      </w:r>
    </w:p>
    <w:p w14:paraId="25AEC869" w14:textId="77777777" w:rsidR="008D5DBD" w:rsidRPr="00762298" w:rsidRDefault="008D5DBD">
      <w:pPr>
        <w:suppressAutoHyphens w:val="0"/>
        <w:spacing w:line="240" w:lineRule="auto"/>
        <w:sectPr w:rsidR="008D5DBD" w:rsidRPr="00762298" w:rsidSect="0095478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3D4B22C9" w14:textId="77777777" w:rsidR="008D5DBD" w:rsidRPr="00762298" w:rsidRDefault="008D5DBD" w:rsidP="008D5DBD">
      <w:pPr>
        <w:pStyle w:val="HChG"/>
      </w:pPr>
      <w:r w:rsidRPr="00762298">
        <w:lastRenderedPageBreak/>
        <w:t>Annex</w:t>
      </w:r>
    </w:p>
    <w:p w14:paraId="06824D2B" w14:textId="77777777" w:rsidR="008D5DBD" w:rsidRPr="00762298" w:rsidRDefault="008D5DBD" w:rsidP="008D5DBD">
      <w:pPr>
        <w:pStyle w:val="HChG"/>
      </w:pPr>
      <w:r w:rsidRPr="00762298">
        <w:tab/>
      </w:r>
      <w:r w:rsidRPr="00762298">
        <w:tab/>
        <w:t>Road Safety System Assessment</w:t>
      </w:r>
    </w:p>
    <w:p w14:paraId="4FD71D6C" w14:textId="77777777" w:rsidR="008D5DBD" w:rsidRPr="00762298" w:rsidRDefault="008D5DBD" w:rsidP="008D5DBD">
      <w:pPr>
        <w:pStyle w:val="HChG"/>
      </w:pPr>
      <w:r w:rsidRPr="00762298">
        <w:tab/>
      </w:r>
      <w:r w:rsidRPr="00762298">
        <w:tab/>
        <w:t>Report Outline</w:t>
      </w:r>
      <w:r w:rsidRPr="00762298">
        <w:rPr>
          <w:rStyle w:val="FootnoteReference"/>
          <w:sz w:val="20"/>
          <w:vertAlign w:val="baseline"/>
        </w:rPr>
        <w:footnoteReference w:customMarkFollows="1" w:id="2"/>
        <w:t>*</w:t>
      </w:r>
    </w:p>
    <w:p w14:paraId="0A9097EC" w14:textId="77777777" w:rsidR="008D5DBD" w:rsidRPr="00762298" w:rsidRDefault="0070398F" w:rsidP="00862897">
      <w:pPr>
        <w:pStyle w:val="HChG"/>
      </w:pPr>
      <w:r w:rsidRPr="00762298">
        <w:tab/>
        <w:t>I.</w:t>
      </w:r>
      <w:r w:rsidRPr="00762298">
        <w:tab/>
      </w:r>
      <w:r w:rsidR="008D5DBD" w:rsidRPr="00762298">
        <w:t>Executive summary</w:t>
      </w:r>
    </w:p>
    <w:p w14:paraId="6820EA7C" w14:textId="3806CE8D" w:rsidR="008D5DBD" w:rsidRPr="009A332E" w:rsidRDefault="008D5DBD" w:rsidP="00DD4F03">
      <w:pPr>
        <w:pStyle w:val="SingleTxtG"/>
        <w:rPr>
          <w:b/>
          <w:bCs/>
          <w:sz w:val="26"/>
          <w:szCs w:val="26"/>
          <w:u w:val="single"/>
        </w:rPr>
      </w:pPr>
      <w:r w:rsidRPr="00762298">
        <w:t>Contain</w:t>
      </w:r>
      <w:r w:rsidR="00B20411">
        <w:t>s</w:t>
      </w:r>
      <w:r w:rsidRPr="009A332E">
        <w:t xml:space="preserve"> main conclusions</w:t>
      </w:r>
      <w:r w:rsidRPr="00762298">
        <w:t xml:space="preserve"> and recommendations for decisions makers</w:t>
      </w:r>
      <w:r w:rsidR="00B20411">
        <w:t>.</w:t>
      </w:r>
    </w:p>
    <w:p w14:paraId="51D08843" w14:textId="77777777" w:rsidR="008D5DBD" w:rsidRPr="00762298" w:rsidRDefault="0070398F" w:rsidP="00862897">
      <w:pPr>
        <w:pStyle w:val="HChG"/>
      </w:pPr>
      <w:r w:rsidRPr="00762298">
        <w:tab/>
        <w:t>II.</w:t>
      </w:r>
      <w:r w:rsidRPr="00762298">
        <w:tab/>
      </w:r>
      <w:r w:rsidR="008D5DBD" w:rsidRPr="00762298">
        <w:t>Main report</w:t>
      </w:r>
    </w:p>
    <w:p w14:paraId="48085DC9" w14:textId="5EF97B95" w:rsidR="008D5DBD" w:rsidRPr="00762298" w:rsidRDefault="00AD4ED8" w:rsidP="00DD4F03">
      <w:pPr>
        <w:pStyle w:val="H1G"/>
      </w:pPr>
      <w:r w:rsidRPr="00762298">
        <w:tab/>
      </w:r>
      <w:r w:rsidR="00DD4F03" w:rsidRPr="00762298">
        <w:t>A</w:t>
      </w:r>
      <w:r w:rsidRPr="00762298">
        <w:t>.</w:t>
      </w:r>
      <w:r w:rsidRPr="00762298">
        <w:tab/>
      </w:r>
      <w:r w:rsidR="008D5DBD" w:rsidRPr="00762298">
        <w:t xml:space="preserve">Introductory chapter: Road </w:t>
      </w:r>
      <w:r w:rsidR="00B20411" w:rsidRPr="00762298">
        <w:t xml:space="preserve">Safety Trends </w:t>
      </w:r>
      <w:r w:rsidR="008D5DBD" w:rsidRPr="00762298">
        <w:t xml:space="preserve">in the </w:t>
      </w:r>
      <w:r w:rsidR="00B20411" w:rsidRPr="00762298">
        <w:t>Country</w:t>
      </w:r>
      <w:r w:rsidR="008D5DBD" w:rsidRPr="00762298">
        <w:t xml:space="preserve"> and </w:t>
      </w:r>
      <w:r w:rsidR="00B20411" w:rsidRPr="00762298">
        <w:t>Key Characteristics</w:t>
      </w:r>
    </w:p>
    <w:p w14:paraId="0402D3FF" w14:textId="23998A50" w:rsidR="008D5DBD" w:rsidRPr="00762298" w:rsidRDefault="00AD4ED8" w:rsidP="00DD4F03">
      <w:pPr>
        <w:pStyle w:val="H1G"/>
      </w:pPr>
      <w:r w:rsidRPr="00762298">
        <w:tab/>
        <w:t>B.</w:t>
      </w:r>
      <w:r w:rsidRPr="00762298">
        <w:tab/>
      </w:r>
      <w:r w:rsidR="008D5DBD" w:rsidRPr="00762298">
        <w:t xml:space="preserve">Chapter 1: Road </w:t>
      </w:r>
      <w:r w:rsidR="00B20411" w:rsidRPr="00762298">
        <w:t>Safety Management Performance Assessment</w:t>
      </w:r>
    </w:p>
    <w:p w14:paraId="7B8B874B" w14:textId="77777777" w:rsidR="008D5DBD" w:rsidRPr="00762298" w:rsidRDefault="00057682" w:rsidP="00057682">
      <w:pPr>
        <w:pStyle w:val="SingleTxtG"/>
      </w:pPr>
      <w:r w:rsidRPr="00762298">
        <w:t>(a)</w:t>
      </w:r>
      <w:r w:rsidRPr="00762298">
        <w:tab/>
      </w:r>
      <w:r w:rsidR="008D5DBD" w:rsidRPr="00762298">
        <w:t>Management action</w:t>
      </w:r>
    </w:p>
    <w:p w14:paraId="32D24826" w14:textId="77777777" w:rsidR="008D5DBD" w:rsidRPr="00762298" w:rsidRDefault="008D5DBD" w:rsidP="002E5543">
      <w:pPr>
        <w:pStyle w:val="Bullet1G"/>
      </w:pPr>
      <w:r w:rsidRPr="00762298">
        <w:t>Strengths</w:t>
      </w:r>
    </w:p>
    <w:p w14:paraId="4826B60B" w14:textId="77777777" w:rsidR="008D5DBD" w:rsidRPr="00762298" w:rsidRDefault="008D5DBD" w:rsidP="002E5543">
      <w:pPr>
        <w:pStyle w:val="Bullet1G"/>
      </w:pPr>
      <w:r w:rsidRPr="00762298">
        <w:t>Weaknesses</w:t>
      </w:r>
    </w:p>
    <w:p w14:paraId="10228E7A" w14:textId="77777777" w:rsidR="008D5DBD" w:rsidRPr="00762298" w:rsidRDefault="008D5DBD" w:rsidP="002E5543">
      <w:pPr>
        <w:pStyle w:val="Bullet1G"/>
      </w:pPr>
      <w:r w:rsidRPr="00762298">
        <w:t>Missing elements</w:t>
      </w:r>
    </w:p>
    <w:p w14:paraId="18C0A6EE" w14:textId="77777777" w:rsidR="008D5DBD" w:rsidRPr="00762298" w:rsidRDefault="00057682" w:rsidP="00057682">
      <w:pPr>
        <w:pStyle w:val="SingleTxtG"/>
      </w:pPr>
      <w:r w:rsidRPr="00762298">
        <w:t>(b)</w:t>
      </w:r>
      <w:r w:rsidRPr="00762298">
        <w:tab/>
      </w:r>
      <w:r w:rsidR="008D5DBD" w:rsidRPr="00762298">
        <w:t>Monitoring action</w:t>
      </w:r>
    </w:p>
    <w:p w14:paraId="31D0AC50" w14:textId="77777777" w:rsidR="008D5DBD" w:rsidRPr="00762298" w:rsidRDefault="008D5DBD" w:rsidP="002E5543">
      <w:pPr>
        <w:pStyle w:val="Bullet1G"/>
      </w:pPr>
      <w:r w:rsidRPr="00762298">
        <w:t>Strengths</w:t>
      </w:r>
    </w:p>
    <w:p w14:paraId="2D6F4737" w14:textId="77777777" w:rsidR="008D5DBD" w:rsidRPr="00762298" w:rsidRDefault="008D5DBD" w:rsidP="002E5543">
      <w:pPr>
        <w:pStyle w:val="Bullet1G"/>
      </w:pPr>
      <w:r w:rsidRPr="00762298">
        <w:t>Weaknesses</w:t>
      </w:r>
    </w:p>
    <w:p w14:paraId="210BCDC4" w14:textId="77777777" w:rsidR="008D5DBD" w:rsidRPr="00762298" w:rsidRDefault="008D5DBD" w:rsidP="002E5543">
      <w:pPr>
        <w:pStyle w:val="Bullet1G"/>
      </w:pPr>
      <w:r w:rsidRPr="00762298">
        <w:t>Missing elements</w:t>
      </w:r>
    </w:p>
    <w:p w14:paraId="5CE1A84D" w14:textId="77777777" w:rsidR="008D5DBD" w:rsidRPr="00762298" w:rsidRDefault="00057682" w:rsidP="00057682">
      <w:pPr>
        <w:pStyle w:val="SingleTxtG"/>
      </w:pPr>
      <w:r w:rsidRPr="00762298">
        <w:t>(c)</w:t>
      </w:r>
      <w:r w:rsidRPr="00762298">
        <w:tab/>
      </w:r>
      <w:r w:rsidR="008D5DBD" w:rsidRPr="00762298">
        <w:t>Gaps assessment against GFPA, conclusions and recommendations</w:t>
      </w:r>
      <w:r w:rsidR="008D5DBD" w:rsidRPr="00762298" w:rsidDel="006610DC">
        <w:t xml:space="preserve"> </w:t>
      </w:r>
      <w:r w:rsidR="008D5DBD" w:rsidRPr="00762298">
        <w:t xml:space="preserve"> </w:t>
      </w:r>
    </w:p>
    <w:p w14:paraId="5802727B" w14:textId="47BB6ECA" w:rsidR="008D5DBD" w:rsidRPr="00762298" w:rsidRDefault="00AD4ED8" w:rsidP="00DD4F03">
      <w:pPr>
        <w:pStyle w:val="H1G"/>
      </w:pPr>
      <w:r w:rsidRPr="00762298">
        <w:tab/>
        <w:t>C.</w:t>
      </w:r>
      <w:r w:rsidRPr="00762298">
        <w:tab/>
      </w:r>
      <w:r w:rsidR="008D5DBD" w:rsidRPr="00762298">
        <w:t xml:space="preserve">Chapter 2: Safer </w:t>
      </w:r>
      <w:r w:rsidR="00B20411" w:rsidRPr="00762298">
        <w:t>Road User Performance Assessment</w:t>
      </w:r>
    </w:p>
    <w:p w14:paraId="70EEB0B9" w14:textId="77777777" w:rsidR="008D5DBD" w:rsidRPr="00762298" w:rsidRDefault="00057682" w:rsidP="00057682">
      <w:pPr>
        <w:pStyle w:val="SingleTxtG"/>
      </w:pPr>
      <w:r w:rsidRPr="00762298">
        <w:t>(a)</w:t>
      </w:r>
      <w:r w:rsidRPr="00762298">
        <w:tab/>
      </w:r>
      <w:r w:rsidR="008D5DBD" w:rsidRPr="00762298">
        <w:t xml:space="preserve">Legal framework on traffic rules for drivers of vehicles </w:t>
      </w:r>
    </w:p>
    <w:p w14:paraId="0FFE9375" w14:textId="77777777" w:rsidR="008D5DBD" w:rsidRPr="00762298" w:rsidRDefault="008D5DBD" w:rsidP="002E5543">
      <w:pPr>
        <w:pStyle w:val="Bullet1G"/>
      </w:pPr>
      <w:r w:rsidRPr="00762298">
        <w:t>Strengths</w:t>
      </w:r>
    </w:p>
    <w:p w14:paraId="346BB8DC" w14:textId="77777777" w:rsidR="008D5DBD" w:rsidRPr="00762298" w:rsidRDefault="008D5DBD" w:rsidP="002E5543">
      <w:pPr>
        <w:pStyle w:val="Bullet1G"/>
      </w:pPr>
      <w:r w:rsidRPr="00762298">
        <w:t>Weaknesses</w:t>
      </w:r>
    </w:p>
    <w:p w14:paraId="239FA318" w14:textId="77777777" w:rsidR="008D5DBD" w:rsidRPr="00762298" w:rsidRDefault="008D5DBD" w:rsidP="002E5543">
      <w:pPr>
        <w:pStyle w:val="Bullet1G"/>
      </w:pPr>
      <w:r w:rsidRPr="00762298">
        <w:t>Missing elements</w:t>
      </w:r>
    </w:p>
    <w:p w14:paraId="3E409B06" w14:textId="77777777" w:rsidR="008D5DBD" w:rsidRPr="00762298" w:rsidRDefault="00057682" w:rsidP="00057682">
      <w:pPr>
        <w:pStyle w:val="SingleTxtG"/>
      </w:pPr>
      <w:r w:rsidRPr="00762298">
        <w:t>(b)</w:t>
      </w:r>
      <w:r w:rsidRPr="00762298">
        <w:tab/>
      </w:r>
      <w:r w:rsidR="008D5DBD" w:rsidRPr="00762298">
        <w:t>Compliance and Enforcement by police and inspectors</w:t>
      </w:r>
    </w:p>
    <w:p w14:paraId="4F87FDB6" w14:textId="77777777" w:rsidR="008D5DBD" w:rsidRPr="00762298" w:rsidRDefault="008D5DBD" w:rsidP="002E5543">
      <w:pPr>
        <w:pStyle w:val="Bullet1G"/>
      </w:pPr>
      <w:r w:rsidRPr="00762298">
        <w:t>Strengths</w:t>
      </w:r>
    </w:p>
    <w:p w14:paraId="2F1D025D" w14:textId="77777777" w:rsidR="008D5DBD" w:rsidRPr="00762298" w:rsidRDefault="008D5DBD" w:rsidP="002E5543">
      <w:pPr>
        <w:pStyle w:val="Bullet1G"/>
      </w:pPr>
      <w:r w:rsidRPr="00762298">
        <w:t>Weaknesses</w:t>
      </w:r>
    </w:p>
    <w:p w14:paraId="06F07C0F" w14:textId="77777777" w:rsidR="008D5DBD" w:rsidRPr="00762298" w:rsidRDefault="008D5DBD" w:rsidP="002E5543">
      <w:pPr>
        <w:pStyle w:val="Bullet1G"/>
      </w:pPr>
      <w:r w:rsidRPr="00762298">
        <w:t>Missing elements</w:t>
      </w:r>
    </w:p>
    <w:p w14:paraId="52D40FDC" w14:textId="77777777" w:rsidR="008D5DBD" w:rsidRPr="00762298" w:rsidRDefault="00057682" w:rsidP="00057682">
      <w:pPr>
        <w:pStyle w:val="SingleTxtG"/>
      </w:pPr>
      <w:r w:rsidRPr="00762298">
        <w:t>(c)</w:t>
      </w:r>
      <w:r w:rsidRPr="00762298">
        <w:tab/>
      </w:r>
      <w:r w:rsidR="008D5DBD" w:rsidRPr="00762298">
        <w:t xml:space="preserve">Driver’s training and education of road users </w:t>
      </w:r>
    </w:p>
    <w:p w14:paraId="2C713E8B" w14:textId="77777777" w:rsidR="008D5DBD" w:rsidRPr="00762298" w:rsidRDefault="008D5DBD" w:rsidP="002E5543">
      <w:pPr>
        <w:pStyle w:val="Bullet1G"/>
      </w:pPr>
      <w:r w:rsidRPr="00762298">
        <w:t>Strengths</w:t>
      </w:r>
    </w:p>
    <w:p w14:paraId="0F792940" w14:textId="77777777" w:rsidR="008D5DBD" w:rsidRPr="00762298" w:rsidRDefault="008D5DBD" w:rsidP="002E5543">
      <w:pPr>
        <w:pStyle w:val="Bullet1G"/>
      </w:pPr>
      <w:r w:rsidRPr="00762298">
        <w:t>Weaknesses</w:t>
      </w:r>
    </w:p>
    <w:p w14:paraId="36302C0E" w14:textId="77777777" w:rsidR="008D5DBD" w:rsidRPr="00762298" w:rsidRDefault="008D5DBD" w:rsidP="002E5543">
      <w:pPr>
        <w:pStyle w:val="Bullet1G"/>
      </w:pPr>
      <w:r w:rsidRPr="00762298">
        <w:lastRenderedPageBreak/>
        <w:t>Missing elements</w:t>
      </w:r>
    </w:p>
    <w:p w14:paraId="7116EA94" w14:textId="77777777" w:rsidR="008D5DBD" w:rsidRPr="009A332E" w:rsidRDefault="00057682" w:rsidP="00057682">
      <w:pPr>
        <w:pStyle w:val="SingleTxtG"/>
      </w:pPr>
      <w:r w:rsidRPr="00762298">
        <w:t>(d)</w:t>
      </w:r>
      <w:r w:rsidRPr="00762298">
        <w:tab/>
      </w:r>
      <w:r w:rsidR="008D5DBD" w:rsidRPr="00762298">
        <w:t>Supportive technology enhancing and enforcing safe user behavio</w:t>
      </w:r>
      <w:r w:rsidR="006C5F94">
        <w:t>u</w:t>
      </w:r>
      <w:r w:rsidR="008D5DBD" w:rsidRPr="009A332E">
        <w:t xml:space="preserve">r </w:t>
      </w:r>
    </w:p>
    <w:p w14:paraId="17321346" w14:textId="77777777" w:rsidR="008D5DBD" w:rsidRPr="00762298" w:rsidRDefault="008D5DBD" w:rsidP="002E5543">
      <w:pPr>
        <w:pStyle w:val="Bullet1G"/>
      </w:pPr>
      <w:r w:rsidRPr="00762298">
        <w:t>Strengths</w:t>
      </w:r>
    </w:p>
    <w:p w14:paraId="771A204B" w14:textId="77777777" w:rsidR="008D5DBD" w:rsidRPr="00762298" w:rsidRDefault="008D5DBD" w:rsidP="002E5543">
      <w:pPr>
        <w:pStyle w:val="Bullet1G"/>
      </w:pPr>
      <w:r w:rsidRPr="00762298">
        <w:t>Weaknesses</w:t>
      </w:r>
    </w:p>
    <w:p w14:paraId="4055E278" w14:textId="77777777" w:rsidR="008D5DBD" w:rsidRPr="00762298" w:rsidRDefault="008D5DBD" w:rsidP="002E5543">
      <w:pPr>
        <w:pStyle w:val="Bullet1G"/>
      </w:pPr>
      <w:r w:rsidRPr="00762298">
        <w:t>Missing elements</w:t>
      </w:r>
    </w:p>
    <w:p w14:paraId="39DDEDEF" w14:textId="77777777" w:rsidR="008D5DBD" w:rsidRPr="00762298" w:rsidRDefault="00057682" w:rsidP="00057682">
      <w:pPr>
        <w:pStyle w:val="SingleTxtG"/>
      </w:pPr>
      <w:r w:rsidRPr="00762298">
        <w:t>(e)</w:t>
      </w:r>
      <w:r w:rsidRPr="00762298">
        <w:tab/>
      </w:r>
      <w:r w:rsidR="008D5DBD" w:rsidRPr="00762298">
        <w:t>International Regulatory Support</w:t>
      </w:r>
    </w:p>
    <w:p w14:paraId="11FDC996" w14:textId="77777777" w:rsidR="008D5DBD" w:rsidRPr="00762298" w:rsidRDefault="008D5DBD" w:rsidP="002E5543">
      <w:pPr>
        <w:pStyle w:val="Bullet1G"/>
      </w:pPr>
      <w:r w:rsidRPr="00762298">
        <w:t>Strengths</w:t>
      </w:r>
    </w:p>
    <w:p w14:paraId="502B3836" w14:textId="77777777" w:rsidR="008D5DBD" w:rsidRPr="00762298" w:rsidRDefault="008D5DBD" w:rsidP="002E5543">
      <w:pPr>
        <w:pStyle w:val="Bullet1G"/>
      </w:pPr>
      <w:r w:rsidRPr="00762298">
        <w:t>Weaknesses</w:t>
      </w:r>
    </w:p>
    <w:p w14:paraId="25185CB7" w14:textId="77777777" w:rsidR="008D5DBD" w:rsidRPr="00762298" w:rsidRDefault="008D5DBD" w:rsidP="002E5543">
      <w:pPr>
        <w:pStyle w:val="Bullet1G"/>
      </w:pPr>
      <w:r w:rsidRPr="00762298">
        <w:t>Missing elements</w:t>
      </w:r>
    </w:p>
    <w:p w14:paraId="32A99DF1" w14:textId="77777777" w:rsidR="008D5DBD" w:rsidRPr="00762298" w:rsidRDefault="00057682" w:rsidP="00FF523D">
      <w:pPr>
        <w:pStyle w:val="SingleTxtG"/>
      </w:pPr>
      <w:r w:rsidRPr="00762298">
        <w:t>(f)</w:t>
      </w:r>
      <w:r w:rsidRPr="00762298">
        <w:tab/>
      </w:r>
      <w:r w:rsidR="008D5DBD" w:rsidRPr="00762298">
        <w:t>Gaps assessment against GFPA, conclusions and recommendations</w:t>
      </w:r>
    </w:p>
    <w:p w14:paraId="301CE8A4" w14:textId="438BE401" w:rsidR="008D5DBD" w:rsidRPr="00762298" w:rsidRDefault="00AD4ED8" w:rsidP="00DD4F03">
      <w:pPr>
        <w:pStyle w:val="H1G"/>
      </w:pPr>
      <w:r w:rsidRPr="00762298">
        <w:tab/>
        <w:t>D.</w:t>
      </w:r>
      <w:r w:rsidRPr="00762298">
        <w:tab/>
      </w:r>
      <w:r w:rsidR="008D5DBD" w:rsidRPr="00762298">
        <w:t xml:space="preserve">Chapter 3: Safer </w:t>
      </w:r>
      <w:r w:rsidR="00B20411" w:rsidRPr="00762298">
        <w:t>Vehicles Performance Assessment</w:t>
      </w:r>
    </w:p>
    <w:p w14:paraId="601596FF" w14:textId="77777777" w:rsidR="008D5DBD" w:rsidRPr="00762298" w:rsidRDefault="00BA1DFD" w:rsidP="00FF523D">
      <w:pPr>
        <w:pStyle w:val="SingleTxtG"/>
      </w:pPr>
      <w:r w:rsidRPr="00762298">
        <w:t>(a)</w:t>
      </w:r>
      <w:r w:rsidRPr="00762298">
        <w:tab/>
      </w:r>
      <w:r w:rsidR="008D5DBD" w:rsidRPr="00762298">
        <w:t>Legal Framework: rules and standards for admission of vehicles to traffic</w:t>
      </w:r>
    </w:p>
    <w:p w14:paraId="374E900D" w14:textId="77777777" w:rsidR="008D5DBD" w:rsidRPr="00762298" w:rsidRDefault="008D5DBD" w:rsidP="002E5543">
      <w:pPr>
        <w:pStyle w:val="Bullet1G"/>
      </w:pPr>
      <w:r w:rsidRPr="00762298">
        <w:t>Strengths</w:t>
      </w:r>
    </w:p>
    <w:p w14:paraId="5BF90D46" w14:textId="77777777" w:rsidR="008D5DBD" w:rsidRPr="00762298" w:rsidRDefault="008D5DBD" w:rsidP="002E5543">
      <w:pPr>
        <w:pStyle w:val="Bullet1G"/>
      </w:pPr>
      <w:r w:rsidRPr="00762298">
        <w:t>Weaknesses</w:t>
      </w:r>
    </w:p>
    <w:p w14:paraId="7C7F2C5D" w14:textId="77777777" w:rsidR="008D5DBD" w:rsidRPr="00762298" w:rsidRDefault="008D5DBD" w:rsidP="002E5543">
      <w:pPr>
        <w:pStyle w:val="Bullet1G"/>
      </w:pPr>
      <w:r w:rsidRPr="00762298">
        <w:t>Missing elements</w:t>
      </w:r>
    </w:p>
    <w:p w14:paraId="35D5E83E" w14:textId="77777777" w:rsidR="008D5DBD" w:rsidRPr="00762298" w:rsidRDefault="00BA1DFD" w:rsidP="00FF523D">
      <w:pPr>
        <w:pStyle w:val="SingleTxtG"/>
      </w:pPr>
      <w:r w:rsidRPr="00762298">
        <w:t>(</w:t>
      </w:r>
      <w:r w:rsidR="00DE2CE4" w:rsidRPr="00762298">
        <w:t>b</w:t>
      </w:r>
      <w:r w:rsidRPr="00762298">
        <w:t>)</w:t>
      </w:r>
      <w:r w:rsidRPr="00762298">
        <w:tab/>
      </w:r>
      <w:r w:rsidR="008D5DBD" w:rsidRPr="00762298">
        <w:t xml:space="preserve">Enforcement: </w:t>
      </w:r>
    </w:p>
    <w:p w14:paraId="6A3B611F" w14:textId="77777777" w:rsidR="008D5DBD" w:rsidRPr="00762298" w:rsidRDefault="008D5DBD" w:rsidP="002E5543">
      <w:pPr>
        <w:pStyle w:val="Bullet1G"/>
      </w:pPr>
      <w:r w:rsidRPr="00762298">
        <w:t>Strengths</w:t>
      </w:r>
    </w:p>
    <w:p w14:paraId="0309D0DC" w14:textId="77777777" w:rsidR="008D5DBD" w:rsidRPr="00762298" w:rsidRDefault="008D5DBD" w:rsidP="002E5543">
      <w:pPr>
        <w:pStyle w:val="Bullet1G"/>
      </w:pPr>
      <w:r w:rsidRPr="00762298">
        <w:t>Weaknesses</w:t>
      </w:r>
    </w:p>
    <w:p w14:paraId="2A9E3F4C" w14:textId="77777777" w:rsidR="008D5DBD" w:rsidRPr="00762298" w:rsidRDefault="008D5DBD" w:rsidP="002E5543">
      <w:pPr>
        <w:pStyle w:val="Bullet1G"/>
      </w:pPr>
      <w:r w:rsidRPr="00762298">
        <w:t>Missing elements</w:t>
      </w:r>
    </w:p>
    <w:p w14:paraId="13EF0302" w14:textId="77777777" w:rsidR="008D5DBD" w:rsidRPr="00762298" w:rsidRDefault="00BA1DFD" w:rsidP="00FF523D">
      <w:pPr>
        <w:pStyle w:val="SingleTxtG"/>
      </w:pPr>
      <w:r w:rsidRPr="00762298">
        <w:t>(</w:t>
      </w:r>
      <w:r w:rsidR="00DE2CE4" w:rsidRPr="00762298">
        <w:t>c</w:t>
      </w:r>
      <w:r w:rsidRPr="00762298">
        <w:t>)</w:t>
      </w:r>
      <w:r w:rsidRPr="00762298">
        <w:tab/>
      </w:r>
      <w:r w:rsidR="008D5DBD" w:rsidRPr="00762298">
        <w:t>Education/training</w:t>
      </w:r>
    </w:p>
    <w:p w14:paraId="53531747" w14:textId="77777777" w:rsidR="008D5DBD" w:rsidRPr="00762298" w:rsidRDefault="008D5DBD" w:rsidP="002E5543">
      <w:pPr>
        <w:pStyle w:val="Bullet1G"/>
      </w:pPr>
      <w:r w:rsidRPr="00762298">
        <w:t>Strengths</w:t>
      </w:r>
    </w:p>
    <w:p w14:paraId="35B0D76F" w14:textId="77777777" w:rsidR="008D5DBD" w:rsidRPr="00762298" w:rsidRDefault="008D5DBD" w:rsidP="002E5543">
      <w:pPr>
        <w:pStyle w:val="Bullet1G"/>
      </w:pPr>
      <w:r w:rsidRPr="00762298">
        <w:t>Weaknesses</w:t>
      </w:r>
    </w:p>
    <w:p w14:paraId="5C459297" w14:textId="77777777" w:rsidR="008D5DBD" w:rsidRPr="00762298" w:rsidRDefault="008D5DBD" w:rsidP="002E5543">
      <w:pPr>
        <w:pStyle w:val="Bullet1G"/>
      </w:pPr>
      <w:r w:rsidRPr="00762298">
        <w:t>Missing elements</w:t>
      </w:r>
    </w:p>
    <w:p w14:paraId="74159FD1" w14:textId="77777777" w:rsidR="008D5DBD" w:rsidRPr="00762298" w:rsidRDefault="00BA1DFD" w:rsidP="00FF523D">
      <w:pPr>
        <w:pStyle w:val="SingleTxtG"/>
      </w:pPr>
      <w:r w:rsidRPr="00762298">
        <w:t>(</w:t>
      </w:r>
      <w:r w:rsidR="00DE2CE4" w:rsidRPr="00762298">
        <w:t>d</w:t>
      </w:r>
      <w:r w:rsidRPr="00762298">
        <w:t>)</w:t>
      </w:r>
      <w:r w:rsidRPr="00762298">
        <w:tab/>
      </w:r>
      <w:r w:rsidR="008D5DBD" w:rsidRPr="00762298">
        <w:t>Technology</w:t>
      </w:r>
    </w:p>
    <w:p w14:paraId="7CA10384" w14:textId="77777777" w:rsidR="008D5DBD" w:rsidRPr="00762298" w:rsidRDefault="008D5DBD" w:rsidP="002E5543">
      <w:pPr>
        <w:pStyle w:val="Bullet1G"/>
      </w:pPr>
      <w:r w:rsidRPr="00762298">
        <w:t>Strengths</w:t>
      </w:r>
    </w:p>
    <w:p w14:paraId="4810E30D" w14:textId="77777777" w:rsidR="008D5DBD" w:rsidRPr="00762298" w:rsidRDefault="008D5DBD" w:rsidP="002E5543">
      <w:pPr>
        <w:pStyle w:val="Bullet1G"/>
      </w:pPr>
      <w:r w:rsidRPr="00762298">
        <w:t>Weaknesses</w:t>
      </w:r>
    </w:p>
    <w:p w14:paraId="4AE34C8D" w14:textId="77777777" w:rsidR="008D5DBD" w:rsidRPr="00762298" w:rsidRDefault="008D5DBD" w:rsidP="002E5543">
      <w:pPr>
        <w:pStyle w:val="Bullet1G"/>
      </w:pPr>
      <w:r w:rsidRPr="00762298">
        <w:t>Missing elements</w:t>
      </w:r>
    </w:p>
    <w:p w14:paraId="0CFCAD78" w14:textId="77777777" w:rsidR="008D5DBD" w:rsidRPr="00762298" w:rsidRDefault="00BA1DFD" w:rsidP="00FF523D">
      <w:pPr>
        <w:pStyle w:val="SingleTxtG"/>
      </w:pPr>
      <w:r w:rsidRPr="00762298">
        <w:t>(</w:t>
      </w:r>
      <w:r w:rsidR="00DE2CE4" w:rsidRPr="00762298">
        <w:t>e</w:t>
      </w:r>
      <w:r w:rsidRPr="00762298">
        <w:t>)</w:t>
      </w:r>
      <w:r w:rsidRPr="00762298">
        <w:tab/>
      </w:r>
      <w:r w:rsidR="008D5DBD" w:rsidRPr="00762298">
        <w:t>International Regulatory Support</w:t>
      </w:r>
    </w:p>
    <w:p w14:paraId="54978BD1" w14:textId="77777777" w:rsidR="008D5DBD" w:rsidRPr="00762298" w:rsidRDefault="008D5DBD" w:rsidP="002E5543">
      <w:pPr>
        <w:pStyle w:val="Bullet1G"/>
      </w:pPr>
      <w:r w:rsidRPr="00762298">
        <w:t>Strengths</w:t>
      </w:r>
    </w:p>
    <w:p w14:paraId="54DBA5BE" w14:textId="77777777" w:rsidR="008D5DBD" w:rsidRPr="00762298" w:rsidRDefault="008D5DBD" w:rsidP="002E5543">
      <w:pPr>
        <w:pStyle w:val="Bullet1G"/>
      </w:pPr>
      <w:r w:rsidRPr="00762298">
        <w:t>Weaknesses</w:t>
      </w:r>
    </w:p>
    <w:p w14:paraId="09725B8B" w14:textId="77777777" w:rsidR="008D5DBD" w:rsidRPr="00762298" w:rsidRDefault="008D5DBD" w:rsidP="002E5543">
      <w:pPr>
        <w:pStyle w:val="Bullet1G"/>
      </w:pPr>
      <w:r w:rsidRPr="00762298">
        <w:t>Missing elements</w:t>
      </w:r>
    </w:p>
    <w:p w14:paraId="032E9E18" w14:textId="77777777" w:rsidR="008D5DBD" w:rsidRPr="00762298" w:rsidRDefault="00BA1DFD" w:rsidP="00A1306D">
      <w:pPr>
        <w:pStyle w:val="SingleTxtG"/>
      </w:pPr>
      <w:r w:rsidRPr="00762298">
        <w:t>(</w:t>
      </w:r>
      <w:r w:rsidR="00DE2CE4" w:rsidRPr="00762298">
        <w:t>f</w:t>
      </w:r>
      <w:r w:rsidRPr="00762298">
        <w:t>)</w:t>
      </w:r>
      <w:r w:rsidRPr="00762298">
        <w:tab/>
      </w:r>
      <w:r w:rsidR="008D5DBD" w:rsidRPr="00762298">
        <w:t>Gaps assessment against GFPA, conclusions and recommendations</w:t>
      </w:r>
    </w:p>
    <w:p w14:paraId="2E73B3D8" w14:textId="29D47862" w:rsidR="008D5DBD" w:rsidRPr="00762298" w:rsidRDefault="00AD4ED8" w:rsidP="00DD4F03">
      <w:pPr>
        <w:pStyle w:val="H1G"/>
      </w:pPr>
      <w:r w:rsidRPr="00762298">
        <w:tab/>
        <w:t>E.</w:t>
      </w:r>
      <w:r w:rsidRPr="00762298">
        <w:tab/>
      </w:r>
      <w:r w:rsidR="008D5DBD" w:rsidRPr="00762298">
        <w:t xml:space="preserve">Chapter 4: Safer </w:t>
      </w:r>
      <w:r w:rsidR="00B20411" w:rsidRPr="00762298">
        <w:t>Roads Performance Assessment</w:t>
      </w:r>
    </w:p>
    <w:p w14:paraId="27C736FF" w14:textId="77777777" w:rsidR="008D5DBD" w:rsidRPr="00762298" w:rsidRDefault="00BA1DFD" w:rsidP="00FF523D">
      <w:pPr>
        <w:pStyle w:val="SingleTxtG"/>
      </w:pPr>
      <w:r w:rsidRPr="00762298">
        <w:t>(</w:t>
      </w:r>
      <w:r w:rsidR="00DE2CE4" w:rsidRPr="00762298">
        <w:t>a</w:t>
      </w:r>
      <w:r w:rsidRPr="00762298">
        <w:t>)</w:t>
      </w:r>
      <w:r w:rsidRPr="00762298">
        <w:tab/>
      </w:r>
      <w:r w:rsidR="008D5DBD" w:rsidRPr="00762298">
        <w:t>Legal framework: Standards for design, construction, maintenance and signage of roads</w:t>
      </w:r>
      <w:r w:rsidR="008D5DBD" w:rsidRPr="00762298">
        <w:rPr>
          <w:color w:val="FF0000"/>
        </w:rPr>
        <w:t xml:space="preserve"> </w:t>
      </w:r>
    </w:p>
    <w:p w14:paraId="209590BB" w14:textId="77777777" w:rsidR="008D5DBD" w:rsidRPr="00762298" w:rsidRDefault="008D5DBD" w:rsidP="002E5543">
      <w:pPr>
        <w:pStyle w:val="Bullet1G"/>
      </w:pPr>
      <w:r w:rsidRPr="00762298">
        <w:t>Strengths</w:t>
      </w:r>
    </w:p>
    <w:p w14:paraId="24DE2356" w14:textId="77777777" w:rsidR="008D5DBD" w:rsidRPr="00762298" w:rsidRDefault="008D5DBD" w:rsidP="002E5543">
      <w:pPr>
        <w:pStyle w:val="Bullet1G"/>
      </w:pPr>
      <w:r w:rsidRPr="00762298">
        <w:t>Weaknesses</w:t>
      </w:r>
    </w:p>
    <w:p w14:paraId="78FE6611" w14:textId="77777777" w:rsidR="008D5DBD" w:rsidRPr="00762298" w:rsidRDefault="008D5DBD" w:rsidP="002E5543">
      <w:pPr>
        <w:pStyle w:val="Bullet1G"/>
      </w:pPr>
      <w:r w:rsidRPr="00762298">
        <w:t>Missing elements</w:t>
      </w:r>
    </w:p>
    <w:p w14:paraId="529E937C" w14:textId="77777777" w:rsidR="008D5DBD" w:rsidRPr="00762298" w:rsidRDefault="00BA1DFD" w:rsidP="00FF523D">
      <w:pPr>
        <w:pStyle w:val="SingleTxtG"/>
      </w:pPr>
      <w:r w:rsidRPr="00762298">
        <w:lastRenderedPageBreak/>
        <w:t>(</w:t>
      </w:r>
      <w:r w:rsidR="004B260B" w:rsidRPr="00762298">
        <w:t>b</w:t>
      </w:r>
      <w:r w:rsidRPr="00762298">
        <w:t>)</w:t>
      </w:r>
      <w:r w:rsidRPr="00762298">
        <w:tab/>
      </w:r>
      <w:r w:rsidR="008D5DBD" w:rsidRPr="00762298">
        <w:t>Enforcement</w:t>
      </w:r>
    </w:p>
    <w:p w14:paraId="288CD8E3" w14:textId="77777777" w:rsidR="008D5DBD" w:rsidRPr="00762298" w:rsidRDefault="008D5DBD" w:rsidP="002E5543">
      <w:pPr>
        <w:pStyle w:val="Bullet1G"/>
      </w:pPr>
      <w:r w:rsidRPr="00762298">
        <w:t>Strengths</w:t>
      </w:r>
    </w:p>
    <w:p w14:paraId="3E6931F7" w14:textId="77777777" w:rsidR="008D5DBD" w:rsidRPr="00762298" w:rsidRDefault="008D5DBD" w:rsidP="002E5543">
      <w:pPr>
        <w:pStyle w:val="Bullet1G"/>
      </w:pPr>
      <w:r w:rsidRPr="00762298">
        <w:t>Weaknesses</w:t>
      </w:r>
    </w:p>
    <w:p w14:paraId="64AE9EBB" w14:textId="77777777" w:rsidR="008D5DBD" w:rsidRPr="00762298" w:rsidRDefault="008D5DBD" w:rsidP="002E5543">
      <w:pPr>
        <w:pStyle w:val="Bullet1G"/>
      </w:pPr>
      <w:r w:rsidRPr="00762298">
        <w:t>Missing elements</w:t>
      </w:r>
    </w:p>
    <w:p w14:paraId="1A0C4926" w14:textId="77777777" w:rsidR="008D5DBD" w:rsidRPr="00762298" w:rsidRDefault="00BA1DFD" w:rsidP="00FF523D">
      <w:pPr>
        <w:pStyle w:val="SingleTxtG"/>
      </w:pPr>
      <w:r w:rsidRPr="00762298">
        <w:t>(</w:t>
      </w:r>
      <w:r w:rsidR="004B260B" w:rsidRPr="00762298">
        <w:t>c</w:t>
      </w:r>
      <w:r w:rsidRPr="00762298">
        <w:t>)</w:t>
      </w:r>
      <w:r w:rsidRPr="00762298">
        <w:tab/>
      </w:r>
      <w:r w:rsidR="008D5DBD" w:rsidRPr="00762298">
        <w:t>Education and training</w:t>
      </w:r>
    </w:p>
    <w:p w14:paraId="645EE8C8" w14:textId="77777777" w:rsidR="008D5DBD" w:rsidRPr="00762298" w:rsidRDefault="008D5DBD" w:rsidP="002E5543">
      <w:pPr>
        <w:pStyle w:val="Bullet1G"/>
      </w:pPr>
      <w:r w:rsidRPr="00762298">
        <w:t>Strengths</w:t>
      </w:r>
    </w:p>
    <w:p w14:paraId="2815206B" w14:textId="77777777" w:rsidR="008D5DBD" w:rsidRPr="00762298" w:rsidRDefault="008D5DBD" w:rsidP="002E5543">
      <w:pPr>
        <w:pStyle w:val="Bullet1G"/>
      </w:pPr>
      <w:r w:rsidRPr="00762298">
        <w:t>Weaknesses</w:t>
      </w:r>
    </w:p>
    <w:p w14:paraId="4D896197" w14:textId="77777777" w:rsidR="008D5DBD" w:rsidRPr="00762298" w:rsidRDefault="008D5DBD" w:rsidP="002E5543">
      <w:pPr>
        <w:pStyle w:val="Bullet1G"/>
      </w:pPr>
      <w:r w:rsidRPr="00762298">
        <w:t>Missing elements</w:t>
      </w:r>
    </w:p>
    <w:p w14:paraId="2A71CAF4" w14:textId="77777777" w:rsidR="008D5DBD" w:rsidRPr="00762298" w:rsidRDefault="00BA1DFD" w:rsidP="00FF523D">
      <w:pPr>
        <w:pStyle w:val="SingleTxtG"/>
      </w:pPr>
      <w:r w:rsidRPr="00762298">
        <w:t>(</w:t>
      </w:r>
      <w:r w:rsidR="004B260B" w:rsidRPr="00762298">
        <w:t>d</w:t>
      </w:r>
      <w:r w:rsidRPr="00762298">
        <w:t>)</w:t>
      </w:r>
      <w:r w:rsidRPr="00762298">
        <w:tab/>
      </w:r>
      <w:r w:rsidR="008D5DBD" w:rsidRPr="00762298">
        <w:t>Technology</w:t>
      </w:r>
    </w:p>
    <w:p w14:paraId="6A83B819" w14:textId="77777777" w:rsidR="008D5DBD" w:rsidRPr="00762298" w:rsidRDefault="008D5DBD" w:rsidP="002E5543">
      <w:pPr>
        <w:pStyle w:val="Bullet1G"/>
      </w:pPr>
      <w:r w:rsidRPr="00762298">
        <w:t>Strengths</w:t>
      </w:r>
    </w:p>
    <w:p w14:paraId="5A3A7F88" w14:textId="77777777" w:rsidR="008D5DBD" w:rsidRPr="00762298" w:rsidRDefault="008D5DBD" w:rsidP="002E5543">
      <w:pPr>
        <w:pStyle w:val="Bullet1G"/>
      </w:pPr>
      <w:r w:rsidRPr="00762298">
        <w:t>Weaknesses</w:t>
      </w:r>
    </w:p>
    <w:p w14:paraId="113B6631" w14:textId="77777777" w:rsidR="008D5DBD" w:rsidRPr="00762298" w:rsidRDefault="008D5DBD" w:rsidP="002E5543">
      <w:pPr>
        <w:pStyle w:val="Bullet1G"/>
      </w:pPr>
      <w:r w:rsidRPr="00762298">
        <w:t>Missing elements</w:t>
      </w:r>
    </w:p>
    <w:p w14:paraId="2ECC1ADA" w14:textId="77777777" w:rsidR="008D5DBD" w:rsidRPr="00762298" w:rsidRDefault="00BA1DFD" w:rsidP="00FF523D">
      <w:pPr>
        <w:pStyle w:val="SingleTxtG"/>
      </w:pPr>
      <w:r w:rsidRPr="00762298">
        <w:t>(</w:t>
      </w:r>
      <w:r w:rsidR="004B260B" w:rsidRPr="00762298">
        <w:t>e</w:t>
      </w:r>
      <w:r w:rsidRPr="00762298">
        <w:t>)</w:t>
      </w:r>
      <w:r w:rsidRPr="00762298">
        <w:tab/>
      </w:r>
      <w:r w:rsidR="008D5DBD" w:rsidRPr="00762298">
        <w:t>International Regulatory Support</w:t>
      </w:r>
    </w:p>
    <w:p w14:paraId="672EE7BF" w14:textId="77777777" w:rsidR="008D5DBD" w:rsidRPr="00762298" w:rsidRDefault="008D5DBD" w:rsidP="002E5543">
      <w:pPr>
        <w:pStyle w:val="Bullet1G"/>
      </w:pPr>
      <w:r w:rsidRPr="00762298">
        <w:t>Strengths</w:t>
      </w:r>
    </w:p>
    <w:p w14:paraId="0D7D8054" w14:textId="77777777" w:rsidR="008D5DBD" w:rsidRPr="00762298" w:rsidRDefault="008D5DBD" w:rsidP="002E5543">
      <w:pPr>
        <w:pStyle w:val="Bullet1G"/>
      </w:pPr>
      <w:r w:rsidRPr="00762298">
        <w:t>Weaknesses</w:t>
      </w:r>
    </w:p>
    <w:p w14:paraId="22B0C63F" w14:textId="77777777" w:rsidR="008D5DBD" w:rsidRPr="00762298" w:rsidRDefault="008D5DBD" w:rsidP="002E5543">
      <w:pPr>
        <w:pStyle w:val="Bullet1G"/>
      </w:pPr>
      <w:r w:rsidRPr="00762298">
        <w:t>Missing elements</w:t>
      </w:r>
    </w:p>
    <w:p w14:paraId="72B22D69" w14:textId="77777777" w:rsidR="008D5DBD" w:rsidRPr="00762298" w:rsidRDefault="00BA1DFD" w:rsidP="00FF523D">
      <w:pPr>
        <w:pStyle w:val="SingleTxtG"/>
      </w:pPr>
      <w:r w:rsidRPr="00762298">
        <w:t>(</w:t>
      </w:r>
      <w:r w:rsidR="004B260B" w:rsidRPr="00762298">
        <w:t>f</w:t>
      </w:r>
      <w:r w:rsidRPr="00762298">
        <w:t>)</w:t>
      </w:r>
      <w:r w:rsidRPr="00762298">
        <w:tab/>
      </w:r>
      <w:r w:rsidR="008D5DBD" w:rsidRPr="00762298">
        <w:t>Gaps assessment against GFPA, conclusions and recommendations</w:t>
      </w:r>
      <w:r w:rsidR="008D5DBD" w:rsidRPr="00762298" w:rsidDel="006610DC">
        <w:t xml:space="preserve"> </w:t>
      </w:r>
      <w:r w:rsidR="008D5DBD" w:rsidRPr="00762298">
        <w:t xml:space="preserve"> </w:t>
      </w:r>
    </w:p>
    <w:p w14:paraId="3884FCC5" w14:textId="3D0636CA" w:rsidR="008D5DBD" w:rsidRPr="00762298" w:rsidRDefault="00AD4ED8" w:rsidP="00DD4F03">
      <w:pPr>
        <w:pStyle w:val="H1G"/>
      </w:pPr>
      <w:r w:rsidRPr="00762298">
        <w:tab/>
        <w:t>F.</w:t>
      </w:r>
      <w:r w:rsidRPr="00762298">
        <w:tab/>
      </w:r>
      <w:r w:rsidR="008D5DBD" w:rsidRPr="00762298">
        <w:t xml:space="preserve">Chapter 5: Post-crash </w:t>
      </w:r>
      <w:r w:rsidR="00B20411" w:rsidRPr="00762298">
        <w:t>Care Performance Assessment</w:t>
      </w:r>
    </w:p>
    <w:p w14:paraId="60E1F37F" w14:textId="77777777" w:rsidR="008D5DBD" w:rsidRPr="00762298" w:rsidRDefault="00BA1DFD" w:rsidP="00FF523D">
      <w:pPr>
        <w:pStyle w:val="SingleTxtG"/>
      </w:pPr>
      <w:r w:rsidRPr="00762298">
        <w:t>(a)</w:t>
      </w:r>
      <w:r w:rsidRPr="00762298">
        <w:tab/>
      </w:r>
      <w:r w:rsidR="008D5DBD" w:rsidRPr="00762298">
        <w:t xml:space="preserve">Legal framework for post-crash response </w:t>
      </w:r>
    </w:p>
    <w:p w14:paraId="5747387C" w14:textId="77777777" w:rsidR="008D5DBD" w:rsidRPr="00762298" w:rsidRDefault="008D5DBD" w:rsidP="002E5543">
      <w:pPr>
        <w:pStyle w:val="Bullet1G"/>
      </w:pPr>
      <w:r w:rsidRPr="00762298">
        <w:t>Strengths</w:t>
      </w:r>
    </w:p>
    <w:p w14:paraId="624ED5B8" w14:textId="77777777" w:rsidR="008D5DBD" w:rsidRPr="00762298" w:rsidRDefault="008D5DBD" w:rsidP="002E5543">
      <w:pPr>
        <w:pStyle w:val="Bullet1G"/>
      </w:pPr>
      <w:r w:rsidRPr="00762298">
        <w:t>Weaknesses</w:t>
      </w:r>
    </w:p>
    <w:p w14:paraId="0569EA89" w14:textId="77777777" w:rsidR="008D5DBD" w:rsidRPr="00762298" w:rsidRDefault="008D5DBD" w:rsidP="002E5543">
      <w:pPr>
        <w:pStyle w:val="Bullet1G"/>
      </w:pPr>
      <w:r w:rsidRPr="00762298">
        <w:t>Missing elements</w:t>
      </w:r>
    </w:p>
    <w:p w14:paraId="4B573275" w14:textId="77777777" w:rsidR="008D5DBD" w:rsidRPr="00762298" w:rsidRDefault="00BA1DFD" w:rsidP="00FF523D">
      <w:pPr>
        <w:pStyle w:val="SingleTxtG"/>
      </w:pPr>
      <w:r w:rsidRPr="00762298">
        <w:t>(</w:t>
      </w:r>
      <w:r w:rsidR="009021A5" w:rsidRPr="00762298">
        <w:t>b</w:t>
      </w:r>
      <w:r w:rsidRPr="00762298">
        <w:t>)</w:t>
      </w:r>
      <w:r w:rsidRPr="00762298">
        <w:tab/>
      </w:r>
      <w:r w:rsidR="008D5DBD" w:rsidRPr="00762298">
        <w:t xml:space="preserve">Insurance framework </w:t>
      </w:r>
    </w:p>
    <w:p w14:paraId="6B377E2E" w14:textId="77777777" w:rsidR="008D5DBD" w:rsidRPr="00762298" w:rsidRDefault="008D5DBD" w:rsidP="002E5543">
      <w:pPr>
        <w:pStyle w:val="Bullet1G"/>
      </w:pPr>
      <w:r w:rsidRPr="00762298">
        <w:t>Strengths</w:t>
      </w:r>
    </w:p>
    <w:p w14:paraId="4AF09615" w14:textId="77777777" w:rsidR="008D5DBD" w:rsidRPr="00762298" w:rsidRDefault="008D5DBD" w:rsidP="002E5543">
      <w:pPr>
        <w:pStyle w:val="Bullet1G"/>
      </w:pPr>
      <w:r w:rsidRPr="00762298">
        <w:t>Weaknesses</w:t>
      </w:r>
    </w:p>
    <w:p w14:paraId="0ABA88B6" w14:textId="77777777" w:rsidR="008D5DBD" w:rsidRPr="00762298" w:rsidRDefault="008D5DBD" w:rsidP="002E5543">
      <w:pPr>
        <w:pStyle w:val="Bullet1G"/>
      </w:pPr>
      <w:r w:rsidRPr="00762298">
        <w:t>Missing elements</w:t>
      </w:r>
    </w:p>
    <w:p w14:paraId="311B62DE" w14:textId="77777777" w:rsidR="008D5DBD" w:rsidRPr="00762298" w:rsidRDefault="00BA1DFD" w:rsidP="00FF523D">
      <w:pPr>
        <w:pStyle w:val="SingleTxtG"/>
      </w:pPr>
      <w:r w:rsidRPr="00762298">
        <w:t>(</w:t>
      </w:r>
      <w:r w:rsidR="009021A5" w:rsidRPr="00762298">
        <w:t>c</w:t>
      </w:r>
      <w:r w:rsidRPr="00762298">
        <w:t>)</w:t>
      </w:r>
      <w:r w:rsidRPr="00762298">
        <w:tab/>
      </w:r>
      <w:r w:rsidR="008D5DBD" w:rsidRPr="00762298">
        <w:t>Enforcement and oversight of rescue services</w:t>
      </w:r>
    </w:p>
    <w:p w14:paraId="02ACB3B2" w14:textId="77777777" w:rsidR="008D5DBD" w:rsidRPr="00762298" w:rsidRDefault="008D5DBD" w:rsidP="002E5543">
      <w:pPr>
        <w:pStyle w:val="Bullet1G"/>
      </w:pPr>
      <w:r w:rsidRPr="00762298">
        <w:t>Strengths</w:t>
      </w:r>
    </w:p>
    <w:p w14:paraId="36766D5C" w14:textId="77777777" w:rsidR="008D5DBD" w:rsidRPr="00762298" w:rsidRDefault="008D5DBD" w:rsidP="002E5543">
      <w:pPr>
        <w:pStyle w:val="Bullet1G"/>
      </w:pPr>
      <w:r w:rsidRPr="00762298">
        <w:t>Weaknesses</w:t>
      </w:r>
    </w:p>
    <w:p w14:paraId="784E3704" w14:textId="77777777" w:rsidR="008D5DBD" w:rsidRPr="00762298" w:rsidRDefault="008D5DBD" w:rsidP="002E5543">
      <w:pPr>
        <w:pStyle w:val="Bullet1G"/>
      </w:pPr>
      <w:r w:rsidRPr="00762298">
        <w:t>Missing elements</w:t>
      </w:r>
    </w:p>
    <w:p w14:paraId="6BA18811" w14:textId="77777777" w:rsidR="008D5DBD" w:rsidRPr="00762298" w:rsidRDefault="00BA1DFD" w:rsidP="00FF523D">
      <w:pPr>
        <w:pStyle w:val="SingleTxtG"/>
      </w:pPr>
      <w:r w:rsidRPr="00762298">
        <w:t>(</w:t>
      </w:r>
      <w:r w:rsidR="009021A5" w:rsidRPr="00762298">
        <w:t>d</w:t>
      </w:r>
      <w:r w:rsidRPr="00762298">
        <w:t>)</w:t>
      </w:r>
      <w:r w:rsidRPr="00762298">
        <w:tab/>
      </w:r>
      <w:r w:rsidR="008D5DBD" w:rsidRPr="00762298">
        <w:t xml:space="preserve">Education and training </w:t>
      </w:r>
    </w:p>
    <w:p w14:paraId="2EEDD882" w14:textId="77777777" w:rsidR="008D5DBD" w:rsidRPr="00762298" w:rsidRDefault="008D5DBD" w:rsidP="002E5543">
      <w:pPr>
        <w:pStyle w:val="Bullet1G"/>
      </w:pPr>
      <w:r w:rsidRPr="00762298">
        <w:t>Strengths</w:t>
      </w:r>
    </w:p>
    <w:p w14:paraId="7597AF17" w14:textId="77777777" w:rsidR="008D5DBD" w:rsidRPr="00762298" w:rsidRDefault="008D5DBD" w:rsidP="002E5543">
      <w:pPr>
        <w:pStyle w:val="Bullet1G"/>
      </w:pPr>
      <w:r w:rsidRPr="00762298">
        <w:t>Weaknesses</w:t>
      </w:r>
    </w:p>
    <w:p w14:paraId="57250A94" w14:textId="77777777" w:rsidR="008D5DBD" w:rsidRPr="00762298" w:rsidRDefault="008D5DBD" w:rsidP="002E5543">
      <w:pPr>
        <w:pStyle w:val="Bullet1G"/>
      </w:pPr>
      <w:r w:rsidRPr="00762298">
        <w:t>Missing elements</w:t>
      </w:r>
    </w:p>
    <w:p w14:paraId="4313A81B" w14:textId="77777777" w:rsidR="008D5DBD" w:rsidRPr="00762298" w:rsidRDefault="00BA1DFD" w:rsidP="00FF523D">
      <w:pPr>
        <w:pStyle w:val="SingleTxtG"/>
      </w:pPr>
      <w:r w:rsidRPr="00762298">
        <w:t>(</w:t>
      </w:r>
      <w:r w:rsidR="009021A5" w:rsidRPr="00762298">
        <w:t>e</w:t>
      </w:r>
      <w:r w:rsidRPr="00762298">
        <w:t>)</w:t>
      </w:r>
      <w:r w:rsidRPr="00762298">
        <w:tab/>
      </w:r>
      <w:r w:rsidR="008D5DBD" w:rsidRPr="00762298">
        <w:t>Technology</w:t>
      </w:r>
    </w:p>
    <w:p w14:paraId="6424F391" w14:textId="77777777" w:rsidR="008D5DBD" w:rsidRPr="00762298" w:rsidRDefault="008D5DBD" w:rsidP="002E5543">
      <w:pPr>
        <w:pStyle w:val="Bullet1G"/>
      </w:pPr>
      <w:r w:rsidRPr="00762298">
        <w:t>Strengths</w:t>
      </w:r>
    </w:p>
    <w:p w14:paraId="78A0E0C2" w14:textId="77777777" w:rsidR="008D5DBD" w:rsidRPr="00762298" w:rsidRDefault="008D5DBD" w:rsidP="002E5543">
      <w:pPr>
        <w:pStyle w:val="Bullet1G"/>
      </w:pPr>
      <w:r w:rsidRPr="00762298">
        <w:t>Weaknesses</w:t>
      </w:r>
    </w:p>
    <w:p w14:paraId="4EDB5F92" w14:textId="77777777" w:rsidR="008D5DBD" w:rsidRPr="00762298" w:rsidRDefault="008D5DBD" w:rsidP="002E5543">
      <w:pPr>
        <w:pStyle w:val="Bullet1G"/>
      </w:pPr>
      <w:r w:rsidRPr="00762298">
        <w:t>Missing elements</w:t>
      </w:r>
    </w:p>
    <w:p w14:paraId="50EE4FDC" w14:textId="77777777" w:rsidR="008D5DBD" w:rsidRPr="00762298" w:rsidRDefault="00BA1DFD" w:rsidP="00FF523D">
      <w:pPr>
        <w:pStyle w:val="SingleTxtG"/>
      </w:pPr>
      <w:r w:rsidRPr="00762298">
        <w:lastRenderedPageBreak/>
        <w:t>(</w:t>
      </w:r>
      <w:r w:rsidR="009021A5" w:rsidRPr="00762298">
        <w:t>f</w:t>
      </w:r>
      <w:r w:rsidRPr="00762298">
        <w:t>)</w:t>
      </w:r>
      <w:r w:rsidRPr="00762298">
        <w:tab/>
      </w:r>
      <w:r w:rsidR="008D5DBD" w:rsidRPr="00762298">
        <w:t>International Regulatory Support</w:t>
      </w:r>
    </w:p>
    <w:p w14:paraId="617A935F" w14:textId="77777777" w:rsidR="008D5DBD" w:rsidRPr="00762298" w:rsidRDefault="008D5DBD" w:rsidP="002E5543">
      <w:pPr>
        <w:pStyle w:val="Bullet1G"/>
      </w:pPr>
      <w:r w:rsidRPr="00762298">
        <w:t>Strengths</w:t>
      </w:r>
    </w:p>
    <w:p w14:paraId="3674854B" w14:textId="77777777" w:rsidR="008D5DBD" w:rsidRPr="00762298" w:rsidRDefault="008D5DBD" w:rsidP="002E5543">
      <w:pPr>
        <w:pStyle w:val="Bullet1G"/>
      </w:pPr>
      <w:r w:rsidRPr="00762298">
        <w:t>Weaknesses</w:t>
      </w:r>
    </w:p>
    <w:p w14:paraId="2F2A69A9" w14:textId="77777777" w:rsidR="008D5DBD" w:rsidRPr="00762298" w:rsidRDefault="008D5DBD" w:rsidP="002E5543">
      <w:pPr>
        <w:pStyle w:val="Bullet1G"/>
      </w:pPr>
      <w:r w:rsidRPr="00762298">
        <w:t>Missing elements</w:t>
      </w:r>
    </w:p>
    <w:p w14:paraId="092442F4" w14:textId="77777777" w:rsidR="008D5DBD" w:rsidRPr="00762298" w:rsidRDefault="002F057A" w:rsidP="00FF523D">
      <w:pPr>
        <w:pStyle w:val="SingleTxtG"/>
      </w:pPr>
      <w:r w:rsidRPr="00762298">
        <w:t>(</w:t>
      </w:r>
      <w:r w:rsidR="009021A5" w:rsidRPr="00762298">
        <w:t>g</w:t>
      </w:r>
      <w:r w:rsidRPr="00762298">
        <w:t>)</w:t>
      </w:r>
      <w:r w:rsidRPr="00762298">
        <w:tab/>
      </w:r>
      <w:r w:rsidR="008D5DBD" w:rsidRPr="00762298">
        <w:t>Gaps assessment against GFPA, conclusions and recommendations</w:t>
      </w:r>
      <w:r w:rsidR="008D5DBD" w:rsidRPr="00762298" w:rsidDel="006610DC">
        <w:t xml:space="preserve"> </w:t>
      </w:r>
      <w:r w:rsidR="008D5DBD" w:rsidRPr="00762298">
        <w:t xml:space="preserve"> </w:t>
      </w:r>
    </w:p>
    <w:p w14:paraId="4F2933DA" w14:textId="77777777" w:rsidR="008D5DBD" w:rsidRPr="00762298" w:rsidRDefault="002F057A" w:rsidP="009021A5">
      <w:pPr>
        <w:pStyle w:val="H1G"/>
      </w:pPr>
      <w:r w:rsidRPr="00762298">
        <w:tab/>
      </w:r>
      <w:r w:rsidR="004B260B" w:rsidRPr="00762298">
        <w:t>G</w:t>
      </w:r>
      <w:r w:rsidRPr="00762298">
        <w:t>.</w:t>
      </w:r>
      <w:r w:rsidRPr="00762298">
        <w:tab/>
      </w:r>
      <w:r w:rsidR="008D5DBD" w:rsidRPr="00762298">
        <w:t>Chapter 6: Conclusions and Road Safety Action Plan</w:t>
      </w:r>
    </w:p>
    <w:p w14:paraId="7AB70849" w14:textId="77777777" w:rsidR="008D5DBD" w:rsidRPr="00762298" w:rsidRDefault="0070398F" w:rsidP="00862897">
      <w:pPr>
        <w:pStyle w:val="HChG"/>
      </w:pPr>
      <w:r w:rsidRPr="00762298">
        <w:tab/>
        <w:t>III.</w:t>
      </w:r>
      <w:r w:rsidRPr="00762298">
        <w:tab/>
      </w:r>
      <w:r w:rsidR="008D5DBD" w:rsidRPr="00762298">
        <w:t>Annexes</w:t>
      </w:r>
    </w:p>
    <w:p w14:paraId="5AC5CD68" w14:textId="77777777" w:rsidR="008D5DBD" w:rsidRPr="00762298" w:rsidRDefault="00A01B9E" w:rsidP="00D3713F">
      <w:pPr>
        <w:pStyle w:val="SingleTxtG"/>
      </w:pPr>
      <w:r w:rsidRPr="00762298">
        <w:rPr>
          <w:bCs/>
        </w:rPr>
        <w:tab/>
      </w:r>
      <w:r w:rsidR="008D5DBD" w:rsidRPr="00762298">
        <w:rPr>
          <w:b/>
          <w:bCs/>
        </w:rPr>
        <w:t xml:space="preserve">Annex I: </w:t>
      </w:r>
      <w:r w:rsidR="008D5DBD" w:rsidRPr="00762298">
        <w:t>Country snapshot and trends</w:t>
      </w:r>
    </w:p>
    <w:p w14:paraId="7165F668" w14:textId="77777777" w:rsidR="008D5DBD" w:rsidRPr="00762298" w:rsidRDefault="00A01B9E" w:rsidP="00D3713F">
      <w:pPr>
        <w:pStyle w:val="SingleTxtG"/>
      </w:pPr>
      <w:r w:rsidRPr="00762298">
        <w:rPr>
          <w:bCs/>
        </w:rPr>
        <w:tab/>
      </w:r>
      <w:r w:rsidR="008D5DBD" w:rsidRPr="00762298">
        <w:rPr>
          <w:b/>
          <w:bCs/>
        </w:rPr>
        <w:t>Annex II</w:t>
      </w:r>
      <w:r w:rsidR="008D5DBD" w:rsidRPr="00762298">
        <w:t xml:space="preserve">: Key National Road Safety Performance Indicators </w:t>
      </w:r>
    </w:p>
    <w:p w14:paraId="6FAAD5A3" w14:textId="77777777" w:rsidR="008D5DBD" w:rsidRPr="00762298" w:rsidRDefault="00A01B9E" w:rsidP="00D3713F">
      <w:pPr>
        <w:pStyle w:val="SingleTxtG"/>
      </w:pPr>
      <w:r w:rsidRPr="00762298">
        <w:rPr>
          <w:bCs/>
        </w:rPr>
        <w:tab/>
      </w:r>
      <w:r w:rsidR="008D5DBD" w:rsidRPr="00762298">
        <w:rPr>
          <w:b/>
          <w:bCs/>
        </w:rPr>
        <w:t>Annex III</w:t>
      </w:r>
      <w:r w:rsidR="008D5DBD" w:rsidRPr="00762298">
        <w:t>: List of relevant national road safety documents</w:t>
      </w:r>
    </w:p>
    <w:p w14:paraId="07D2B0C0" w14:textId="77777777" w:rsidR="00DB4C61" w:rsidRPr="009A332E" w:rsidRDefault="00A01B9E" w:rsidP="00D3713F">
      <w:pPr>
        <w:pStyle w:val="SingleTxtG"/>
      </w:pPr>
      <w:r w:rsidRPr="00762298">
        <w:rPr>
          <w:bCs/>
        </w:rPr>
        <w:tab/>
      </w:r>
      <w:r w:rsidR="008D5DBD" w:rsidRPr="00762298">
        <w:rPr>
          <w:b/>
          <w:bCs/>
        </w:rPr>
        <w:t>Annex IV</w:t>
      </w:r>
      <w:r w:rsidR="008D5DBD" w:rsidRPr="00762298">
        <w:t>: Assessment of road safety policy scenarios using</w:t>
      </w:r>
      <w:r w:rsidR="008D5DBD" w:rsidRPr="009A332E">
        <w:t xml:space="preserve"> </w:t>
      </w:r>
      <w:r w:rsidR="008D5DBD" w:rsidRPr="00A80C25">
        <w:t>SafeFITS</w:t>
      </w:r>
      <w:r w:rsidR="008D5DBD" w:rsidRPr="009A332E">
        <w:rPr>
          <w:rStyle w:val="FootnoteReference"/>
        </w:rPr>
        <w:footnoteReference w:id="3"/>
      </w:r>
    </w:p>
    <w:p w14:paraId="38D363D5" w14:textId="77777777" w:rsidR="00B42871" w:rsidRPr="00762298" w:rsidRDefault="00B42871" w:rsidP="00B42871">
      <w:pPr>
        <w:spacing w:before="240"/>
        <w:jc w:val="center"/>
        <w:rPr>
          <w:u w:val="single"/>
        </w:rPr>
      </w:pPr>
      <w:r w:rsidRPr="00762298">
        <w:rPr>
          <w:u w:val="single"/>
        </w:rPr>
        <w:tab/>
      </w:r>
      <w:r w:rsidRPr="00762298">
        <w:rPr>
          <w:u w:val="single"/>
        </w:rPr>
        <w:tab/>
      </w:r>
      <w:r w:rsidRPr="00762298">
        <w:rPr>
          <w:u w:val="single"/>
        </w:rPr>
        <w:tab/>
      </w:r>
    </w:p>
    <w:sectPr w:rsidR="00B42871" w:rsidRPr="00762298" w:rsidSect="008D5DBD">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5F1E" w14:textId="77777777" w:rsidR="00F71401" w:rsidRDefault="00F71401"/>
  </w:endnote>
  <w:endnote w:type="continuationSeparator" w:id="0">
    <w:p w14:paraId="32C82DB5" w14:textId="77777777" w:rsidR="00F71401" w:rsidRDefault="00F71401"/>
  </w:endnote>
  <w:endnote w:type="continuationNotice" w:id="1">
    <w:p w14:paraId="2381DD34" w14:textId="77777777" w:rsidR="00F71401" w:rsidRDefault="00F7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3946"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243C"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0EFC" w14:textId="77777777" w:rsidR="00F71401" w:rsidRPr="000B175B" w:rsidRDefault="00F71401" w:rsidP="000B175B">
      <w:pPr>
        <w:tabs>
          <w:tab w:val="right" w:pos="2155"/>
        </w:tabs>
        <w:spacing w:after="80"/>
        <w:ind w:left="680"/>
        <w:rPr>
          <w:u w:val="single"/>
        </w:rPr>
      </w:pPr>
      <w:r>
        <w:rPr>
          <w:u w:val="single"/>
        </w:rPr>
        <w:tab/>
      </w:r>
    </w:p>
  </w:footnote>
  <w:footnote w:type="continuationSeparator" w:id="0">
    <w:p w14:paraId="0D31C98A" w14:textId="77777777" w:rsidR="00F71401" w:rsidRPr="00FC68B7" w:rsidRDefault="00F71401" w:rsidP="00FC68B7">
      <w:pPr>
        <w:tabs>
          <w:tab w:val="left" w:pos="2155"/>
        </w:tabs>
        <w:spacing w:after="80"/>
        <w:ind w:left="680"/>
        <w:rPr>
          <w:u w:val="single"/>
        </w:rPr>
      </w:pPr>
      <w:r>
        <w:rPr>
          <w:u w:val="single"/>
        </w:rPr>
        <w:tab/>
      </w:r>
    </w:p>
  </w:footnote>
  <w:footnote w:type="continuationNotice" w:id="1">
    <w:p w14:paraId="010EEA5D" w14:textId="77777777" w:rsidR="00F71401" w:rsidRDefault="00F71401"/>
  </w:footnote>
  <w:footnote w:id="2">
    <w:p w14:paraId="599A03DA" w14:textId="44C05878" w:rsidR="008D5DBD" w:rsidRPr="008D5DBD" w:rsidRDefault="008D5DBD" w:rsidP="008D5DBD">
      <w:pPr>
        <w:pStyle w:val="FootnoteText"/>
        <w:rPr>
          <w:lang w:val="en-US"/>
        </w:rPr>
      </w:pPr>
      <w:r>
        <w:rPr>
          <w:rStyle w:val="FootnoteReference"/>
        </w:rPr>
        <w:tab/>
      </w:r>
      <w:r w:rsidRPr="008D5DBD">
        <w:rPr>
          <w:rStyle w:val="FootnoteReference"/>
          <w:sz w:val="20"/>
          <w:vertAlign w:val="baseline"/>
        </w:rPr>
        <w:t>*</w:t>
      </w:r>
      <w:r>
        <w:rPr>
          <w:rStyle w:val="FootnoteReference"/>
          <w:sz w:val="20"/>
          <w:vertAlign w:val="baseline"/>
        </w:rPr>
        <w:tab/>
      </w:r>
      <w:r w:rsidRPr="008D5DBD">
        <w:rPr>
          <w:sz w:val="20"/>
        </w:rPr>
        <w:t xml:space="preserve">aligned with/benchmarked against the Global Framework Plan of Action for Road Safety </w:t>
      </w:r>
      <w:r w:rsidR="008B57EF">
        <w:rPr>
          <w:sz w:val="20"/>
        </w:rPr>
        <w:t>–</w:t>
      </w:r>
      <w:r w:rsidRPr="008D5DBD">
        <w:rPr>
          <w:sz w:val="20"/>
        </w:rPr>
        <w:t xml:space="preserve"> GFPA</w:t>
      </w:r>
      <w:r w:rsidR="008B57EF">
        <w:rPr>
          <w:sz w:val="20"/>
        </w:rPr>
        <w:t>.</w:t>
      </w:r>
    </w:p>
  </w:footnote>
  <w:footnote w:id="3">
    <w:p w14:paraId="0492A9D3" w14:textId="220EDE12" w:rsidR="008D5DBD" w:rsidRDefault="00DC06F1" w:rsidP="00DC06F1">
      <w:pPr>
        <w:pStyle w:val="FootnoteText"/>
      </w:pPr>
      <w:r>
        <w:tab/>
      </w:r>
      <w:r w:rsidR="008D5DBD">
        <w:rPr>
          <w:rStyle w:val="FootnoteReference"/>
        </w:rPr>
        <w:footnoteRef/>
      </w:r>
      <w:r w:rsidR="008D5DBD">
        <w:t xml:space="preserve"> </w:t>
      </w:r>
      <w:r>
        <w:tab/>
      </w:r>
      <w:r w:rsidR="00A80C25">
        <w:t xml:space="preserve">Safe Future Inland Transport Systems (SafeFITS): </w:t>
      </w:r>
      <w:r w:rsidR="008D5DBD">
        <w:t xml:space="preserve">Analysis </w:t>
      </w:r>
      <w:r w:rsidR="008D5DBD" w:rsidRPr="00DC06F1">
        <w:t>supported</w:t>
      </w:r>
      <w:r w:rsidR="008D5DBD">
        <w:t xml:space="preserve"> by the SafeFITS application</w:t>
      </w:r>
      <w:r w:rsidR="008D5EE8">
        <w:t>,</w:t>
      </w:r>
      <w:r w:rsidR="008D5DBD">
        <w:t xml:space="preserve"> depending on availability of</w:t>
      </w:r>
      <w:r w:rsidR="008D5DBD" w:rsidRPr="00A252AB">
        <w:t xml:space="preserve"> </w:t>
      </w:r>
      <w:r w:rsidR="008D5DBD">
        <w:t>indicators</w:t>
      </w:r>
      <w:r w:rsidR="008D5E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8BBE" w14:textId="069CB649" w:rsidR="00954785" w:rsidRPr="00A80C25" w:rsidRDefault="005F0F19">
    <w:pPr>
      <w:pStyle w:val="Header"/>
      <w:rPr>
        <w:lang w:val="en-US"/>
      </w:rPr>
    </w:pPr>
    <w:fldSimple w:instr=" TITLE  \* MERGEFORMAT ">
      <w:r>
        <w:t>ECE/TRANS/2020/10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D906" w14:textId="2466AE29" w:rsidR="00954785" w:rsidRPr="00A80C25" w:rsidRDefault="005F0F19" w:rsidP="00954785">
    <w:pPr>
      <w:pStyle w:val="Header"/>
      <w:jc w:val="right"/>
      <w:rPr>
        <w:lang w:val="en-US"/>
      </w:rPr>
    </w:pPr>
    <w:fldSimple w:instr=" TITLE  \* MERGEFORMAT ">
      <w:r>
        <w:t>ECE/TRANS/2020/10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A0731F"/>
    <w:multiLevelType w:val="hybridMultilevel"/>
    <w:tmpl w:val="C4547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F5460"/>
    <w:multiLevelType w:val="hybridMultilevel"/>
    <w:tmpl w:val="3CE80316"/>
    <w:lvl w:ilvl="0" w:tplc="5BE62468">
      <w:start w:val="1"/>
      <w:numFmt w:val="bullet"/>
      <w:pStyle w:val="CEPDO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561D79"/>
    <w:multiLevelType w:val="hybridMultilevel"/>
    <w:tmpl w:val="DA9C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540038"/>
    <w:multiLevelType w:val="hybridMultilevel"/>
    <w:tmpl w:val="D750C068"/>
    <w:lvl w:ilvl="0" w:tplc="FE1AF65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36E93"/>
    <w:multiLevelType w:val="hybridMultilevel"/>
    <w:tmpl w:val="D750C068"/>
    <w:lvl w:ilvl="0" w:tplc="FE1AF65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76433B"/>
    <w:multiLevelType w:val="hybridMultilevel"/>
    <w:tmpl w:val="D24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E1D43BA4"/>
    <w:lvl w:ilvl="0" w:tplc="6E8A454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C4512"/>
    <w:multiLevelType w:val="hybridMultilevel"/>
    <w:tmpl w:val="26F0194C"/>
    <w:lvl w:ilvl="0" w:tplc="CDE8F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A62A8"/>
    <w:multiLevelType w:val="hybridMultilevel"/>
    <w:tmpl w:val="885A5B90"/>
    <w:lvl w:ilvl="0" w:tplc="A2623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B6B09"/>
    <w:multiLevelType w:val="hybridMultilevel"/>
    <w:tmpl w:val="D750C068"/>
    <w:lvl w:ilvl="0" w:tplc="FE1AF65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89536A"/>
    <w:multiLevelType w:val="hybridMultilevel"/>
    <w:tmpl w:val="D750C068"/>
    <w:lvl w:ilvl="0" w:tplc="FE1AF65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1D7CE1"/>
    <w:multiLevelType w:val="hybridMultilevel"/>
    <w:tmpl w:val="56AEA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7354D"/>
    <w:multiLevelType w:val="hybridMultilevel"/>
    <w:tmpl w:val="D750C068"/>
    <w:lvl w:ilvl="0" w:tplc="FE1AF654">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3"/>
  </w:num>
  <w:num w:numId="18">
    <w:abstractNumId w:val="29"/>
  </w:num>
  <w:num w:numId="19">
    <w:abstractNumId w:val="11"/>
  </w:num>
  <w:num w:numId="20">
    <w:abstractNumId w:val="12"/>
  </w:num>
  <w:num w:numId="21">
    <w:abstractNumId w:val="28"/>
  </w:num>
  <w:num w:numId="22">
    <w:abstractNumId w:val="25"/>
  </w:num>
  <w:num w:numId="23">
    <w:abstractNumId w:val="22"/>
  </w:num>
  <w:num w:numId="24">
    <w:abstractNumId w:val="13"/>
  </w:num>
  <w:num w:numId="25">
    <w:abstractNumId w:val="14"/>
  </w:num>
  <w:num w:numId="26">
    <w:abstractNumId w:val="27"/>
  </w:num>
  <w:num w:numId="27">
    <w:abstractNumId w:val="20"/>
  </w:num>
  <w:num w:numId="28">
    <w:abstractNumId w:val="30"/>
  </w:num>
  <w:num w:numId="29">
    <w:abstractNumId w:val="21"/>
  </w:num>
  <w:num w:numId="30">
    <w:abstractNumId w:val="26"/>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0497"/>
    <w:rsid w:val="000228CB"/>
    <w:rsid w:val="00027624"/>
    <w:rsid w:val="00050F6B"/>
    <w:rsid w:val="000543B0"/>
    <w:rsid w:val="00057682"/>
    <w:rsid w:val="000678CD"/>
    <w:rsid w:val="00072C8C"/>
    <w:rsid w:val="00081CE0"/>
    <w:rsid w:val="00084D30"/>
    <w:rsid w:val="00090320"/>
    <w:rsid w:val="000931C0"/>
    <w:rsid w:val="000A2E09"/>
    <w:rsid w:val="000B175B"/>
    <w:rsid w:val="000B3A0F"/>
    <w:rsid w:val="000C6CB8"/>
    <w:rsid w:val="000E0415"/>
    <w:rsid w:val="000F7715"/>
    <w:rsid w:val="00135C63"/>
    <w:rsid w:val="00156B99"/>
    <w:rsid w:val="00166124"/>
    <w:rsid w:val="00184DDA"/>
    <w:rsid w:val="00186E7C"/>
    <w:rsid w:val="001900CD"/>
    <w:rsid w:val="001A0452"/>
    <w:rsid w:val="001B4B04"/>
    <w:rsid w:val="001B5875"/>
    <w:rsid w:val="001C4B9C"/>
    <w:rsid w:val="001C6663"/>
    <w:rsid w:val="001C7895"/>
    <w:rsid w:val="001D26DF"/>
    <w:rsid w:val="001D2F6D"/>
    <w:rsid w:val="001F1599"/>
    <w:rsid w:val="001F19C4"/>
    <w:rsid w:val="002043F0"/>
    <w:rsid w:val="002112BA"/>
    <w:rsid w:val="00211E0B"/>
    <w:rsid w:val="00232575"/>
    <w:rsid w:val="00247258"/>
    <w:rsid w:val="00250503"/>
    <w:rsid w:val="00257CAC"/>
    <w:rsid w:val="0027237A"/>
    <w:rsid w:val="00290AB1"/>
    <w:rsid w:val="00294C44"/>
    <w:rsid w:val="002974E9"/>
    <w:rsid w:val="002A7F94"/>
    <w:rsid w:val="002B109A"/>
    <w:rsid w:val="002C6356"/>
    <w:rsid w:val="002C6D45"/>
    <w:rsid w:val="002D6E53"/>
    <w:rsid w:val="002E5543"/>
    <w:rsid w:val="002F046D"/>
    <w:rsid w:val="002F057A"/>
    <w:rsid w:val="002F3023"/>
    <w:rsid w:val="00301764"/>
    <w:rsid w:val="003229D8"/>
    <w:rsid w:val="00336C97"/>
    <w:rsid w:val="00337F88"/>
    <w:rsid w:val="00342432"/>
    <w:rsid w:val="0035223F"/>
    <w:rsid w:val="00352D4B"/>
    <w:rsid w:val="0035638C"/>
    <w:rsid w:val="003765B5"/>
    <w:rsid w:val="003970D4"/>
    <w:rsid w:val="003A46BB"/>
    <w:rsid w:val="003A4EC7"/>
    <w:rsid w:val="003A7295"/>
    <w:rsid w:val="003B1F60"/>
    <w:rsid w:val="003C2CC4"/>
    <w:rsid w:val="003C359D"/>
    <w:rsid w:val="003D38F4"/>
    <w:rsid w:val="003D4B23"/>
    <w:rsid w:val="003E278A"/>
    <w:rsid w:val="003F1B7B"/>
    <w:rsid w:val="00413520"/>
    <w:rsid w:val="004325CB"/>
    <w:rsid w:val="00440A07"/>
    <w:rsid w:val="00462880"/>
    <w:rsid w:val="00476F24"/>
    <w:rsid w:val="004923A8"/>
    <w:rsid w:val="004B260B"/>
    <w:rsid w:val="004C55B0"/>
    <w:rsid w:val="004D2C76"/>
    <w:rsid w:val="004E4D88"/>
    <w:rsid w:val="004F6BA0"/>
    <w:rsid w:val="00503BEA"/>
    <w:rsid w:val="00533616"/>
    <w:rsid w:val="00535ABA"/>
    <w:rsid w:val="0053768B"/>
    <w:rsid w:val="005420F2"/>
    <w:rsid w:val="0054285C"/>
    <w:rsid w:val="0056492B"/>
    <w:rsid w:val="00584173"/>
    <w:rsid w:val="00595520"/>
    <w:rsid w:val="005A2563"/>
    <w:rsid w:val="005A2B97"/>
    <w:rsid w:val="005A44B9"/>
    <w:rsid w:val="005B1BA0"/>
    <w:rsid w:val="005B3DB3"/>
    <w:rsid w:val="005D15CA"/>
    <w:rsid w:val="005F08DF"/>
    <w:rsid w:val="005F0F19"/>
    <w:rsid w:val="005F3066"/>
    <w:rsid w:val="005F3E61"/>
    <w:rsid w:val="006003FB"/>
    <w:rsid w:val="00604DDD"/>
    <w:rsid w:val="006115CC"/>
    <w:rsid w:val="00611FC4"/>
    <w:rsid w:val="006176FB"/>
    <w:rsid w:val="00620F69"/>
    <w:rsid w:val="00630FCB"/>
    <w:rsid w:val="00640B26"/>
    <w:rsid w:val="0065766B"/>
    <w:rsid w:val="006770B2"/>
    <w:rsid w:val="00686A48"/>
    <w:rsid w:val="006940E1"/>
    <w:rsid w:val="006A3C72"/>
    <w:rsid w:val="006A7392"/>
    <w:rsid w:val="006A745A"/>
    <w:rsid w:val="006B03A1"/>
    <w:rsid w:val="006B67D9"/>
    <w:rsid w:val="006C5535"/>
    <w:rsid w:val="006C5F94"/>
    <w:rsid w:val="006D0589"/>
    <w:rsid w:val="006E564B"/>
    <w:rsid w:val="006E7154"/>
    <w:rsid w:val="007003CD"/>
    <w:rsid w:val="0070398F"/>
    <w:rsid w:val="0070701E"/>
    <w:rsid w:val="0072632A"/>
    <w:rsid w:val="0073050E"/>
    <w:rsid w:val="007358E8"/>
    <w:rsid w:val="00736ECE"/>
    <w:rsid w:val="0074533B"/>
    <w:rsid w:val="007547EE"/>
    <w:rsid w:val="00762298"/>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62897"/>
    <w:rsid w:val="00866893"/>
    <w:rsid w:val="00866F02"/>
    <w:rsid w:val="00867D18"/>
    <w:rsid w:val="00871F9A"/>
    <w:rsid w:val="00871FD5"/>
    <w:rsid w:val="0088172E"/>
    <w:rsid w:val="00881EFA"/>
    <w:rsid w:val="008864A7"/>
    <w:rsid w:val="008879CB"/>
    <w:rsid w:val="008903EA"/>
    <w:rsid w:val="008979B1"/>
    <w:rsid w:val="008A3D35"/>
    <w:rsid w:val="008A6168"/>
    <w:rsid w:val="008A6B25"/>
    <w:rsid w:val="008A6C4F"/>
    <w:rsid w:val="008B389E"/>
    <w:rsid w:val="008B57EF"/>
    <w:rsid w:val="008C6230"/>
    <w:rsid w:val="008D045E"/>
    <w:rsid w:val="008D0710"/>
    <w:rsid w:val="008D3F25"/>
    <w:rsid w:val="008D4D82"/>
    <w:rsid w:val="008D5DBD"/>
    <w:rsid w:val="008D5EE8"/>
    <w:rsid w:val="008E0E46"/>
    <w:rsid w:val="008E7116"/>
    <w:rsid w:val="008F143B"/>
    <w:rsid w:val="008F3882"/>
    <w:rsid w:val="008F4B7C"/>
    <w:rsid w:val="0090180C"/>
    <w:rsid w:val="009021A5"/>
    <w:rsid w:val="00914B19"/>
    <w:rsid w:val="00926E47"/>
    <w:rsid w:val="00943748"/>
    <w:rsid w:val="00947162"/>
    <w:rsid w:val="00954785"/>
    <w:rsid w:val="009610D0"/>
    <w:rsid w:val="0096375C"/>
    <w:rsid w:val="009662E6"/>
    <w:rsid w:val="0097095E"/>
    <w:rsid w:val="00980A23"/>
    <w:rsid w:val="0098592B"/>
    <w:rsid w:val="00985FC4"/>
    <w:rsid w:val="00990766"/>
    <w:rsid w:val="00991261"/>
    <w:rsid w:val="009964C4"/>
    <w:rsid w:val="009A332E"/>
    <w:rsid w:val="009A7B81"/>
    <w:rsid w:val="009B1CEB"/>
    <w:rsid w:val="009D01C0"/>
    <w:rsid w:val="009D1712"/>
    <w:rsid w:val="009D6A08"/>
    <w:rsid w:val="009E0A16"/>
    <w:rsid w:val="009E4822"/>
    <w:rsid w:val="009E6CB7"/>
    <w:rsid w:val="009E7970"/>
    <w:rsid w:val="009F2EAC"/>
    <w:rsid w:val="009F57E3"/>
    <w:rsid w:val="00A01B9E"/>
    <w:rsid w:val="00A10F4F"/>
    <w:rsid w:val="00A11067"/>
    <w:rsid w:val="00A1306D"/>
    <w:rsid w:val="00A1704A"/>
    <w:rsid w:val="00A21B55"/>
    <w:rsid w:val="00A25C36"/>
    <w:rsid w:val="00A37933"/>
    <w:rsid w:val="00A425EB"/>
    <w:rsid w:val="00A72F22"/>
    <w:rsid w:val="00A733BC"/>
    <w:rsid w:val="00A748A6"/>
    <w:rsid w:val="00A76A69"/>
    <w:rsid w:val="00A80C25"/>
    <w:rsid w:val="00A879A4"/>
    <w:rsid w:val="00AA0FF8"/>
    <w:rsid w:val="00AC0F2C"/>
    <w:rsid w:val="00AC502A"/>
    <w:rsid w:val="00AD4ED8"/>
    <w:rsid w:val="00AF1494"/>
    <w:rsid w:val="00AF58C1"/>
    <w:rsid w:val="00B04A3F"/>
    <w:rsid w:val="00B06643"/>
    <w:rsid w:val="00B11EBE"/>
    <w:rsid w:val="00B15055"/>
    <w:rsid w:val="00B20411"/>
    <w:rsid w:val="00B20551"/>
    <w:rsid w:val="00B30179"/>
    <w:rsid w:val="00B33FC7"/>
    <w:rsid w:val="00B37B15"/>
    <w:rsid w:val="00B4254D"/>
    <w:rsid w:val="00B42871"/>
    <w:rsid w:val="00B45C02"/>
    <w:rsid w:val="00B57088"/>
    <w:rsid w:val="00B70B63"/>
    <w:rsid w:val="00B72A1E"/>
    <w:rsid w:val="00B81E12"/>
    <w:rsid w:val="00BA173E"/>
    <w:rsid w:val="00BA1DFD"/>
    <w:rsid w:val="00BA339B"/>
    <w:rsid w:val="00BB23CC"/>
    <w:rsid w:val="00BC196F"/>
    <w:rsid w:val="00BC1E7E"/>
    <w:rsid w:val="00BC74E9"/>
    <w:rsid w:val="00BE1115"/>
    <w:rsid w:val="00BE36A9"/>
    <w:rsid w:val="00BE618E"/>
    <w:rsid w:val="00BE7BEC"/>
    <w:rsid w:val="00BF0A5A"/>
    <w:rsid w:val="00BF0E63"/>
    <w:rsid w:val="00BF12A3"/>
    <w:rsid w:val="00BF16D7"/>
    <w:rsid w:val="00BF172D"/>
    <w:rsid w:val="00BF2373"/>
    <w:rsid w:val="00C044E2"/>
    <w:rsid w:val="00C048CB"/>
    <w:rsid w:val="00C066F3"/>
    <w:rsid w:val="00C12512"/>
    <w:rsid w:val="00C3146E"/>
    <w:rsid w:val="00C44464"/>
    <w:rsid w:val="00C463DD"/>
    <w:rsid w:val="00C745C3"/>
    <w:rsid w:val="00C978F5"/>
    <w:rsid w:val="00CA24A4"/>
    <w:rsid w:val="00CB0EAD"/>
    <w:rsid w:val="00CB348D"/>
    <w:rsid w:val="00CB42AE"/>
    <w:rsid w:val="00CD3488"/>
    <w:rsid w:val="00CD46F5"/>
    <w:rsid w:val="00CD498C"/>
    <w:rsid w:val="00CE4A8F"/>
    <w:rsid w:val="00CF071D"/>
    <w:rsid w:val="00CF331B"/>
    <w:rsid w:val="00D0123D"/>
    <w:rsid w:val="00D15B04"/>
    <w:rsid w:val="00D2031B"/>
    <w:rsid w:val="00D25FE2"/>
    <w:rsid w:val="00D3713F"/>
    <w:rsid w:val="00D37DA9"/>
    <w:rsid w:val="00D406A7"/>
    <w:rsid w:val="00D43252"/>
    <w:rsid w:val="00D44D86"/>
    <w:rsid w:val="00D50B7D"/>
    <w:rsid w:val="00D52012"/>
    <w:rsid w:val="00D704E5"/>
    <w:rsid w:val="00D72727"/>
    <w:rsid w:val="00D747F1"/>
    <w:rsid w:val="00D978C6"/>
    <w:rsid w:val="00DA0956"/>
    <w:rsid w:val="00DA357F"/>
    <w:rsid w:val="00DA3E12"/>
    <w:rsid w:val="00DB4C61"/>
    <w:rsid w:val="00DC06F1"/>
    <w:rsid w:val="00DC18AD"/>
    <w:rsid w:val="00DD4F03"/>
    <w:rsid w:val="00DE2CE4"/>
    <w:rsid w:val="00DF2414"/>
    <w:rsid w:val="00DF7CAE"/>
    <w:rsid w:val="00E11BD6"/>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849"/>
    <w:rsid w:val="00F21786"/>
    <w:rsid w:val="00F3742B"/>
    <w:rsid w:val="00F41FDB"/>
    <w:rsid w:val="00F56D63"/>
    <w:rsid w:val="00F609A9"/>
    <w:rsid w:val="00F71401"/>
    <w:rsid w:val="00F80C99"/>
    <w:rsid w:val="00F867EC"/>
    <w:rsid w:val="00F91B2B"/>
    <w:rsid w:val="00FC03CD"/>
    <w:rsid w:val="00FC0595"/>
    <w:rsid w:val="00FC0646"/>
    <w:rsid w:val="00FC68B7"/>
    <w:rsid w:val="00FD78EB"/>
    <w:rsid w:val="00FE6985"/>
    <w:rsid w:val="00FF02F5"/>
    <w:rsid w:val="00FF52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8B5DD"/>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A25C36"/>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customStyle="1" w:styleId="CEPDOCTXT">
    <w:name w:val="CEP DOC TXT"/>
    <w:basedOn w:val="Normal"/>
    <w:rsid w:val="00A25C36"/>
    <w:pPr>
      <w:suppressAutoHyphens w:val="0"/>
      <w:spacing w:line="240" w:lineRule="auto"/>
      <w:jc w:val="both"/>
    </w:pPr>
    <w:rPr>
      <w:sz w:val="22"/>
      <w:lang w:eastAsia="en-US"/>
    </w:rPr>
  </w:style>
  <w:style w:type="paragraph" w:customStyle="1" w:styleId="CEPDOCBULLETS">
    <w:name w:val="CEP DOC BULLETS"/>
    <w:basedOn w:val="Normal"/>
    <w:rsid w:val="00A25C36"/>
    <w:pPr>
      <w:numPr>
        <w:numId w:val="24"/>
      </w:numPr>
      <w:suppressAutoHyphens w:val="0"/>
      <w:spacing w:line="240" w:lineRule="auto"/>
    </w:pPr>
    <w:rPr>
      <w:sz w:val="22"/>
      <w:lang w:eastAsia="en-US"/>
    </w:rPr>
  </w:style>
  <w:style w:type="character" w:styleId="CommentReference">
    <w:name w:val="annotation reference"/>
    <w:basedOn w:val="DefaultParagraphFont"/>
    <w:semiHidden/>
    <w:unhideWhenUsed/>
    <w:rsid w:val="00762298"/>
    <w:rPr>
      <w:sz w:val="16"/>
      <w:szCs w:val="16"/>
    </w:rPr>
  </w:style>
  <w:style w:type="paragraph" w:styleId="CommentText">
    <w:name w:val="annotation text"/>
    <w:basedOn w:val="Normal"/>
    <w:link w:val="CommentTextChar"/>
    <w:semiHidden/>
    <w:unhideWhenUsed/>
    <w:rsid w:val="00762298"/>
    <w:pPr>
      <w:spacing w:line="240" w:lineRule="auto"/>
    </w:pPr>
  </w:style>
  <w:style w:type="character" w:customStyle="1" w:styleId="CommentTextChar">
    <w:name w:val="Comment Text Char"/>
    <w:basedOn w:val="DefaultParagraphFont"/>
    <w:link w:val="CommentText"/>
    <w:semiHidden/>
    <w:rsid w:val="00762298"/>
    <w:rPr>
      <w:lang w:val="en-GB"/>
    </w:rPr>
  </w:style>
  <w:style w:type="paragraph" w:styleId="CommentSubject">
    <w:name w:val="annotation subject"/>
    <w:basedOn w:val="CommentText"/>
    <w:next w:val="CommentText"/>
    <w:link w:val="CommentSubjectChar"/>
    <w:semiHidden/>
    <w:unhideWhenUsed/>
    <w:rsid w:val="00762298"/>
    <w:rPr>
      <w:b/>
      <w:bCs/>
    </w:rPr>
  </w:style>
  <w:style w:type="character" w:customStyle="1" w:styleId="CommentSubjectChar">
    <w:name w:val="Comment Subject Char"/>
    <w:basedOn w:val="CommentTextChar"/>
    <w:link w:val="CommentSubject"/>
    <w:semiHidden/>
    <w:rsid w:val="00762298"/>
    <w:rPr>
      <w:b/>
      <w:bCs/>
      <w:lang w:val="en-GB"/>
    </w:rPr>
  </w:style>
  <w:style w:type="character" w:styleId="Strong">
    <w:name w:val="Strong"/>
    <w:basedOn w:val="DefaultParagraphFont"/>
    <w:uiPriority w:val="22"/>
    <w:qFormat/>
    <w:rsid w:val="00762298"/>
    <w:rPr>
      <w:b/>
      <w:bCs/>
    </w:rPr>
  </w:style>
  <w:style w:type="character" w:customStyle="1" w:styleId="Heading3Char">
    <w:name w:val="Heading 3 Char"/>
    <w:basedOn w:val="DefaultParagraphFont"/>
    <w:link w:val="Heading3"/>
    <w:uiPriority w:val="9"/>
    <w:rsid w:val="00020497"/>
    <w:rPr>
      <w:lang w:val="en-GB"/>
    </w:rPr>
  </w:style>
  <w:style w:type="paragraph" w:styleId="NormalWeb">
    <w:name w:val="Normal (Web)"/>
    <w:basedOn w:val="Normal"/>
    <w:uiPriority w:val="99"/>
    <w:semiHidden/>
    <w:unhideWhenUsed/>
    <w:rsid w:val="00020497"/>
    <w:pPr>
      <w:suppressAutoHyphens w:val="0"/>
      <w:spacing w:before="100" w:beforeAutospacing="1" w:after="100" w:afterAutospacing="1" w:line="240" w:lineRule="auto"/>
    </w:pPr>
    <w:rPr>
      <w:sz w:val="24"/>
      <w:szCs w:val="24"/>
      <w:lang w:eastAsia="zh-CN"/>
    </w:rPr>
  </w:style>
  <w:style w:type="character" w:customStyle="1" w:styleId="style2">
    <w:name w:val="style2"/>
    <w:basedOn w:val="DefaultParagraphFont"/>
    <w:rsid w:val="00020497"/>
  </w:style>
  <w:style w:type="character" w:styleId="Emphasis">
    <w:name w:val="Emphasis"/>
    <w:basedOn w:val="DefaultParagraphFont"/>
    <w:uiPriority w:val="20"/>
    <w:qFormat/>
    <w:rsid w:val="00020497"/>
    <w:rPr>
      <w:i/>
      <w:iCs/>
    </w:rPr>
  </w:style>
  <w:style w:type="paragraph" w:customStyle="1" w:styleId="style13">
    <w:name w:val="style13"/>
    <w:basedOn w:val="Normal"/>
    <w:rsid w:val="00020497"/>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294C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6154">
      <w:bodyDiv w:val="1"/>
      <w:marLeft w:val="0"/>
      <w:marRight w:val="0"/>
      <w:marTop w:val="0"/>
      <w:marBottom w:val="0"/>
      <w:divBdr>
        <w:top w:val="none" w:sz="0" w:space="0" w:color="auto"/>
        <w:left w:val="none" w:sz="0" w:space="0" w:color="auto"/>
        <w:bottom w:val="none" w:sz="0" w:space="0" w:color="auto"/>
        <w:right w:val="none" w:sz="0" w:space="0" w:color="auto"/>
      </w:divBdr>
      <w:divsChild>
        <w:div w:id="78304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930346">
      <w:bodyDiv w:val="1"/>
      <w:marLeft w:val="0"/>
      <w:marRight w:val="0"/>
      <w:marTop w:val="0"/>
      <w:marBottom w:val="0"/>
      <w:divBdr>
        <w:top w:val="none" w:sz="0" w:space="0" w:color="auto"/>
        <w:left w:val="none" w:sz="0" w:space="0" w:color="auto"/>
        <w:bottom w:val="none" w:sz="0" w:space="0" w:color="auto"/>
        <w:right w:val="none" w:sz="0" w:space="0" w:color="auto"/>
      </w:divBdr>
    </w:div>
    <w:div w:id="331179489">
      <w:bodyDiv w:val="1"/>
      <w:marLeft w:val="0"/>
      <w:marRight w:val="0"/>
      <w:marTop w:val="0"/>
      <w:marBottom w:val="0"/>
      <w:divBdr>
        <w:top w:val="none" w:sz="0" w:space="0" w:color="auto"/>
        <w:left w:val="none" w:sz="0" w:space="0" w:color="auto"/>
        <w:bottom w:val="none" w:sz="0" w:space="0" w:color="auto"/>
        <w:right w:val="none" w:sz="0" w:space="0" w:color="auto"/>
      </w:divBdr>
    </w:div>
    <w:div w:id="336077640">
      <w:bodyDiv w:val="1"/>
      <w:marLeft w:val="0"/>
      <w:marRight w:val="0"/>
      <w:marTop w:val="0"/>
      <w:marBottom w:val="0"/>
      <w:divBdr>
        <w:top w:val="none" w:sz="0" w:space="0" w:color="auto"/>
        <w:left w:val="none" w:sz="0" w:space="0" w:color="auto"/>
        <w:bottom w:val="none" w:sz="0" w:space="0" w:color="auto"/>
        <w:right w:val="none" w:sz="0" w:space="0" w:color="auto"/>
      </w:divBdr>
      <w:divsChild>
        <w:div w:id="55890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8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03974">
      <w:bodyDiv w:val="1"/>
      <w:marLeft w:val="0"/>
      <w:marRight w:val="0"/>
      <w:marTop w:val="0"/>
      <w:marBottom w:val="0"/>
      <w:divBdr>
        <w:top w:val="none" w:sz="0" w:space="0" w:color="auto"/>
        <w:left w:val="none" w:sz="0" w:space="0" w:color="auto"/>
        <w:bottom w:val="none" w:sz="0" w:space="0" w:color="auto"/>
        <w:right w:val="none" w:sz="0" w:space="0" w:color="auto"/>
      </w:divBdr>
      <w:divsChild>
        <w:div w:id="39127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DA3A-2816-4E1A-89FC-953C4E62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21</TotalTime>
  <Pages>7</Pages>
  <Words>1567</Words>
  <Characters>9407</Characters>
  <Application>Microsoft Office Word</Application>
  <DocSecurity>0</DocSecurity>
  <Lines>254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ECE/TRANS/2020/9</vt:lpstr>
      <vt:lpstr/>
    </vt:vector>
  </TitlesOfParts>
  <Company>CSD</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ECE/TRANS/2020/10</dc:title>
  <dc:creator>Violet Yee</dc:creator>
  <cp:lastModifiedBy>Anastasia Barinova</cp:lastModifiedBy>
  <cp:revision>9</cp:revision>
  <cp:lastPrinted>2009-02-18T09:36:00Z</cp:lastPrinted>
  <dcterms:created xsi:type="dcterms:W3CDTF">2019-12-16T15:46:00Z</dcterms:created>
  <dcterms:modified xsi:type="dcterms:W3CDTF">2019-12-16T16:08:00Z</dcterms:modified>
</cp:coreProperties>
</file>