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45EAB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235B3E" w14:textId="77777777" w:rsidR="002D5AAC" w:rsidRDefault="002D5AAC" w:rsidP="00F148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7002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2B7C21" w14:textId="77777777" w:rsidR="002D5AAC" w:rsidRDefault="00F1488C" w:rsidP="00F1488C">
            <w:pPr>
              <w:jc w:val="right"/>
            </w:pPr>
            <w:r w:rsidRPr="00F1488C">
              <w:rPr>
                <w:sz w:val="40"/>
              </w:rPr>
              <w:t>ECE</w:t>
            </w:r>
            <w:r>
              <w:t>/TRANS/2020/4</w:t>
            </w:r>
          </w:p>
        </w:tc>
      </w:tr>
      <w:tr w:rsidR="002D5AAC" w:rsidRPr="004768F0" w14:paraId="58800C3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4A111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7DAFFE" wp14:editId="60D572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7EC2E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08C594" w14:textId="77777777" w:rsidR="002D5AAC" w:rsidRDefault="00F148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90A38C" w14:textId="77777777" w:rsidR="00F1488C" w:rsidRDefault="00F1488C" w:rsidP="00F148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14:paraId="0ADEF11A" w14:textId="77777777" w:rsidR="00F1488C" w:rsidRDefault="00F1488C" w:rsidP="00F148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D4319D" w14:textId="77777777" w:rsidR="00F1488C" w:rsidRPr="008D53B6" w:rsidRDefault="00F1488C" w:rsidP="00F148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362161D" w14:textId="77777777" w:rsidR="00F1488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F738D8" w14:textId="77777777" w:rsidR="00F1488C" w:rsidRPr="00F1488C" w:rsidRDefault="00F1488C" w:rsidP="00F1488C">
      <w:pPr>
        <w:spacing w:before="120"/>
        <w:rPr>
          <w:sz w:val="28"/>
          <w:szCs w:val="28"/>
        </w:rPr>
      </w:pPr>
      <w:r w:rsidRPr="00F1488C">
        <w:rPr>
          <w:sz w:val="28"/>
          <w:szCs w:val="28"/>
        </w:rPr>
        <w:t>Комитет по внутреннему транспорту</w:t>
      </w:r>
    </w:p>
    <w:p w14:paraId="3B4C75EF" w14:textId="77777777" w:rsidR="00F1488C" w:rsidRPr="003E0A7A" w:rsidRDefault="00F1488C" w:rsidP="00F1488C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7F5525E4" w14:textId="77777777" w:rsidR="00F1488C" w:rsidRDefault="00F1488C" w:rsidP="00F1488C">
      <w:r>
        <w:t>Женевa, 25–28 февраля 2020 года</w:t>
      </w:r>
    </w:p>
    <w:p w14:paraId="009B9464" w14:textId="77777777" w:rsidR="00F1488C" w:rsidRDefault="00F1488C" w:rsidP="00F1488C">
      <w:r>
        <w:t xml:space="preserve">Пункт 4 d) предварительной повестки дня </w:t>
      </w:r>
    </w:p>
    <w:p w14:paraId="6B987DD8" w14:textId="77777777" w:rsidR="00F1488C" w:rsidRPr="000C19EA" w:rsidRDefault="00F1488C" w:rsidP="00F1488C">
      <w:pPr>
        <w:rPr>
          <w:b/>
          <w:bCs/>
        </w:rPr>
      </w:pPr>
      <w:r w:rsidRPr="000C19EA">
        <w:rPr>
          <w:b/>
          <w:bCs/>
        </w:rPr>
        <w:t xml:space="preserve">Стратегические вопросы горизонтальной политики </w:t>
      </w:r>
      <w:r w:rsidR="00EC595B">
        <w:rPr>
          <w:b/>
          <w:bCs/>
        </w:rPr>
        <w:br/>
      </w:r>
      <w:r w:rsidRPr="000C19EA">
        <w:rPr>
          <w:b/>
          <w:bCs/>
        </w:rPr>
        <w:t xml:space="preserve">или нормативного характера: интеллектуальные </w:t>
      </w:r>
      <w:r w:rsidR="00EC595B">
        <w:rPr>
          <w:b/>
          <w:bCs/>
        </w:rPr>
        <w:br/>
      </w:r>
      <w:r w:rsidRPr="000C19EA">
        <w:rPr>
          <w:b/>
          <w:bCs/>
        </w:rPr>
        <w:t>транспортные системы</w:t>
      </w:r>
    </w:p>
    <w:p w14:paraId="5420A62E" w14:textId="77777777" w:rsidR="00F1488C" w:rsidRPr="003E0A7A" w:rsidRDefault="00F1488C" w:rsidP="00F1488C">
      <w:pPr>
        <w:pStyle w:val="HChG"/>
      </w:pPr>
      <w:r>
        <w:tab/>
      </w:r>
      <w:r>
        <w:tab/>
      </w:r>
      <w:r>
        <w:rPr>
          <w:bCs/>
        </w:rPr>
        <w:t xml:space="preserve">Ход осуществления </w:t>
      </w:r>
      <w:r w:rsidR="00EC595B">
        <w:rPr>
          <w:bCs/>
        </w:rPr>
        <w:t>«</w:t>
      </w:r>
      <w:r>
        <w:rPr>
          <w:bCs/>
        </w:rPr>
        <w:t>дорожной карты</w:t>
      </w:r>
      <w:r w:rsidR="00EC595B">
        <w:rPr>
          <w:bCs/>
        </w:rPr>
        <w:t>»</w:t>
      </w:r>
      <w:r>
        <w:rPr>
          <w:bCs/>
        </w:rPr>
        <w:t xml:space="preserve"> по</w:t>
      </w:r>
      <w:r w:rsidR="00EC595B">
        <w:rPr>
          <w:bCs/>
          <w:lang w:val="en-US"/>
        </w:rPr>
        <w:t> </w:t>
      </w:r>
      <w:r>
        <w:rPr>
          <w:bCs/>
        </w:rPr>
        <w:t>интеллектуальным транспортным системам</w:t>
      </w:r>
    </w:p>
    <w:p w14:paraId="03940882" w14:textId="77777777" w:rsidR="00F1488C" w:rsidRPr="002D4AB4" w:rsidRDefault="00F1488C" w:rsidP="00F1488C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EC595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F1488C" w:rsidRPr="002D4AB4" w14:paraId="4DAF2A7C" w14:textId="77777777" w:rsidTr="003D66CC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715E0" w14:textId="77777777" w:rsidR="00F1488C" w:rsidRPr="00EC595B" w:rsidRDefault="00F1488C" w:rsidP="003D66CC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EC595B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F1488C" w:rsidRPr="000C19EA" w14:paraId="4771DAE3" w14:textId="77777777" w:rsidTr="003D66C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DB767" w14:textId="77777777" w:rsidR="00F1488C" w:rsidRPr="003E0A7A" w:rsidRDefault="00F1488C" w:rsidP="003D66CC">
            <w:pPr>
              <w:pStyle w:val="SingleTxtG"/>
            </w:pPr>
            <w:r>
              <w:tab/>
            </w:r>
            <w:r>
              <w:tab/>
              <w:t xml:space="preserve">В настоящем документе содержится обзор мероприятий по стимулированию развития инновационных технологий, влияющих на работу по осуществлению </w:t>
            </w:r>
            <w:r w:rsidR="00EC595B">
              <w:t>«</w:t>
            </w:r>
            <w:r>
              <w:t>дорожной карты</w:t>
            </w:r>
            <w:r w:rsidR="00EC595B">
              <w:t>»</w:t>
            </w:r>
            <w:r>
              <w:t xml:space="preserve"> на 2012</w:t>
            </w:r>
            <w:r w:rsidR="00EC595B" w:rsidRPr="004768F0">
              <w:t>–</w:t>
            </w:r>
            <w:r>
              <w:t>2020 годы по интеллектуальным транспортным системам (ИТС), начало которой было положено на семьдесят четвертой сессии Комитета по внутреннему транспорту (КВТ).</w:t>
            </w:r>
          </w:p>
        </w:tc>
      </w:tr>
      <w:tr w:rsidR="00F1488C" w:rsidRPr="000C19EA" w14:paraId="3A5B49AD" w14:textId="77777777" w:rsidTr="003D66C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0297" w14:textId="77777777" w:rsidR="00F1488C" w:rsidRPr="000C19EA" w:rsidRDefault="00F1488C" w:rsidP="003D66CC">
            <w:pPr>
              <w:pStyle w:val="SingleTxtG"/>
            </w:pPr>
            <w:r>
              <w:tab/>
            </w:r>
            <w:r>
              <w:tab/>
              <w:t xml:space="preserve">Комитету предлагается </w:t>
            </w:r>
            <w:r w:rsidRPr="000C19EA">
              <w:rPr>
                <w:b/>
                <w:bCs/>
              </w:rPr>
              <w:t>стимулировать</w:t>
            </w:r>
            <w:r>
              <w:t xml:space="preserve"> продвижение мероприятий по внедрению в практику ИТС в увязке со всеми видами транспорта.</w:t>
            </w:r>
          </w:p>
        </w:tc>
      </w:tr>
      <w:tr w:rsidR="00F1488C" w:rsidRPr="000C19EA" w14:paraId="652D07E3" w14:textId="77777777" w:rsidTr="003D66C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63E33" w14:textId="77777777" w:rsidR="00F1488C" w:rsidRPr="003E0A7A" w:rsidRDefault="00F1488C" w:rsidP="003D66CC">
            <w:pPr>
              <w:pStyle w:val="SingleTxtG"/>
            </w:pPr>
            <w:r>
              <w:tab/>
            </w:r>
            <w:r>
              <w:tab/>
              <w:t xml:space="preserve">Комитету </w:t>
            </w:r>
            <w:r w:rsidRPr="000C19EA">
              <w:rPr>
                <w:b/>
                <w:bCs/>
              </w:rPr>
              <w:t>предлагается продолжить рассмотрение</w:t>
            </w:r>
            <w:r>
              <w:t xml:space="preserve"> статуса ИТС в своей работе за рамками нынешней </w:t>
            </w:r>
            <w:r w:rsidR="00EC595B">
              <w:t>«</w:t>
            </w:r>
            <w:r>
              <w:t>дорожной карты</w:t>
            </w:r>
            <w:r w:rsidR="00EC595B">
              <w:t>»</w:t>
            </w:r>
            <w:r>
              <w:t xml:space="preserve"> ИТС, срок действия которой истекает в 2020 году. </w:t>
            </w:r>
          </w:p>
        </w:tc>
      </w:tr>
      <w:tr w:rsidR="00F1488C" w:rsidRPr="000C19EA" w14:paraId="5975D18A" w14:textId="77777777" w:rsidTr="003D66C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75BF" w14:textId="77777777" w:rsidR="00F1488C" w:rsidRPr="000C19EA" w:rsidRDefault="00F1488C" w:rsidP="003D66CC">
            <w:pPr>
              <w:pStyle w:val="SingleTxtG"/>
            </w:pPr>
            <w:r>
              <w:tab/>
            </w:r>
            <w:r>
              <w:tab/>
              <w:t xml:space="preserve">В свете глобальных мегатенденций, технического прогресса и дальнейшего преобразования Комитета и его рабочих групп Комитет, возможно, пожелает </w:t>
            </w:r>
            <w:r w:rsidRPr="000C19EA">
              <w:rPr>
                <w:b/>
                <w:bCs/>
              </w:rPr>
              <w:t>поручить секретариату подготовить обновленную</w:t>
            </w:r>
            <w:r>
              <w:t xml:space="preserve"> </w:t>
            </w:r>
            <w:r w:rsidR="00EC595B">
              <w:t>«</w:t>
            </w:r>
            <w:r>
              <w:t>дорожную карту</w:t>
            </w:r>
            <w:r w:rsidR="00EC595B">
              <w:t>»</w:t>
            </w:r>
            <w:r>
              <w:t xml:space="preserve"> ИТС в тесной консультации с соответствующими рабочими группами для ее рассмотрения на его восемьдесят третьей сессии.</w:t>
            </w:r>
          </w:p>
        </w:tc>
      </w:tr>
      <w:tr w:rsidR="00F1488C" w:rsidRPr="000C19EA" w14:paraId="191E3BC9" w14:textId="77777777" w:rsidTr="003D66C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AF8" w14:textId="77777777" w:rsidR="00F1488C" w:rsidRPr="000C19EA" w:rsidRDefault="00F1488C" w:rsidP="003D66CC"/>
        </w:tc>
      </w:tr>
    </w:tbl>
    <w:p w14:paraId="37E850A2" w14:textId="77777777" w:rsidR="00F1488C" w:rsidRPr="000C19EA" w:rsidRDefault="00F1488C" w:rsidP="00F1488C">
      <w:pPr>
        <w:suppressAutoHyphens w:val="0"/>
        <w:spacing w:line="240" w:lineRule="auto"/>
        <w:rPr>
          <w:b/>
          <w:sz w:val="28"/>
        </w:rPr>
      </w:pPr>
      <w:r w:rsidRPr="000C19EA">
        <w:br w:type="page"/>
      </w:r>
    </w:p>
    <w:p w14:paraId="666A1CAF" w14:textId="77777777" w:rsidR="00F1488C" w:rsidRPr="003E0A7A" w:rsidRDefault="00F1488C" w:rsidP="00F1488C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Справочная информация</w:t>
      </w:r>
    </w:p>
    <w:p w14:paraId="0FDB4A82" w14:textId="77777777" w:rsidR="00F1488C" w:rsidRPr="003E0A7A" w:rsidRDefault="00F1488C" w:rsidP="00F1488C">
      <w:pPr>
        <w:pStyle w:val="SingleTxtG"/>
      </w:pPr>
      <w:r>
        <w:t>1.</w:t>
      </w:r>
      <w:r>
        <w:tab/>
        <w:t xml:space="preserve">В настоящей записке изложены мероприятия и инициативы по стимулированию применения инновационных технологий в целях осуществления </w:t>
      </w:r>
      <w:r w:rsidR="00EC595B">
        <w:t>«</w:t>
      </w:r>
      <w:r>
        <w:t>дорожной карты</w:t>
      </w:r>
      <w:r w:rsidR="00EC595B">
        <w:t>»</w:t>
      </w:r>
      <w:r>
        <w:t xml:space="preserve"> ЕЭК по ИТС. В приложении представлено краткое описание 20 направлений деятельности, предусмотренных </w:t>
      </w:r>
      <w:r w:rsidR="00EC595B">
        <w:t>«</w:t>
      </w:r>
      <w:r>
        <w:t>дорожной картой</w:t>
      </w:r>
      <w:r w:rsidR="00EC595B">
        <w:t>»</w:t>
      </w:r>
      <w:r>
        <w:t>.</w:t>
      </w:r>
    </w:p>
    <w:p w14:paraId="6AC6040A" w14:textId="77777777" w:rsidR="00F1488C" w:rsidRPr="003E0A7A" w:rsidRDefault="00F1488C" w:rsidP="00F1488C">
      <w:pPr>
        <w:pStyle w:val="HChG"/>
      </w:pPr>
      <w:r>
        <w:tab/>
        <w:t>II.</w:t>
      </w:r>
      <w:r>
        <w:tab/>
      </w:r>
      <w:r>
        <w:rPr>
          <w:bCs/>
        </w:rPr>
        <w:t>Деятельность в 2019 году</w:t>
      </w:r>
    </w:p>
    <w:p w14:paraId="4995D0EB" w14:textId="77777777" w:rsidR="00F1488C" w:rsidRPr="003E0A7A" w:rsidRDefault="00F1488C" w:rsidP="00F1488C">
      <w:pPr>
        <w:pStyle w:val="H1G"/>
      </w:pPr>
      <w:r>
        <w:tab/>
        <w:t>A.</w:t>
      </w:r>
      <w:r>
        <w:tab/>
      </w:r>
      <w:r>
        <w:rPr>
          <w:bCs/>
        </w:rPr>
        <w:t>Комитет по внутреннему транспорту: выводы, сделанные на</w:t>
      </w:r>
      <w:r w:rsidR="00EC595B">
        <w:rPr>
          <w:bCs/>
          <w:lang w:val="en-US"/>
        </w:rPr>
        <w:t> </w:t>
      </w:r>
      <w:r>
        <w:rPr>
          <w:bCs/>
        </w:rPr>
        <w:t>восемьдесят первой сессии Комитета относительно ИТС</w:t>
      </w:r>
      <w:r>
        <w:t xml:space="preserve"> </w:t>
      </w:r>
    </w:p>
    <w:p w14:paraId="137CA6C2" w14:textId="5ECB247B" w:rsidR="00F1488C" w:rsidRPr="008333ED" w:rsidRDefault="00F1488C" w:rsidP="00F1488C">
      <w:pPr>
        <w:spacing w:after="120"/>
        <w:ind w:left="2835" w:right="1134" w:hanging="1701"/>
        <w:jc w:val="both"/>
      </w:pPr>
      <w:r>
        <w:rPr>
          <w:i/>
          <w:iCs/>
        </w:rPr>
        <w:t>Документация</w:t>
      </w:r>
      <w:r w:rsidRPr="008333ED">
        <w:rPr>
          <w:i/>
          <w:iCs/>
        </w:rPr>
        <w:t>:</w:t>
      </w:r>
      <w:r w:rsidRPr="008333ED">
        <w:tab/>
      </w:r>
      <w:r w:rsidRPr="003E0A7A">
        <w:rPr>
          <w:lang w:val="en-US"/>
        </w:rPr>
        <w:t>ECE</w:t>
      </w:r>
      <w:r w:rsidRPr="008333ED">
        <w:t>/</w:t>
      </w:r>
      <w:r w:rsidRPr="003E0A7A">
        <w:rPr>
          <w:lang w:val="en-US"/>
        </w:rPr>
        <w:t>TRANS</w:t>
      </w:r>
      <w:r w:rsidRPr="008333ED">
        <w:t xml:space="preserve">/288 </w:t>
      </w:r>
      <w:r>
        <w:t>и</w:t>
      </w:r>
      <w:r w:rsidRPr="008333ED">
        <w:t xml:space="preserve"> </w:t>
      </w:r>
      <w:r>
        <w:rPr>
          <w:lang w:val="en-US"/>
        </w:rPr>
        <w:t>Add</w:t>
      </w:r>
      <w:r w:rsidRPr="008333ED">
        <w:t>.1,</w:t>
      </w:r>
      <w:r>
        <w:t xml:space="preserve"> приложения</w:t>
      </w:r>
      <w:r w:rsidRPr="008333ED">
        <w:t xml:space="preserve"> </w:t>
      </w:r>
      <w:r w:rsidRPr="003E0A7A">
        <w:rPr>
          <w:lang w:val="en-US"/>
        </w:rPr>
        <w:t>III</w:t>
      </w:r>
      <w:r w:rsidRPr="008333ED">
        <w:t>–</w:t>
      </w:r>
      <w:r w:rsidRPr="003E0A7A">
        <w:rPr>
          <w:lang w:val="en-US"/>
        </w:rPr>
        <w:t>IV</w:t>
      </w:r>
    </w:p>
    <w:p w14:paraId="30161CB8" w14:textId="77777777" w:rsidR="00F1488C" w:rsidRPr="003E0A7A" w:rsidRDefault="00F1488C" w:rsidP="00F1488C">
      <w:pPr>
        <w:pStyle w:val="SingleTxtG"/>
      </w:pPr>
      <w:r>
        <w:t>2.</w:t>
      </w:r>
      <w:r>
        <w:tab/>
        <w:t xml:space="preserve">Для проведения сегмента высокого уровня по вопросам политики в рамках восемьдесят первой сессии КВТ, посвященного теме </w:t>
      </w:r>
      <w:r w:rsidR="00EC595B">
        <w:t>«</w:t>
      </w:r>
      <w:r>
        <w:t>Автоматизация на транспорте</w:t>
      </w:r>
      <w:r w:rsidR="00EC595B">
        <w:t>»</w:t>
      </w:r>
      <w:r>
        <w:t xml:space="preserve"> (19 февраля 2019 года, Женева), собрались министры транспорта из Африки, Азии, Европы и Ближнего Востока, 400 участников из 75 стран и руководители организаций по внутреннему транспорту. В ходе тематических обсуждений подчеркивалась важность вопросов автоматизации и согласования в интересах устойчивого внутреннего транспорта в рамках глобальной повестки дня и рассматривались проблемы, связанные с будущей автоматизацией, а также стратегическая роль Комитета как платформы для всестороннего сотрудничества в целях выработки согласованных решений и укрепления международного сотрудничества.</w:t>
      </w:r>
    </w:p>
    <w:p w14:paraId="5B589A2E" w14:textId="77777777" w:rsidR="00F1488C" w:rsidRPr="003E0A7A" w:rsidRDefault="00F1488C" w:rsidP="00F1488C">
      <w:pPr>
        <w:pStyle w:val="SingleTxtG"/>
      </w:pPr>
      <w:r>
        <w:t>3.</w:t>
      </w:r>
      <w:r>
        <w:tab/>
        <w:t xml:space="preserve">В конце сегмента высокого уровня по вопросам политики министры и главы делегаций договаривающихся сторон из Африки, Азии, Европы, Латинской Америки и Ближнего Востока приняли резолюцию министров </w:t>
      </w:r>
      <w:r w:rsidR="00EC595B">
        <w:t>«</w:t>
      </w:r>
      <w:r>
        <w:t>Укрепление сотрудничества, согласования и интеграции в эпоху цифровизации и автоматизации на транспорте</w:t>
      </w:r>
      <w:r w:rsidR="00EC595B">
        <w:t>»</w:t>
      </w:r>
      <w:r>
        <w:t>. В</w:t>
      </w:r>
      <w:r w:rsidR="00EC595B">
        <w:rPr>
          <w:lang w:val="en-US"/>
        </w:rPr>
        <w:t> </w:t>
      </w:r>
      <w:r>
        <w:t>резолюции министров, впоследствии утвержденной КВТ, подчеркивается значимость Комитета в обеспечении того, чтобы ускорение темпов инновационных процессов в области автоматизации транспорта и перевода информации в цифровой формат происходило в условиях согласованности и эксплуатационной совместимости, а также безопасности, равноправного доступа и интермодальной интеграции в качестве важнейших предпосылок достижения целей Повестки дня в области устойчивого развития. В целом эта резолюция посвящена необходимости усиления сотрудничества в области автоматизации на транспорте с целью обеспечить максимально широкое распределение выгод и избежать появления раздробленных и функционально несовместимых систем.</w:t>
      </w:r>
    </w:p>
    <w:p w14:paraId="711FC0A8" w14:textId="77777777" w:rsidR="00F1488C" w:rsidRPr="003E0A7A" w:rsidRDefault="00F1488C" w:rsidP="00F1488C">
      <w:pPr>
        <w:pStyle w:val="SingleTxtG"/>
      </w:pPr>
      <w:r>
        <w:t>4.</w:t>
      </w:r>
      <w:r>
        <w:tab/>
        <w:t xml:space="preserve">Политический сегмент высокого уровня был дополнен двумя параллельными мероприятиями КВТ. Первым из них стало совместное параллельное мероприятие, организованное Глобальным форумом по безопасности дорожного движения (WP.1) и Всемирным форумом для согласования правил в области транспортных средств (WP.29), с участием высокопоставленных политических деятелей и экспертов, которые обсудили темы, касающиеся безопасного и систематического внедрения в практику автономных/автоматизированных транспортных средств в условиях дорожного движения. Программа совещания предусматривала проведение первого заседания, посвященного программным заявлениям, и четырех дискуссионных групп, в ходе которых были рассмотрены ключевые темы, которые необходимо обсудить до широкомасштабного внедрения автоматизированных/автономных транспортных средств. В заключение председатели WP.1 и WP.29 поблагодарили выступавших и всех собравшихся за их активное участие, отметив, что конструктивные замечания и результаты обсуждения будут учтены в повестках дня их соответствующих рабочих групп. Председатели обязались продолжать процесс тесного сотрудничества между WP.1 и WP.29 на регулярной основе в целях содействия безопасному внедрению автоматизированных транспортных средств в условиях дорожного движения. Это параллельное мероприятие стало непосредственным ответом на предыдущие призывы КВТ, который является вышестоящим органом, к более тесному сотрудничеству </w:t>
      </w:r>
      <w:r>
        <w:lastRenderedPageBreak/>
        <w:t>между двумя рабочими группами КВТ, WP.1 и WP.29, которые определяют прогресс в области безопасного внедрения в практику автоматизированных транспортных средств в условиях дорожного движения.</w:t>
      </w:r>
    </w:p>
    <w:p w14:paraId="6A2EE716" w14:textId="77777777" w:rsidR="00F1488C" w:rsidRPr="003E0A7A" w:rsidRDefault="00F1488C" w:rsidP="00F1488C">
      <w:pPr>
        <w:pStyle w:val="SingleTxtG"/>
      </w:pPr>
      <w:r>
        <w:t>5.</w:t>
      </w:r>
      <w:r>
        <w:tab/>
        <w:t xml:space="preserve">В ходе второго параллельного мероприятия КВТ по </w:t>
      </w:r>
      <w:r w:rsidR="00EC595B">
        <w:t>«</w:t>
      </w:r>
      <w:r>
        <w:t>Цифровизации и электронным документам</w:t>
      </w:r>
      <w:r w:rsidR="00EC595B">
        <w:t>»</w:t>
      </w:r>
      <w:r>
        <w:t>, проведенного с учетом нынешних тенденций в области цифровизации, была подчеркнута позитивная роль электронных транспортных документов и международных конвенций, находящихся в ведении ЕЭК и подпадающих под эту категорию, включая e-TIR и e-CMR, а также потенциальных торгово-экономических выгод оцифровки информации.</w:t>
      </w:r>
    </w:p>
    <w:p w14:paraId="24643326" w14:textId="77777777" w:rsidR="00F1488C" w:rsidRPr="003E0A7A" w:rsidRDefault="00F1488C" w:rsidP="00F1488C">
      <w:pPr>
        <w:spacing w:after="120"/>
        <w:ind w:left="1134" w:right="1134"/>
        <w:jc w:val="both"/>
      </w:pPr>
      <w:r w:rsidRPr="004B6F42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4B6F42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4B6F42">
        <w:rPr>
          <w:b/>
          <w:bCs/>
        </w:rPr>
        <w:t>жирным шрифтом</w:t>
      </w:r>
      <w:r>
        <w:t xml:space="preserve">): </w:t>
      </w:r>
      <w:r w:rsidRPr="00B44D4C">
        <w:rPr>
          <w:i/>
        </w:rPr>
        <w:t xml:space="preserve">2, 3, 4, 5, </w:t>
      </w:r>
      <w:r w:rsidRPr="00B44D4C">
        <w:rPr>
          <w:b/>
          <w:bCs/>
          <w:i/>
        </w:rPr>
        <w:t>6</w:t>
      </w:r>
      <w:r w:rsidRPr="00B44D4C">
        <w:rPr>
          <w:i/>
        </w:rPr>
        <w:t xml:space="preserve">, 9, 15 и </w:t>
      </w:r>
      <w:r w:rsidRPr="00B44D4C">
        <w:rPr>
          <w:b/>
          <w:bCs/>
          <w:i/>
        </w:rPr>
        <w:t>17</w:t>
      </w:r>
      <w:r>
        <w:t>.</w:t>
      </w:r>
    </w:p>
    <w:p w14:paraId="330B11D2" w14:textId="77777777" w:rsidR="00F1488C" w:rsidRPr="003E0A7A" w:rsidRDefault="00F1488C" w:rsidP="00F1488C">
      <w:pPr>
        <w:pStyle w:val="H1G"/>
      </w:pPr>
      <w:r>
        <w:tab/>
        <w:t>B.</w:t>
      </w:r>
      <w:r>
        <w:tab/>
      </w:r>
      <w:r>
        <w:rPr>
          <w:bCs/>
        </w:rPr>
        <w:t xml:space="preserve">Симпозиум Международного союза электросвязи на тему </w:t>
      </w:r>
      <w:r w:rsidR="00EC595B">
        <w:rPr>
          <w:bCs/>
        </w:rPr>
        <w:t>«</w:t>
      </w:r>
      <w:r>
        <w:rPr>
          <w:bCs/>
        </w:rPr>
        <w:t>Сетевой автомобиль будущего</w:t>
      </w:r>
      <w:r w:rsidR="00EC595B">
        <w:rPr>
          <w:bCs/>
        </w:rPr>
        <w:t>»</w:t>
      </w:r>
    </w:p>
    <w:p w14:paraId="4AB77709" w14:textId="77777777" w:rsidR="00F1488C" w:rsidRPr="004768F0" w:rsidRDefault="00F1488C" w:rsidP="00F1488C">
      <w:pPr>
        <w:spacing w:after="120"/>
        <w:ind w:left="2835" w:right="1134" w:hanging="1701"/>
        <w:jc w:val="both"/>
      </w:pPr>
      <w:r>
        <w:rPr>
          <w:i/>
          <w:iCs/>
        </w:rPr>
        <w:t>Документация:</w:t>
      </w:r>
      <w:r>
        <w:tab/>
      </w:r>
      <w:hyperlink r:id="rId8" w:history="1">
        <w:r w:rsidR="00EC595B" w:rsidRPr="00EC595B">
          <w:rPr>
            <w:rStyle w:val="Hyperlink"/>
            <w:color w:val="auto"/>
          </w:rPr>
          <w:t>http://itu.int/en/fnc/2019/</w:t>
        </w:r>
      </w:hyperlink>
    </w:p>
    <w:p w14:paraId="7B5E74A0" w14:textId="77777777" w:rsidR="00F1488C" w:rsidRPr="003E0A7A" w:rsidRDefault="00F1488C" w:rsidP="00F1488C">
      <w:pPr>
        <w:pStyle w:val="SingleTxtG"/>
      </w:pPr>
      <w:r>
        <w:t>6.</w:t>
      </w:r>
      <w:r>
        <w:tab/>
        <w:t xml:space="preserve">ЕЭК совместно с Международным союзом электросвязи (МСЭ) организовала сессию 2019 года на тему </w:t>
      </w:r>
      <w:r w:rsidR="00EC595B">
        <w:t>«</w:t>
      </w:r>
      <w:r>
        <w:t>Сетевой автомобиль будущего</w:t>
      </w:r>
      <w:r w:rsidR="00EC595B">
        <w:t>»</w:t>
      </w:r>
      <w:r>
        <w:t xml:space="preserve">, который прошел в рамках Женевского автомобильного салона в марте 2019 года. В этом мероприятии приняли участие эксперты из частного сектора, занимающиеся вопросами телематики, подключенных и автоматизированных транспортных средств и кибербезопасности. Одно из заседаний было посвящено технической деятельности ЕЭК, касающейся технических предписаний для автоматизированных и подключенных транспортных средств. Вклад в работу сессии внесли представители в WP.29 от Соединенного Королевства Великобритании и Северной Ирландии и Японии, Генеральный секретарь Глобальной программы НКАП, а также два представителя поставщиков автомобильных деталей и европейских производителей. Эта сессия позволила получить представление о текущей разработке технических предписаний для этих транспортных средств. </w:t>
      </w:r>
    </w:p>
    <w:p w14:paraId="71AD0E97" w14:textId="77777777" w:rsidR="00F1488C" w:rsidRPr="003E0A7A" w:rsidRDefault="00F1488C" w:rsidP="00F1488C">
      <w:pPr>
        <w:pStyle w:val="SingleTxtG"/>
      </w:pPr>
      <w:r>
        <w:t>7.</w:t>
      </w:r>
      <w:r>
        <w:tab/>
        <w:t>ЕЭК и МСЭ организуют это ежегодное мероприятие на совместной основе с 2013 года. Оно способствовало объединению на международном уровне двух отраслей промышленности, практикующих различные методы в своей работе. Сектор автомобилестроения строит свою работу на основе технологически нейтрального регулирования для получения доступа к рынку и устранения технических барьеров в торговле, поставляя передовые технологии с точки зрения безопасности и экологических показателей, а сектор информационных технологий и телекоммуникаций – на основе стандартизации с ориентацией на функциональную совместимость. В попытке объединить эти два сектора аналогичные инициативы были реализованы и на региональном уровне. Взаимодействие МСЭ и ЕЭК способствовало достижению результатов на международном уровне.</w:t>
      </w:r>
    </w:p>
    <w:p w14:paraId="1715A96C" w14:textId="77777777" w:rsidR="00F1488C" w:rsidRPr="003E0A7A" w:rsidRDefault="00F1488C" w:rsidP="00F1488C">
      <w:pPr>
        <w:spacing w:after="120"/>
        <w:ind w:left="1134" w:right="1134"/>
        <w:jc w:val="both"/>
      </w:pPr>
      <w:r w:rsidRPr="009D70B2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9D70B2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9D70B2">
        <w:rPr>
          <w:b/>
          <w:bCs/>
        </w:rPr>
        <w:t>жирным шрифтом</w:t>
      </w:r>
      <w:r>
        <w:t xml:space="preserve">): </w:t>
      </w:r>
      <w:r w:rsidRPr="00B44D4C">
        <w:rPr>
          <w:i/>
        </w:rPr>
        <w:t xml:space="preserve">1, </w:t>
      </w:r>
      <w:r w:rsidRPr="00B44D4C">
        <w:rPr>
          <w:b/>
          <w:bCs/>
          <w:i/>
        </w:rPr>
        <w:t>2</w:t>
      </w:r>
      <w:r w:rsidRPr="00B44D4C">
        <w:rPr>
          <w:i/>
        </w:rPr>
        <w:t xml:space="preserve">, 3, 4, </w:t>
      </w:r>
      <w:r w:rsidRPr="00B44D4C">
        <w:rPr>
          <w:b/>
          <w:bCs/>
          <w:i/>
        </w:rPr>
        <w:t>5</w:t>
      </w:r>
      <w:r w:rsidRPr="00B44D4C">
        <w:rPr>
          <w:i/>
        </w:rPr>
        <w:t xml:space="preserve">, </w:t>
      </w:r>
      <w:r w:rsidRPr="00B44D4C">
        <w:rPr>
          <w:b/>
          <w:bCs/>
          <w:i/>
        </w:rPr>
        <w:t>7</w:t>
      </w:r>
      <w:r w:rsidRPr="00B44D4C">
        <w:rPr>
          <w:i/>
        </w:rPr>
        <w:t>, 8, 9, 10, 15, 17 и 19</w:t>
      </w:r>
      <w:r>
        <w:t>.</w:t>
      </w:r>
    </w:p>
    <w:p w14:paraId="351163BC" w14:textId="77777777" w:rsidR="00F1488C" w:rsidRPr="003E0A7A" w:rsidRDefault="00F1488C" w:rsidP="00F1488C">
      <w:pPr>
        <w:pStyle w:val="H1G"/>
      </w:pPr>
      <w:r>
        <w:tab/>
        <w:t>C.</w:t>
      </w:r>
      <w:r>
        <w:tab/>
      </w:r>
      <w:r>
        <w:rPr>
          <w:bCs/>
        </w:rPr>
        <w:t>Всемирный конгресс по интеллектуальным транспортным системам 2019 года в Сингапуре</w:t>
      </w:r>
    </w:p>
    <w:p w14:paraId="772BF26B" w14:textId="77777777" w:rsidR="00F1488C" w:rsidRPr="003E0A7A" w:rsidRDefault="00F1488C" w:rsidP="00F1488C">
      <w:pPr>
        <w:pStyle w:val="SingleTxtG"/>
      </w:pPr>
      <w:r>
        <w:t>8.</w:t>
      </w:r>
      <w:r>
        <w:tab/>
        <w:t xml:space="preserve">Секретариат внес вклад в проведение параллельного мероприятия </w:t>
      </w:r>
      <w:r w:rsidR="00EC595B">
        <w:t>«</w:t>
      </w:r>
      <w:r>
        <w:t>Саммит по автономной мобильности</w:t>
      </w:r>
      <w:r w:rsidR="00EC595B">
        <w:t>»</w:t>
      </w:r>
      <w:r>
        <w:t xml:space="preserve"> и совещания </w:t>
      </w:r>
      <w:r w:rsidR="00EC595B">
        <w:t>«</w:t>
      </w:r>
      <w:r>
        <w:t>за круглым столом</w:t>
      </w:r>
      <w:r w:rsidR="00EC595B">
        <w:t>»</w:t>
      </w:r>
      <w:r>
        <w:t xml:space="preserve"> на тему </w:t>
      </w:r>
      <w:r w:rsidR="00EC595B">
        <w:t>«</w:t>
      </w:r>
      <w:r>
        <w:t>перспективы регулирования автономной мобильности</w:t>
      </w:r>
      <w:r w:rsidR="00EC595B">
        <w:t>»</w:t>
      </w:r>
      <w:r>
        <w:t xml:space="preserve">. В совещании </w:t>
      </w:r>
      <w:r w:rsidR="00EC595B">
        <w:t>«</w:t>
      </w:r>
      <w:r>
        <w:t>за круглым столом</w:t>
      </w:r>
      <w:r w:rsidR="00EC595B">
        <w:t>»</w:t>
      </w:r>
      <w:r>
        <w:t xml:space="preserve"> приняли участие секретарь WP.29, а также сопредседатели неофициальной рабочей группы по автоматическим функциям рулевого управления и методу валидации функции автоматизированного вождения. Ключевые заинтересованные стороны признали совещание </w:t>
      </w:r>
      <w:r w:rsidR="00EC595B">
        <w:t>«</w:t>
      </w:r>
      <w:r>
        <w:t>за круглым столом</w:t>
      </w:r>
      <w:r w:rsidR="00EC595B">
        <w:t>»</w:t>
      </w:r>
      <w:r>
        <w:t xml:space="preserve"> одним из наиболее интересных мероприятий в рамках данного конгресса и отметили ведущую роль ЕЭК в деле регламентирования систем автоматизации транспортных средств.</w:t>
      </w:r>
    </w:p>
    <w:p w14:paraId="6BFFEBE1" w14:textId="77777777" w:rsidR="00F1488C" w:rsidRPr="003E0A7A" w:rsidRDefault="00F1488C" w:rsidP="00F1488C">
      <w:pPr>
        <w:pStyle w:val="SingleTxtG"/>
      </w:pPr>
      <w:r w:rsidRPr="00F96497">
        <w:rPr>
          <w:i/>
          <w:iCs/>
        </w:rPr>
        <w:lastRenderedPageBreak/>
        <w:t xml:space="preserve">Затронутые направления действий </w:t>
      </w:r>
      <w:r w:rsidR="00EC595B">
        <w:rPr>
          <w:i/>
          <w:iCs/>
        </w:rPr>
        <w:t>«</w:t>
      </w:r>
      <w:r w:rsidRPr="00F96497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F96497">
        <w:rPr>
          <w:b/>
          <w:bCs/>
        </w:rPr>
        <w:t>жирным шрифтом</w:t>
      </w:r>
      <w:r>
        <w:t xml:space="preserve">): </w:t>
      </w:r>
      <w:r w:rsidRPr="00F96497">
        <w:rPr>
          <w:b/>
          <w:bCs/>
          <w:i/>
          <w:iCs/>
        </w:rPr>
        <w:t>20</w:t>
      </w:r>
      <w:r>
        <w:t>.</w:t>
      </w:r>
    </w:p>
    <w:p w14:paraId="5408FE10" w14:textId="77777777" w:rsidR="00F1488C" w:rsidRPr="003E0A7A" w:rsidRDefault="00F1488C" w:rsidP="00F1488C">
      <w:pPr>
        <w:pStyle w:val="H1G"/>
      </w:pPr>
      <w:r>
        <w:tab/>
        <w:t>D.</w:t>
      </w:r>
      <w:r>
        <w:tab/>
      </w:r>
      <w:r>
        <w:rPr>
          <w:bCs/>
        </w:rPr>
        <w:t>Рабочие группы</w:t>
      </w:r>
    </w:p>
    <w:p w14:paraId="7807983B" w14:textId="77777777" w:rsidR="00F1488C" w:rsidRPr="003E0A7A" w:rsidRDefault="00F1488C" w:rsidP="00F1488C">
      <w:pPr>
        <w:pStyle w:val="H23G"/>
      </w:pPr>
      <w:r>
        <w:tab/>
        <w:t>1.</w:t>
      </w:r>
      <w:r>
        <w:tab/>
      </w:r>
      <w:r>
        <w:rPr>
          <w:bCs/>
        </w:rPr>
        <w:t>Рабочая группа по внутреннему водному транспорту</w:t>
      </w:r>
    </w:p>
    <w:p w14:paraId="56680944" w14:textId="77777777" w:rsidR="00F1488C" w:rsidRPr="003E0A7A" w:rsidRDefault="00F1488C" w:rsidP="00F1488C">
      <w:pPr>
        <w:pStyle w:val="SingleTxtG"/>
      </w:pPr>
      <w:r>
        <w:t>9.</w:t>
      </w:r>
      <w:r>
        <w:tab/>
        <w:t xml:space="preserve">Развитие технологий речных информационных служб (РИС), а также автоматизированное и </w:t>
      </w:r>
      <w:r w:rsidR="00EC595B">
        <w:t>«</w:t>
      </w:r>
      <w:r>
        <w:t>умное</w:t>
      </w:r>
      <w:r w:rsidR="00EC595B">
        <w:t>»</w:t>
      </w:r>
      <w:r>
        <w:t xml:space="preserve"> судоходство стали ключевыми темами в повестке дня Рабочей группы по внутреннему водному транспорту (SC.3) и ее вспомогательного органа </w:t>
      </w:r>
      <w:r w:rsidR="00EC595B" w:rsidRPr="004768F0">
        <w:t>–</w:t>
      </w:r>
      <w:r>
        <w:t xml:space="preserve"> Рабочей группы по унификации технических предписаний и правил безопасности на внутренних водных путях (SC.3/WP.3) </w:t>
      </w:r>
      <w:r w:rsidR="00EC595B" w:rsidRPr="004768F0">
        <w:t>–</w:t>
      </w:r>
      <w:r>
        <w:t xml:space="preserve"> на 2019 год.</w:t>
      </w:r>
    </w:p>
    <w:p w14:paraId="70385D07" w14:textId="77777777" w:rsidR="00F1488C" w:rsidRPr="003E0A7A" w:rsidRDefault="00F1488C" w:rsidP="00F1488C">
      <w:pPr>
        <w:pStyle w:val="H4G"/>
      </w:pPr>
      <w:r>
        <w:tab/>
        <w:t>a)</w:t>
      </w:r>
      <w:r>
        <w:tab/>
      </w:r>
      <w:r>
        <w:rPr>
          <w:iCs/>
        </w:rPr>
        <w:t>Речные информационные службы</w:t>
      </w:r>
    </w:p>
    <w:p w14:paraId="3D55C1E4" w14:textId="77777777" w:rsidR="00F1488C" w:rsidRPr="003E0A7A" w:rsidRDefault="00F1488C" w:rsidP="00F1488C">
      <w:pPr>
        <w:pStyle w:val="SingleTxtG"/>
      </w:pPr>
      <w:r>
        <w:t>10.</w:t>
      </w:r>
      <w:r>
        <w:tab/>
        <w:t>В 2019 году SC.3/WP.3 в тесном сотрудничестве с председателями Группы экспертов по СОЭНКИ для ВС международного значения и Международной группой экспертов по извещениям судоводителям пересмотрела Рекомендацию, касающуюся системы отображения электронных карт и информации для внутреннего судоходства (СОЭНКИ ВС) (приложение к резолюции № 48) и Международный стандарт для</w:t>
      </w:r>
      <w:r w:rsidR="00EC595B">
        <w:rPr>
          <w:lang w:val="en-US"/>
        </w:rPr>
        <w:t> </w:t>
      </w:r>
      <w:r>
        <w:t xml:space="preserve">извещений судоводителям во внутреннем судоходстве (приложение </w:t>
      </w:r>
      <w:r w:rsidR="00EC595B">
        <w:br/>
      </w:r>
      <w:r>
        <w:t xml:space="preserve">к резолюции № 80). На своей шестьдесят третьей сессии SC.3 приняла </w:t>
      </w:r>
      <w:r w:rsidR="00EC595B">
        <w:br/>
      </w:r>
      <w:r>
        <w:t xml:space="preserve">4-й пересмотренный вариант стандарта СОЭНКИ ВС в качестве резолюции № 96 </w:t>
      </w:r>
      <w:r w:rsidR="00EC595B">
        <w:br/>
      </w:r>
      <w:r>
        <w:t>и 1-й пересмотренный вариант международного стандарта в качестве резолюции № 97.</w:t>
      </w:r>
    </w:p>
    <w:p w14:paraId="1DFC147B" w14:textId="77777777" w:rsidR="00F1488C" w:rsidRPr="003E0A7A" w:rsidRDefault="00F1488C" w:rsidP="00F1488C">
      <w:pPr>
        <w:pStyle w:val="H4G"/>
      </w:pPr>
      <w:r>
        <w:tab/>
        <w:t>b)</w:t>
      </w:r>
      <w:r>
        <w:tab/>
      </w:r>
      <w:r>
        <w:rPr>
          <w:iCs/>
        </w:rPr>
        <w:t xml:space="preserve">Автоматизация и </w:t>
      </w:r>
      <w:r w:rsidR="00EC595B">
        <w:rPr>
          <w:iCs/>
        </w:rPr>
        <w:t>«</w:t>
      </w:r>
      <w:r>
        <w:rPr>
          <w:iCs/>
        </w:rPr>
        <w:t>умное</w:t>
      </w:r>
      <w:r w:rsidR="00EC595B">
        <w:rPr>
          <w:iCs/>
        </w:rPr>
        <w:t>»</w:t>
      </w:r>
      <w:r>
        <w:rPr>
          <w:iCs/>
        </w:rPr>
        <w:t xml:space="preserve"> судоходство</w:t>
      </w:r>
      <w:bookmarkStart w:id="1" w:name="_Hlk24618220"/>
    </w:p>
    <w:p w14:paraId="6AAA858D" w14:textId="77777777" w:rsidR="00F1488C" w:rsidRPr="003E0A7A" w:rsidRDefault="00F1488C" w:rsidP="00F1488C">
      <w:pPr>
        <w:pStyle w:val="SingleTxtG"/>
      </w:pPr>
      <w:r>
        <w:t>11.</w:t>
      </w:r>
      <w:r>
        <w:tab/>
        <w:t xml:space="preserve">В 2019 году обе рабочие группы продолжили обсуждение вопроса об автоматизированном и </w:t>
      </w:r>
      <w:r w:rsidR="00EC595B">
        <w:t>«</w:t>
      </w:r>
      <w:r>
        <w:t>умном</w:t>
      </w:r>
      <w:r w:rsidR="00EC595B">
        <w:t>»</w:t>
      </w:r>
      <w:r>
        <w:t xml:space="preserve"> судоходстве на внутренних водных путях, включая разработку согласованных на международном уровне определений и согласование нормативно-правовой базы и стратегических областей в целях стимулирования инноваций во внутреннем судоходстве. На своей шестьдесят третьей сессии SC.3 приняла резолюцию </w:t>
      </w:r>
      <w:r w:rsidR="00EC595B">
        <w:t>«</w:t>
      </w:r>
      <w:r>
        <w:t xml:space="preserve">Укрепление международного сотрудничества в поддержку развития </w:t>
      </w:r>
      <w:r w:rsidR="00EC595B">
        <w:t>«</w:t>
      </w:r>
      <w:r>
        <w:t>умного</w:t>
      </w:r>
      <w:r w:rsidR="00EC595B">
        <w:t>»</w:t>
      </w:r>
      <w:r>
        <w:t xml:space="preserve"> судоходства на внутренних водных путях</w:t>
      </w:r>
      <w:r w:rsidR="00EC595B">
        <w:t>»</w:t>
      </w:r>
      <w:r>
        <w:t xml:space="preserve"> в качестве своей резолюции № 95. Кроме того, SC.3 одобрила </w:t>
      </w:r>
      <w:r w:rsidR="00EC595B">
        <w:t>«</w:t>
      </w:r>
      <w:r>
        <w:t>дорожную карту</w:t>
      </w:r>
      <w:r w:rsidR="00EC595B">
        <w:t>»</w:t>
      </w:r>
      <w:r>
        <w:t xml:space="preserve"> международного сотрудничества, ориентированную на поощрение и развитие </w:t>
      </w:r>
      <w:r w:rsidR="00EC595B">
        <w:t>«</w:t>
      </w:r>
      <w:r>
        <w:t>умного</w:t>
      </w:r>
      <w:r w:rsidR="00EC595B">
        <w:t>»</w:t>
      </w:r>
      <w:r>
        <w:t xml:space="preserve"> судоходства на внутренних водных путях в рамках деятельности КВТ в области ИТС. SC.3 поддержала предложение Бельгии о проведении анализа международных конвенций и соглашений, а также резолюций ЕЭК, касающихся внутреннего водного транспорта, в целях обеспечения возможности использования автоматизированного судоходства и призвала государства-члены поддержать и продолжить эту работу.</w:t>
      </w:r>
    </w:p>
    <w:p w14:paraId="2AD26E61" w14:textId="77777777" w:rsidR="00F1488C" w:rsidRPr="003E0A7A" w:rsidRDefault="00F1488C" w:rsidP="00F1488C">
      <w:pPr>
        <w:pStyle w:val="H4G"/>
      </w:pPr>
      <w:r>
        <w:tab/>
        <w:t>c)</w:t>
      </w:r>
      <w:r>
        <w:tab/>
      </w:r>
      <w:r>
        <w:rPr>
          <w:iCs/>
        </w:rPr>
        <w:t>Белая книга о прогрессе, достижениях и будущем устойчивого внутреннего водного транспорта</w:t>
      </w:r>
    </w:p>
    <w:bookmarkEnd w:id="1"/>
    <w:p w14:paraId="65E15840" w14:textId="77777777" w:rsidR="00F1488C" w:rsidRPr="003E0A7A" w:rsidRDefault="00F1488C" w:rsidP="00F1488C">
      <w:pPr>
        <w:pStyle w:val="SingleTxtG"/>
        <w:rPr>
          <w:rStyle w:val="SingleTxtGChar"/>
          <w:rFonts w:eastAsiaTheme="minorEastAsia"/>
        </w:rPr>
      </w:pPr>
      <w:r>
        <w:t>12.</w:t>
      </w:r>
      <w:r>
        <w:tab/>
        <w:t xml:space="preserve">На своей шестьдесят третьей сессии SC.3 приняла новую </w:t>
      </w:r>
      <w:r w:rsidR="00EC595B">
        <w:t>«</w:t>
      </w:r>
      <w:r>
        <w:t>Белую книгу</w:t>
      </w:r>
      <w:r w:rsidR="00EC595B">
        <w:t>»</w:t>
      </w:r>
      <w:r>
        <w:t xml:space="preserve"> о прогрессе, достижениях и будущем устойчивого внутреннего водного транспорта. Это уже третья с 2011 года </w:t>
      </w:r>
      <w:r w:rsidR="00EC595B">
        <w:t>«</w:t>
      </w:r>
      <w:r>
        <w:t>Белая книга</w:t>
      </w:r>
      <w:r w:rsidR="00EC595B">
        <w:t>»</w:t>
      </w:r>
      <w:r>
        <w:t xml:space="preserve">, посвященная текущему положению дел, тенденциям и проблемам в области внутреннего водного транспорта на европейских внутренних водных путях в регионе ЕЭК. В этих документах определены восемь приоритетных областей и предлагаются стратегические рекомендации, касающиеся действий ЕЭК ООН в каждой из этих областей. Три из этих рекомендаций имеют непосредственное отношение к ИТС: стратегическая рекомендация № 5: Содействие развитию и общеевропейскому использованию речных информационных служб и других информационных технологий; стратегическая рекомендация № 6: Содействие процессам автоматизации, цифровизации и другим инновациям в отрасли внутреннего водного транспорта (ВВТ) и стратегическая рекомендация № 8: Охрана, безопасность и кибербезопасность в ВВТ </w:t>
      </w:r>
      <w:r w:rsidR="00B927C0">
        <w:t>–</w:t>
      </w:r>
      <w:r>
        <w:t xml:space="preserve"> Противодействие внутренним и внешним угрозам этой отрасли.</w:t>
      </w:r>
    </w:p>
    <w:p w14:paraId="1103875D" w14:textId="77777777" w:rsidR="00F1488C" w:rsidRPr="003E0A7A" w:rsidRDefault="00F1488C" w:rsidP="00F1488C">
      <w:pPr>
        <w:pStyle w:val="SingleTxtG"/>
      </w:pPr>
      <w:r w:rsidRPr="009E6D11">
        <w:rPr>
          <w:i/>
          <w:iCs/>
        </w:rPr>
        <w:lastRenderedPageBreak/>
        <w:t xml:space="preserve">Затронутые направления действий </w:t>
      </w:r>
      <w:r w:rsidR="00EC595B">
        <w:rPr>
          <w:i/>
          <w:iCs/>
        </w:rPr>
        <w:t>«</w:t>
      </w:r>
      <w:r w:rsidRPr="009E6D11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9E6D11">
        <w:rPr>
          <w:b/>
          <w:bCs/>
        </w:rPr>
        <w:t>жирным шрифтом</w:t>
      </w:r>
      <w:r>
        <w:t xml:space="preserve">): </w:t>
      </w:r>
      <w:r w:rsidRPr="00B44D4C">
        <w:rPr>
          <w:i/>
        </w:rPr>
        <w:t xml:space="preserve">1, </w:t>
      </w:r>
      <w:r w:rsidRPr="00B44D4C">
        <w:rPr>
          <w:b/>
          <w:bCs/>
          <w:i/>
        </w:rPr>
        <w:t>2</w:t>
      </w:r>
      <w:r w:rsidRPr="00B44D4C">
        <w:rPr>
          <w:i/>
        </w:rPr>
        <w:t xml:space="preserve">, </w:t>
      </w:r>
      <w:r w:rsidRPr="00B44D4C">
        <w:rPr>
          <w:b/>
          <w:bCs/>
          <w:i/>
        </w:rPr>
        <w:t>3</w:t>
      </w:r>
      <w:r w:rsidRPr="00B44D4C">
        <w:rPr>
          <w:i/>
        </w:rPr>
        <w:t xml:space="preserve">, 4, </w:t>
      </w:r>
      <w:r w:rsidRPr="00B44D4C">
        <w:rPr>
          <w:b/>
          <w:bCs/>
          <w:i/>
        </w:rPr>
        <w:t>5</w:t>
      </w:r>
      <w:r w:rsidRPr="00B44D4C">
        <w:rPr>
          <w:i/>
        </w:rPr>
        <w:t xml:space="preserve">, 6, 7, 9, </w:t>
      </w:r>
      <w:r w:rsidRPr="00B44D4C">
        <w:rPr>
          <w:b/>
          <w:bCs/>
          <w:i/>
        </w:rPr>
        <w:t>10</w:t>
      </w:r>
      <w:r w:rsidRPr="00B44D4C">
        <w:rPr>
          <w:i/>
        </w:rPr>
        <w:t xml:space="preserve">, 11, 13, </w:t>
      </w:r>
      <w:r w:rsidRPr="00B44D4C">
        <w:rPr>
          <w:b/>
          <w:bCs/>
          <w:i/>
        </w:rPr>
        <w:t>14</w:t>
      </w:r>
      <w:r w:rsidRPr="00B44D4C">
        <w:rPr>
          <w:i/>
        </w:rPr>
        <w:t>, 15, 16, 17, 18 и 19</w:t>
      </w:r>
      <w:r w:rsidR="00B44D4C">
        <w:rPr>
          <w:i/>
        </w:rPr>
        <w:t>.</w:t>
      </w:r>
    </w:p>
    <w:p w14:paraId="4F6CB4C7" w14:textId="77777777" w:rsidR="00F1488C" w:rsidRPr="003E0A7A" w:rsidRDefault="00F1488C" w:rsidP="00F1488C">
      <w:pPr>
        <w:pStyle w:val="H23G"/>
      </w:pPr>
      <w:r>
        <w:tab/>
        <w:t>2.</w:t>
      </w:r>
      <w:r>
        <w:tab/>
      </w:r>
      <w:r>
        <w:rPr>
          <w:bCs/>
        </w:rPr>
        <w:t>Рабочая группа по перевозкам опасных грузов</w:t>
      </w:r>
    </w:p>
    <w:p w14:paraId="186026C3" w14:textId="77777777" w:rsidR="00F1488C" w:rsidRPr="003E0A7A" w:rsidRDefault="00F1488C" w:rsidP="00F1488C">
      <w:pPr>
        <w:pStyle w:val="SingleTxtG"/>
      </w:pPr>
      <w:r>
        <w:t>13.</w:t>
      </w:r>
      <w:r>
        <w:tab/>
        <w:t>Совместное совещание Комиссии экспертов по Правилам международной перевозки опасных грузов по железной дороге (МПОГ) и Рабочей группы по перевозкам опасных грузов (WP.15) завершило – в рамках своей неофициальной рабочей группы по телематике – свою работу над приложениями ИТС, предназначенными, в частности, для повышения оперативности и эффективности реагирования на чрезвычайные ситуации, связанные с опасными грузами на транспорте.</w:t>
      </w:r>
    </w:p>
    <w:p w14:paraId="3BBBD2F8" w14:textId="77777777" w:rsidR="00F1488C" w:rsidRPr="003E0A7A" w:rsidRDefault="00F1488C" w:rsidP="00F1488C">
      <w:pPr>
        <w:pStyle w:val="SingleTxtG"/>
      </w:pPr>
      <w:r>
        <w:t>14.</w:t>
      </w:r>
      <w:r>
        <w:tab/>
        <w:t>В 2019 году в ходе Совместного совещания были согласованы предложенные в документе ECE/TRANS/WP.15/AC.1/2019/44 руководящие положения, касающиеся применения пункта 5.4.0.2 МПОГ/ДОПОГ/ВОПОГ к требованиям, предъявляемым к документации для перевозки опасных грузов. На этом Совместном совещании было решено препроводить руководящие положения WP.15 и Комиссии экспертов МПОГ для информации на их следующих сессиях. Впоследствии руководящие принципы, как ожидается, будут опубликованы на веб</w:t>
      </w:r>
      <w:r w:rsidR="00B927C0">
        <w:t>-</w:t>
      </w:r>
      <w:r>
        <w:t>сайтах ОТИФ и ЕЭК. Было также достигнуто согласие в отношении того, что эти руководящие положения могут применяться на добровольной основе и отдельно к каждому виду транспорта. Однако в тех случаях, когда они будут использоваться, они должны будут применяться последовательно. В</w:t>
      </w:r>
      <w:r w:rsidR="00EC595B">
        <w:t> </w:t>
      </w:r>
      <w:r>
        <w:t>январе 2020 года неофициальная рабочая группа вновь соберется для дальнейшего уточнения технических вопросов, связанных с введением этих руководящих положений в действие.</w:t>
      </w:r>
    </w:p>
    <w:p w14:paraId="2F993C8D" w14:textId="77777777" w:rsidR="00F1488C" w:rsidRPr="003E0A7A" w:rsidRDefault="00F1488C" w:rsidP="00F1488C">
      <w:pPr>
        <w:spacing w:after="120"/>
        <w:ind w:left="1134" w:right="1134"/>
        <w:jc w:val="both"/>
        <w:rPr>
          <w:color w:val="000000"/>
        </w:rPr>
      </w:pPr>
      <w:r w:rsidRPr="00213345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213345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213345">
        <w:rPr>
          <w:b/>
          <w:bCs/>
        </w:rPr>
        <w:t>жирным шрифтом</w:t>
      </w:r>
      <w:r>
        <w:t xml:space="preserve">): </w:t>
      </w:r>
      <w:r w:rsidRPr="00B44D4C">
        <w:rPr>
          <w:i/>
        </w:rPr>
        <w:t xml:space="preserve">1, 2, 3, 4, 5, 7, 9, 11, </w:t>
      </w:r>
      <w:r w:rsidRPr="00B44D4C">
        <w:rPr>
          <w:b/>
          <w:bCs/>
          <w:i/>
        </w:rPr>
        <w:t>12</w:t>
      </w:r>
      <w:r w:rsidRPr="00B44D4C">
        <w:rPr>
          <w:i/>
        </w:rPr>
        <w:t xml:space="preserve">, 13, 15, 16, 17, 18 </w:t>
      </w:r>
      <w:r w:rsidR="00B44D4C" w:rsidRPr="00B44D4C">
        <w:rPr>
          <w:i/>
        </w:rPr>
        <w:br/>
      </w:r>
      <w:r w:rsidRPr="00B44D4C">
        <w:rPr>
          <w:i/>
        </w:rPr>
        <w:t>и 19</w:t>
      </w:r>
      <w:r w:rsidR="00B44D4C">
        <w:t>.</w:t>
      </w:r>
    </w:p>
    <w:p w14:paraId="24B4B980" w14:textId="77777777" w:rsidR="00F1488C" w:rsidRPr="003E0A7A" w:rsidRDefault="00F1488C" w:rsidP="00F1488C">
      <w:pPr>
        <w:pStyle w:val="H23G"/>
      </w:pPr>
      <w:r>
        <w:tab/>
        <w:t>3.</w:t>
      </w:r>
      <w:r>
        <w:tab/>
      </w:r>
      <w:r>
        <w:rPr>
          <w:bCs/>
        </w:rPr>
        <w:t>Глобальный форум по безопасности дорожного движения</w:t>
      </w:r>
    </w:p>
    <w:p w14:paraId="443D39E4" w14:textId="77777777" w:rsidR="00F1488C" w:rsidRPr="003E0A7A" w:rsidRDefault="00F1488C" w:rsidP="00F1488C">
      <w:pPr>
        <w:spacing w:after="120"/>
        <w:ind w:left="1134" w:right="1134"/>
        <w:jc w:val="both"/>
      </w:pPr>
      <w:r>
        <w:t>15.</w:t>
      </w:r>
      <w:r>
        <w:tab/>
        <w:t>О деятельности Глобального форума по безопасности дорожного движения (WP.1), связанной с ИТС, в 2019 году см. пункт 4 настоящего документа.</w:t>
      </w:r>
    </w:p>
    <w:p w14:paraId="7BE2CA39" w14:textId="77777777" w:rsidR="00F1488C" w:rsidRPr="003E0A7A" w:rsidRDefault="00F1488C" w:rsidP="00F1488C">
      <w:pPr>
        <w:spacing w:after="120"/>
        <w:ind w:left="1134" w:right="1134"/>
        <w:jc w:val="both"/>
        <w:rPr>
          <w:i/>
        </w:rPr>
      </w:pPr>
      <w:r w:rsidRPr="00213345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213345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213345">
        <w:rPr>
          <w:b/>
          <w:bCs/>
        </w:rPr>
        <w:t>жирным шрифтом</w:t>
      </w:r>
      <w:r w:rsidRPr="00B44D4C">
        <w:rPr>
          <w:i/>
        </w:rPr>
        <w:t xml:space="preserve">): 1, 2, </w:t>
      </w:r>
      <w:r w:rsidRPr="00B44D4C">
        <w:rPr>
          <w:b/>
          <w:bCs/>
          <w:i/>
        </w:rPr>
        <w:t>3</w:t>
      </w:r>
      <w:r w:rsidRPr="00B44D4C">
        <w:rPr>
          <w:i/>
        </w:rPr>
        <w:t>, 4, 5, 6, 7, 8, 9 и 10</w:t>
      </w:r>
      <w:r>
        <w:t>.</w:t>
      </w:r>
    </w:p>
    <w:p w14:paraId="4674EA36" w14:textId="77777777" w:rsidR="00F1488C" w:rsidRPr="003E0A7A" w:rsidRDefault="00F1488C" w:rsidP="00F1488C">
      <w:pPr>
        <w:pStyle w:val="H23G"/>
      </w:pPr>
      <w:r>
        <w:tab/>
        <w:t>4.</w:t>
      </w:r>
      <w:r>
        <w:tab/>
      </w:r>
      <w:r>
        <w:rPr>
          <w:bCs/>
        </w:rPr>
        <w:t>Всемирный форум для согласования правил в области транспортных средств и</w:t>
      </w:r>
      <w:r w:rsidR="00B44D4C">
        <w:rPr>
          <w:bCs/>
        </w:rPr>
        <w:t> </w:t>
      </w:r>
      <w:r>
        <w:rPr>
          <w:bCs/>
        </w:rPr>
        <w:t>его неофициальная рабочая группа по интеллектуальным транспортным системам/автоматизированному вождению</w:t>
      </w:r>
    </w:p>
    <w:p w14:paraId="0E49FD0D" w14:textId="77777777" w:rsidR="00F1488C" w:rsidRPr="003E0A7A" w:rsidRDefault="00F1488C" w:rsidP="00F1488C">
      <w:pPr>
        <w:pStyle w:val="SingleTxtG"/>
      </w:pPr>
      <w:r>
        <w:t>16.</w:t>
      </w:r>
      <w:r>
        <w:tab/>
        <w:t xml:space="preserve">Под интеллектуальными транспортными системами (ИТС) WP.29 зачастую подразумевает системы, в случае которых информационные и коммуникационные технологии применяются к автомобильному транспорту, включая инфраструктуру, транспортные средства и их пользователей, к регулированию дорожного движения и управлению мобильностью, а также к взаимодействию с другими видами транспорта. В 2002 году WP.29 учредил неофициальную рабочую группу по ИТС для рассмотрения этих технологий и систем в контексте эксплуатационных характеристик автотранспортных средств. В течение 2002–2013 годов эта неофициальная рабочая группа по ИТС сосредоточила свое внимание на поступающих на рынок технологиях содействия водителю и на соответствующих аспектах человеко-машинного интерфейса, в результате чего были разработаны руководящие принципы высокоприоритетных/критически важных предупреждений с точки зрения безопасности и для современных систем содействия водителю (СССВ). По мере совершенствования этих технологий и систем неофициальная группа переключила свое внимание на автоматизированные системы вождения (АСВ). В течение </w:t>
      </w:r>
      <w:r w:rsidR="00EC595B">
        <w:br/>
      </w:r>
      <w:r>
        <w:t xml:space="preserve">2014–2018 годов неофициальная группа по ИТС/автоматизированному вождению (АВ) рассматривала вопрос о взаимосвязи автоматизированного вождения и правил дорожного движения, разрабатывала определения терминов и концепций в области </w:t>
      </w:r>
      <w:r>
        <w:lastRenderedPageBreak/>
        <w:t>автоматизированного вождения и предлагала рекомендации наряду с проектами нормативных текстов для решения проблем кибербезопасности и обеспечения защищенности программного обеспечения. В свете стремительного прогресса в области технологий автоматизированного вождения WP.29 решил в 2018 году преобразовать свою вспомогательную Рабочую группу по вопросам торможения и ходовой части (GRRF) во вспомогательную Рабочую группу по автоматизированным/</w:t>
      </w:r>
      <w:r w:rsidR="00B44D4C">
        <w:br/>
      </w:r>
      <w:r>
        <w:t>автономным и подключенным транспортным средствам (GRVA). В связи с этим предполагается, что автоматизация окажет преобразующее воздействие на базовые функции управления тормозной и рулевой системой, а также связанными с ними системами и на изменение роли водителя. В результате ответственность за осуществление деятельности в области автоматизированного вождения, которая ранее проводилась под контролем неофициальной группы по ИТС/АВ, взяла на себя GRVA. Вместе с тем, как отмечалось выше, сфера применения интеллектуальных транспортных систем выходит за пределы компетенции WP.29, сосредоточившего внимание на правилах, касающихся транспортных средств, и включает отчасти правила дорожного движения, дорожную инфраструктуру и информационные технологии. Таким образом, в контексте дискуссии в WP.29 предполагается, что третий этап работы в рамках неофициальной рабочей группы по ИТС, принятый в июне 2019 года, призван оказывать WP.29 содействие в совершенствовании связей с другими группами ЕЭК ООН и внешними организациями, с тем чтобы обеспечить информированность WP.29 относительно изменений, актуальных для его роли в области регулирования эксплуатационных характеристик автотранспортных средств, и осведомленность этих других организаций и учреждений о деятельности WP.29, его роли и обязанностях в этой важной области. В целях отражения этой новой роли в ходе Всемирного форума были также приняты в июне 2019 года пересмотренные положения о круге ведения неофициальной рабочей группы по интеллектуальным транспортным системам.</w:t>
      </w:r>
    </w:p>
    <w:p w14:paraId="477D909F" w14:textId="77777777" w:rsidR="00F1488C" w:rsidRPr="003E0A7A" w:rsidRDefault="00F1488C" w:rsidP="00F1488C">
      <w:pPr>
        <w:pStyle w:val="SingleTxtG"/>
      </w:pPr>
      <w:r>
        <w:t>17.</w:t>
      </w:r>
      <w:r>
        <w:tab/>
        <w:t>Автономные транспортные средства, как ожидается, окажут благоприятное влияние на общество с точки зрения повышения мобильности и безопасности. Однако это будет реализовано только в том случае, если внедрение автономных технологий будет осуществлено надлежащим образом и основано на передовом мировом опыте и международном сотрудничестве. Это необходимо для того, чтобы гарантировать наивысшие стандарты безопасности и общественное признание. В этих целях эксперты WP.29 под руководством Европейского союза, Китая, Соединенных Штатов Америки и Японии разработали соответствующий рамочный документ с руководящими указаниями на предмет будущей нормотворческой деятельности Организации Объединенных Наций в этой стратегической области в интересах будущего развития мобильности. Рамочный документ, принятый в июне 2019 года, действует в отношении автоматизированных/автономных транспортных средств, оснащенных системами, которые обеспечивают управление либо под частичным контролем водителя, либо без такого контроля, что обычно соответствует уровням автоматизации от 3 до 5. В этом рамочном документе ключевым элементом любых изменений в этой области является безопасность и подчеркивается, что:</w:t>
      </w:r>
    </w:p>
    <w:p w14:paraId="372206BE" w14:textId="77777777" w:rsidR="00F1488C" w:rsidRPr="003E0A7A" w:rsidRDefault="00EC595B" w:rsidP="00F1488C">
      <w:pPr>
        <w:tabs>
          <w:tab w:val="left" w:pos="567"/>
        </w:tabs>
        <w:spacing w:after="120"/>
        <w:ind w:left="1134" w:right="1134"/>
        <w:jc w:val="both"/>
      </w:pPr>
      <w:r>
        <w:tab/>
      </w:r>
      <w:r>
        <w:tab/>
        <w:t>«</w:t>
      </w:r>
      <w:r w:rsidR="00F1488C">
        <w:t xml:space="preserve">Уровень безопасности, который должны обеспечивать автоматизированные/автономные транспортные средства, предполагает, что </w:t>
      </w:r>
      <w:r>
        <w:rPr>
          <w:rFonts w:cs="Times New Roman"/>
        </w:rPr>
        <w:t>"</w:t>
      </w:r>
      <w:r w:rsidR="00F1488C">
        <w:t>эксплуатация автоматизированного/автономного транспортного средства не должна приводить к возникновению какой-либо недопустимой опасности</w:t>
      </w:r>
      <w:r>
        <w:rPr>
          <w:rFonts w:cs="Times New Roman"/>
        </w:rPr>
        <w:t>"</w:t>
      </w:r>
      <w:r w:rsidR="00F1488C">
        <w:t>, а это означает, что использование автоматизированных/автономных транспортных систем в автоматическом режиме не должно влечь за собой обоснованно предсказуемые и предотвратимые дорожно-транспортные происшествия с травмами или смертельным исходом</w:t>
      </w:r>
      <w:r>
        <w:t>»</w:t>
      </w:r>
      <w:r w:rsidR="00F1488C">
        <w:t xml:space="preserve">. </w:t>
      </w:r>
    </w:p>
    <w:p w14:paraId="2F697ED7" w14:textId="77777777" w:rsidR="00F1488C" w:rsidRPr="003E0A7A" w:rsidRDefault="00F1488C" w:rsidP="00F1488C">
      <w:pPr>
        <w:spacing w:after="120"/>
        <w:ind w:left="1134" w:right="1134"/>
        <w:jc w:val="both"/>
        <w:rPr>
          <w:i/>
        </w:rPr>
      </w:pPr>
      <w:r w:rsidRPr="005B2D02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5B2D02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5B2D02">
        <w:rPr>
          <w:b/>
          <w:bCs/>
        </w:rPr>
        <w:t>жирным шрифтом</w:t>
      </w:r>
      <w:r>
        <w:t xml:space="preserve">): </w:t>
      </w:r>
      <w:r w:rsidRPr="00F80D20">
        <w:rPr>
          <w:b/>
          <w:bCs/>
          <w:i/>
        </w:rPr>
        <w:t>1</w:t>
      </w:r>
      <w:r w:rsidRPr="00F80D20">
        <w:rPr>
          <w:i/>
        </w:rPr>
        <w:t xml:space="preserve">, </w:t>
      </w:r>
      <w:r w:rsidRPr="00F80D20">
        <w:rPr>
          <w:b/>
          <w:bCs/>
          <w:i/>
        </w:rPr>
        <w:t>2</w:t>
      </w:r>
      <w:r w:rsidRPr="00F80D20">
        <w:rPr>
          <w:i/>
        </w:rPr>
        <w:t xml:space="preserve">, </w:t>
      </w:r>
      <w:r w:rsidRPr="00F80D20">
        <w:rPr>
          <w:b/>
          <w:bCs/>
          <w:i/>
        </w:rPr>
        <w:t>3</w:t>
      </w:r>
      <w:r w:rsidRPr="00F80D20">
        <w:rPr>
          <w:i/>
        </w:rPr>
        <w:t xml:space="preserve">, 4, </w:t>
      </w:r>
      <w:r w:rsidRPr="00F80D20">
        <w:rPr>
          <w:b/>
          <w:bCs/>
          <w:i/>
        </w:rPr>
        <w:t>5</w:t>
      </w:r>
      <w:r w:rsidRPr="00F80D20">
        <w:rPr>
          <w:i/>
        </w:rPr>
        <w:t xml:space="preserve">, 7, </w:t>
      </w:r>
      <w:r w:rsidRPr="00F80D20">
        <w:rPr>
          <w:b/>
          <w:bCs/>
          <w:i/>
        </w:rPr>
        <w:t>8</w:t>
      </w:r>
      <w:r w:rsidRPr="00F80D20">
        <w:rPr>
          <w:i/>
        </w:rPr>
        <w:t>, 9, 10, 11, 16, 17 и 19</w:t>
      </w:r>
      <w:r>
        <w:t>.</w:t>
      </w:r>
    </w:p>
    <w:p w14:paraId="7D33D372" w14:textId="77777777" w:rsidR="00F1488C" w:rsidRPr="003E0A7A" w:rsidRDefault="00F1488C" w:rsidP="00F1488C">
      <w:pPr>
        <w:pStyle w:val="H23G"/>
      </w:pPr>
      <w:r>
        <w:lastRenderedPageBreak/>
        <w:tab/>
        <w:t>5.</w:t>
      </w:r>
      <w:r>
        <w:tab/>
      </w:r>
      <w:r>
        <w:rPr>
          <w:bCs/>
        </w:rPr>
        <w:t>Рабочая группа по автоматизированным/автономным и подключенным транспортным средствам</w:t>
      </w:r>
    </w:p>
    <w:p w14:paraId="4843B858" w14:textId="77777777" w:rsidR="00F1488C" w:rsidRPr="003E0A7A" w:rsidRDefault="00F1488C" w:rsidP="00F1488C">
      <w:pPr>
        <w:pStyle w:val="SingleTxtG"/>
      </w:pPr>
      <w:r>
        <w:t>18.</w:t>
      </w:r>
      <w:r>
        <w:tab/>
        <w:t>После принятия указанного выше рамочного документа четыре вновь созданные неофициальные рабочие группы GRVA приступили к работе над предложениями по упомянутым в нем темам под руководством экспертов из Азии, Европы и Северной Америки в целях обеспечения как можно более широкого технического и географического представительства. Этим четырем группам было поручено проводить работу по следующим аспектам:</w:t>
      </w:r>
    </w:p>
    <w:p w14:paraId="6903F297" w14:textId="77777777" w:rsidR="00F1488C" w:rsidRPr="003E0A7A" w:rsidRDefault="00F1488C" w:rsidP="00F1488C">
      <w:pPr>
        <w:pStyle w:val="Bullet1G"/>
        <w:numPr>
          <w:ilvl w:val="0"/>
          <w:numId w:val="22"/>
        </w:numPr>
      </w:pPr>
      <w:r>
        <w:t>функциональные требования для автоматизированных транспортных средств,</w:t>
      </w:r>
    </w:p>
    <w:p w14:paraId="577E76E7" w14:textId="77777777" w:rsidR="00F1488C" w:rsidRPr="003E0A7A" w:rsidRDefault="00F1488C" w:rsidP="00F1488C">
      <w:pPr>
        <w:pStyle w:val="Bullet1G"/>
        <w:numPr>
          <w:ilvl w:val="0"/>
          <w:numId w:val="22"/>
        </w:numPr>
      </w:pPr>
      <w:r>
        <w:t>проверка ездового потенциала автоматизированных транспортных средств,</w:t>
      </w:r>
    </w:p>
    <w:p w14:paraId="29A452E9" w14:textId="77777777" w:rsidR="00F1488C" w:rsidRPr="003E0A7A" w:rsidRDefault="00F1488C" w:rsidP="00F1488C">
      <w:pPr>
        <w:pStyle w:val="Bullet1G"/>
        <w:numPr>
          <w:ilvl w:val="0"/>
          <w:numId w:val="22"/>
        </w:numPr>
      </w:pPr>
      <w:r>
        <w:t>кибербезопасность и обновление программного обеспечения,</w:t>
      </w:r>
    </w:p>
    <w:p w14:paraId="200D8A11" w14:textId="56FA0561" w:rsidR="00F1488C" w:rsidRPr="003E0A7A" w:rsidRDefault="00F1488C" w:rsidP="00F1488C">
      <w:pPr>
        <w:pStyle w:val="Bullet1G"/>
        <w:numPr>
          <w:ilvl w:val="0"/>
          <w:numId w:val="22"/>
        </w:numPr>
      </w:pPr>
      <w:r>
        <w:t>система хранения данных для автоматизированного вождения (и регистраторы данных об авариях)</w:t>
      </w:r>
      <w:r w:rsidR="00FF3F4A">
        <w:t>.</w:t>
      </w:r>
    </w:p>
    <w:p w14:paraId="42766459" w14:textId="77777777" w:rsidR="00F1488C" w:rsidRPr="000C19EA" w:rsidRDefault="00F1488C" w:rsidP="00F1488C">
      <w:pPr>
        <w:pStyle w:val="SingleTxtG"/>
      </w:pPr>
      <w:r>
        <w:t>19.</w:t>
      </w:r>
      <w:r>
        <w:tab/>
        <w:t xml:space="preserve">На своей сессии в сентябре 2019 года GRVA приняла технические положения, касающиеся автоматизированных транспортных средств. Она добилась прогресса в своей деятельности, связанной с обеспечением кибербезопасности и подключением транспортных средств в целом. GRVA приняла также предложение по поправкам, касающимся современных систем содействия водителю (СССВ). </w:t>
      </w:r>
    </w:p>
    <w:p w14:paraId="52F490AF" w14:textId="77777777" w:rsidR="00F1488C" w:rsidRPr="003E0A7A" w:rsidRDefault="00F1488C" w:rsidP="00F1488C">
      <w:pPr>
        <w:spacing w:after="120"/>
        <w:ind w:left="1134" w:right="1134"/>
        <w:jc w:val="both"/>
        <w:rPr>
          <w:i/>
        </w:rPr>
      </w:pPr>
      <w:r w:rsidRPr="005B2D02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5B2D02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5B2D02">
        <w:rPr>
          <w:b/>
          <w:bCs/>
        </w:rPr>
        <w:t>жирным шрифтом</w:t>
      </w:r>
      <w:r>
        <w:t xml:space="preserve">): </w:t>
      </w:r>
      <w:r w:rsidRPr="00F80D20">
        <w:rPr>
          <w:i/>
        </w:rPr>
        <w:t xml:space="preserve">1, </w:t>
      </w:r>
      <w:r w:rsidRPr="00F80D20">
        <w:rPr>
          <w:b/>
          <w:bCs/>
          <w:i/>
        </w:rPr>
        <w:t>2</w:t>
      </w:r>
      <w:r w:rsidRPr="00F80D20">
        <w:rPr>
          <w:i/>
        </w:rPr>
        <w:t xml:space="preserve">, 3, 4, </w:t>
      </w:r>
      <w:r w:rsidRPr="00F80D20">
        <w:rPr>
          <w:b/>
          <w:bCs/>
          <w:i/>
        </w:rPr>
        <w:t>5</w:t>
      </w:r>
      <w:r w:rsidRPr="00F80D20">
        <w:rPr>
          <w:i/>
        </w:rPr>
        <w:t xml:space="preserve">, 6, 8, </w:t>
      </w:r>
      <w:r w:rsidRPr="00F80D20">
        <w:rPr>
          <w:b/>
          <w:bCs/>
          <w:i/>
        </w:rPr>
        <w:t>9</w:t>
      </w:r>
      <w:r w:rsidRPr="00F80D20">
        <w:rPr>
          <w:i/>
        </w:rPr>
        <w:t>, 15 и 17</w:t>
      </w:r>
      <w:r>
        <w:t>.</w:t>
      </w:r>
    </w:p>
    <w:p w14:paraId="0B5F6810" w14:textId="77777777" w:rsidR="00F1488C" w:rsidRPr="003E0A7A" w:rsidRDefault="00F1488C" w:rsidP="00F1488C">
      <w:pPr>
        <w:pStyle w:val="H23G"/>
      </w:pPr>
      <w:r>
        <w:tab/>
        <w:t>6.</w:t>
      </w:r>
      <w:r>
        <w:tab/>
      </w:r>
      <w:r>
        <w:rPr>
          <w:bCs/>
        </w:rPr>
        <w:t>Рабочая группа по интермодальным перевозкам и логистике</w:t>
      </w:r>
    </w:p>
    <w:p w14:paraId="6627E329" w14:textId="77777777" w:rsidR="00F1488C" w:rsidRPr="003E0A7A" w:rsidRDefault="00F1488C" w:rsidP="00F1488C">
      <w:pPr>
        <w:pStyle w:val="SingleTxtG"/>
      </w:pPr>
      <w:r>
        <w:t>20.</w:t>
      </w:r>
      <w:r>
        <w:tab/>
        <w:t xml:space="preserve">Рабочей группе по интермодальным перевозкам и логистике (WP.24) было предложено уделять больше внимания оцифровке транспортных документов, с тем чтобы осуществлять руководство по обмену документацией между портами и железными дорогами. Ожидается, что WP.24 продолжит рассмотрение этой работы путем изучения возможностей взаимодействия, в частности в рамках программы СЕФАКТ ООН. </w:t>
      </w:r>
    </w:p>
    <w:p w14:paraId="23428253" w14:textId="77777777" w:rsidR="00F1488C" w:rsidRPr="003E0A7A" w:rsidRDefault="00F1488C" w:rsidP="00F1488C">
      <w:pPr>
        <w:spacing w:after="120"/>
        <w:ind w:left="1134" w:right="1134"/>
        <w:jc w:val="both"/>
        <w:rPr>
          <w:i/>
        </w:rPr>
      </w:pPr>
      <w:r w:rsidRPr="005B2D02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5B2D02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5B2D02">
        <w:rPr>
          <w:b/>
          <w:bCs/>
        </w:rPr>
        <w:t>жирным шрифтом</w:t>
      </w:r>
      <w:r>
        <w:t xml:space="preserve">): </w:t>
      </w:r>
      <w:r w:rsidRPr="00F80D20">
        <w:rPr>
          <w:i/>
        </w:rPr>
        <w:t xml:space="preserve">1, 2, 3, 4, 5, 6, </w:t>
      </w:r>
      <w:r w:rsidRPr="00F80D20">
        <w:rPr>
          <w:b/>
          <w:bCs/>
          <w:i/>
        </w:rPr>
        <w:t>13</w:t>
      </w:r>
      <w:r w:rsidRPr="00F80D20">
        <w:rPr>
          <w:i/>
        </w:rPr>
        <w:t xml:space="preserve">, </w:t>
      </w:r>
      <w:r w:rsidRPr="00F80D20">
        <w:rPr>
          <w:b/>
          <w:bCs/>
          <w:i/>
        </w:rPr>
        <w:t>15</w:t>
      </w:r>
      <w:r w:rsidRPr="00F80D20">
        <w:rPr>
          <w:i/>
        </w:rPr>
        <w:t>, 16, 17, 18 и 19</w:t>
      </w:r>
      <w:r w:rsidR="00B44D4C">
        <w:t>.</w:t>
      </w:r>
    </w:p>
    <w:p w14:paraId="498E693E" w14:textId="77777777" w:rsidR="00F1488C" w:rsidRPr="003E0A7A" w:rsidRDefault="00F1488C" w:rsidP="00F1488C">
      <w:pPr>
        <w:pStyle w:val="H23G"/>
      </w:pPr>
      <w:r>
        <w:tab/>
        <w:t>7.</w:t>
      </w:r>
      <w:r>
        <w:tab/>
      </w:r>
      <w:r>
        <w:rPr>
          <w:bCs/>
        </w:rPr>
        <w:t>Рабочая группа по автомобильному транспорту</w:t>
      </w:r>
    </w:p>
    <w:p w14:paraId="7768471D" w14:textId="77777777" w:rsidR="00F1488C" w:rsidRPr="003E0A7A" w:rsidRDefault="00F1488C" w:rsidP="00F1488C">
      <w:pPr>
        <w:pStyle w:val="SingleTxtG"/>
      </w:pPr>
      <w:r>
        <w:t>21.</w:t>
      </w:r>
      <w:r>
        <w:tab/>
        <w:t xml:space="preserve">Рабочая группа по автомобильному транспорту (SC.1) на своей ежегодной сессии в 2019 году рассмотрела свою деятельность в свете Стратегии КВТ на период до 2030 года и подтвердила свою роль в качестве региональной платформы для обмена информацией в области </w:t>
      </w:r>
      <w:r w:rsidR="00EC595B">
        <w:t>«</w:t>
      </w:r>
      <w:r>
        <w:t>умных</w:t>
      </w:r>
      <w:r w:rsidR="00EC595B">
        <w:t>»</w:t>
      </w:r>
      <w:r>
        <w:t xml:space="preserve"> дорог и других аспектов цифровизации, в том числе услуг и документов, связанных с автомобильным транспортом.</w:t>
      </w:r>
    </w:p>
    <w:p w14:paraId="767D0A55" w14:textId="77777777" w:rsidR="00F1488C" w:rsidRPr="003E0A7A" w:rsidRDefault="00F1488C" w:rsidP="00F1488C">
      <w:pPr>
        <w:tabs>
          <w:tab w:val="left" w:pos="567"/>
        </w:tabs>
        <w:spacing w:after="120"/>
        <w:ind w:left="1134" w:right="1134"/>
        <w:jc w:val="both"/>
      </w:pPr>
      <w:r w:rsidRPr="002D55E5">
        <w:rPr>
          <w:i/>
          <w:iCs/>
        </w:rPr>
        <w:t xml:space="preserve">Затронутые направления действий </w:t>
      </w:r>
      <w:r w:rsidR="00EC595B">
        <w:rPr>
          <w:i/>
          <w:iCs/>
        </w:rPr>
        <w:t>«</w:t>
      </w:r>
      <w:r w:rsidRPr="002D55E5">
        <w:rPr>
          <w:i/>
          <w:iCs/>
        </w:rPr>
        <w:t>дорожной карты</w:t>
      </w:r>
      <w:r w:rsidR="00EC595B">
        <w:rPr>
          <w:i/>
          <w:iCs/>
        </w:rPr>
        <w:t>»</w:t>
      </w:r>
      <w:r>
        <w:t xml:space="preserve"> (области первостепенного внимания выделены </w:t>
      </w:r>
      <w:r w:rsidRPr="002D55E5">
        <w:rPr>
          <w:b/>
          <w:bCs/>
        </w:rPr>
        <w:t>жирным шрифтом</w:t>
      </w:r>
      <w:r>
        <w:t xml:space="preserve">): </w:t>
      </w:r>
      <w:r w:rsidRPr="00F80D20">
        <w:rPr>
          <w:i/>
        </w:rPr>
        <w:t xml:space="preserve">1, 2, 3, 4, 6, </w:t>
      </w:r>
      <w:r w:rsidRPr="00F80D20">
        <w:rPr>
          <w:b/>
          <w:bCs/>
          <w:i/>
        </w:rPr>
        <w:t>7</w:t>
      </w:r>
      <w:r w:rsidRPr="00F80D20">
        <w:rPr>
          <w:i/>
        </w:rPr>
        <w:t>, 8, 9, 10 и 19</w:t>
      </w:r>
      <w:r>
        <w:t xml:space="preserve">. </w:t>
      </w:r>
    </w:p>
    <w:p w14:paraId="3602672D" w14:textId="77777777" w:rsidR="00F1488C" w:rsidRPr="003E0A7A" w:rsidRDefault="00F1488C" w:rsidP="00EC595B">
      <w:pPr>
        <w:pStyle w:val="HChG"/>
        <w:pageBreakBefore/>
        <w:ind w:left="1138" w:right="1138" w:hanging="1138"/>
      </w:pPr>
      <w:r>
        <w:rPr>
          <w:bCs/>
        </w:rPr>
        <w:lastRenderedPageBreak/>
        <w:t>Приложение</w:t>
      </w:r>
    </w:p>
    <w:p w14:paraId="153CEC69" w14:textId="77777777" w:rsidR="00F1488C" w:rsidRPr="003E0A7A" w:rsidRDefault="00F1488C" w:rsidP="00F1488C">
      <w:pPr>
        <w:pStyle w:val="HChG"/>
      </w:pPr>
      <w:r>
        <w:tab/>
      </w:r>
      <w:r>
        <w:tab/>
      </w:r>
      <w:r w:rsidR="00EC595B">
        <w:rPr>
          <w:bCs/>
        </w:rPr>
        <w:t>«</w:t>
      </w:r>
      <w:r>
        <w:rPr>
          <w:bCs/>
        </w:rPr>
        <w:t>Дорожная карта</w:t>
      </w:r>
      <w:r w:rsidR="00EC595B">
        <w:rPr>
          <w:bCs/>
        </w:rPr>
        <w:t>»</w:t>
      </w:r>
      <w:r>
        <w:rPr>
          <w:bCs/>
        </w:rPr>
        <w:t xml:space="preserve"> ЕЭК ООН по интеллектуальным транспортным системам 2020</w:t>
      </w:r>
      <w:r w:rsidR="00B927C0">
        <w:rPr>
          <w:bCs/>
        </w:rPr>
        <w:t xml:space="preserve"> года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F1488C" w:rsidRPr="000C19EA" w14:paraId="365FB4E3" w14:textId="77777777" w:rsidTr="003D66CC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5D46416C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bookmarkStart w:id="2" w:name="_Hlk530672876"/>
            <w:r>
              <w:rPr>
                <w:b/>
                <w:bCs/>
              </w:rPr>
              <w:t>Направление действий 1</w:t>
            </w:r>
          </w:p>
          <w:p w14:paraId="6B48BECC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Принятие общего определения для ИТС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60CC8DE5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11</w:t>
            </w:r>
          </w:p>
          <w:p w14:paraId="226C78B6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Согласование знаков с изменяющимся сообщением</w:t>
            </w:r>
          </w:p>
        </w:tc>
      </w:tr>
      <w:tr w:rsidR="00F1488C" w:rsidRPr="000C19EA" w14:paraId="243677A9" w14:textId="77777777" w:rsidTr="003D66CC">
        <w:tc>
          <w:tcPr>
            <w:tcW w:w="3685" w:type="dxa"/>
            <w:shd w:val="clear" w:color="auto" w:fill="auto"/>
          </w:tcPr>
          <w:p w14:paraId="10AB28FB" w14:textId="77777777" w:rsidR="00F1488C" w:rsidRPr="002D4AB4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2</w:t>
            </w:r>
          </w:p>
          <w:p w14:paraId="114FE7B9" w14:textId="77777777" w:rsidR="00F1488C" w:rsidRPr="002D4AB4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Согласование политики</w:t>
            </w:r>
          </w:p>
        </w:tc>
        <w:tc>
          <w:tcPr>
            <w:tcW w:w="3685" w:type="dxa"/>
            <w:shd w:val="clear" w:color="auto" w:fill="auto"/>
          </w:tcPr>
          <w:p w14:paraId="41796312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12</w:t>
            </w:r>
          </w:p>
          <w:p w14:paraId="68DA9296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Сокращение рисков, связанных с перевозками опасных грузов</w:t>
            </w:r>
          </w:p>
        </w:tc>
      </w:tr>
      <w:tr w:rsidR="00F1488C" w:rsidRPr="000C19EA" w14:paraId="1AC20C13" w14:textId="77777777" w:rsidTr="003D66CC">
        <w:tc>
          <w:tcPr>
            <w:tcW w:w="3685" w:type="dxa"/>
            <w:shd w:val="clear" w:color="auto" w:fill="auto"/>
          </w:tcPr>
          <w:p w14:paraId="589948D6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3</w:t>
            </w:r>
          </w:p>
          <w:p w14:paraId="0B8C2DA9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Налаживание международного сотрудничества</w:t>
            </w:r>
          </w:p>
        </w:tc>
        <w:tc>
          <w:tcPr>
            <w:tcW w:w="3685" w:type="dxa"/>
            <w:shd w:val="clear" w:color="auto" w:fill="auto"/>
          </w:tcPr>
          <w:p w14:paraId="1BC05FCC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13</w:t>
            </w:r>
          </w:p>
          <w:p w14:paraId="3E27DFD0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Интеграция с железнодорожным транспортом</w:t>
            </w:r>
          </w:p>
        </w:tc>
      </w:tr>
      <w:tr w:rsidR="00F1488C" w:rsidRPr="000C19EA" w14:paraId="59C10EA5" w14:textId="77777777" w:rsidTr="003D66CC">
        <w:tc>
          <w:tcPr>
            <w:tcW w:w="3685" w:type="dxa"/>
            <w:shd w:val="clear" w:color="auto" w:fill="auto"/>
          </w:tcPr>
          <w:p w14:paraId="215602C1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4</w:t>
            </w:r>
          </w:p>
          <w:p w14:paraId="7BB47562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Облегчение эксплуатационной совместимости и архитектура ИТС</w:t>
            </w:r>
          </w:p>
        </w:tc>
        <w:tc>
          <w:tcPr>
            <w:tcW w:w="3685" w:type="dxa"/>
            <w:shd w:val="clear" w:color="auto" w:fill="auto"/>
          </w:tcPr>
          <w:p w14:paraId="5508378C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14</w:t>
            </w:r>
          </w:p>
          <w:p w14:paraId="3747D4F2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Интеграция с внутренним водным транспортом</w:t>
            </w:r>
          </w:p>
        </w:tc>
      </w:tr>
      <w:tr w:rsidR="00F1488C" w:rsidRPr="000C19EA" w14:paraId="1E4359E8" w14:textId="77777777" w:rsidTr="003D66CC">
        <w:tc>
          <w:tcPr>
            <w:tcW w:w="3685" w:type="dxa"/>
            <w:shd w:val="clear" w:color="auto" w:fill="auto"/>
          </w:tcPr>
          <w:p w14:paraId="5E5BBBC3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5</w:t>
            </w:r>
          </w:p>
          <w:p w14:paraId="003F104B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Обеспечение защиты данных</w:t>
            </w:r>
          </w:p>
        </w:tc>
        <w:tc>
          <w:tcPr>
            <w:tcW w:w="3685" w:type="dxa"/>
            <w:shd w:val="clear" w:color="auto" w:fill="auto"/>
          </w:tcPr>
          <w:p w14:paraId="0E60C8AB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15</w:t>
            </w:r>
          </w:p>
          <w:p w14:paraId="31FEFD2C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Усиление интегрирующей роли ИТС в развитии различных видов транспорта</w:t>
            </w:r>
          </w:p>
        </w:tc>
      </w:tr>
      <w:tr w:rsidR="00F1488C" w:rsidRPr="000C19EA" w14:paraId="319A6074" w14:textId="77777777" w:rsidTr="003D66CC">
        <w:tc>
          <w:tcPr>
            <w:tcW w:w="3685" w:type="dxa"/>
            <w:shd w:val="clear" w:color="auto" w:fill="auto"/>
          </w:tcPr>
          <w:p w14:paraId="18DCEBEE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6</w:t>
            </w:r>
          </w:p>
          <w:p w14:paraId="6E53CA59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Расширение масштабов деятельности в области ИТС во всех рабочих группах КВТ</w:t>
            </w:r>
          </w:p>
        </w:tc>
        <w:tc>
          <w:tcPr>
            <w:tcW w:w="3685" w:type="dxa"/>
            <w:shd w:val="clear" w:color="auto" w:fill="auto"/>
          </w:tcPr>
          <w:p w14:paraId="1F869DB6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16</w:t>
            </w:r>
          </w:p>
          <w:p w14:paraId="0A5D1FD2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Разработка методологий оценки экономической эффективности</w:t>
            </w:r>
          </w:p>
        </w:tc>
      </w:tr>
      <w:tr w:rsidR="00F1488C" w:rsidRPr="000C19EA" w14:paraId="3B9B6546" w14:textId="77777777" w:rsidTr="003D66CC">
        <w:tc>
          <w:tcPr>
            <w:tcW w:w="3685" w:type="dxa"/>
            <w:shd w:val="clear" w:color="auto" w:fill="auto"/>
          </w:tcPr>
          <w:p w14:paraId="0A731F94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7</w:t>
            </w:r>
          </w:p>
          <w:p w14:paraId="7D8F37A5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Содействие развитию систем связи между транспортными средствами и инфраструктурой</w:t>
            </w:r>
          </w:p>
        </w:tc>
        <w:tc>
          <w:tcPr>
            <w:tcW w:w="3685" w:type="dxa"/>
            <w:shd w:val="clear" w:color="auto" w:fill="auto"/>
          </w:tcPr>
          <w:p w14:paraId="7A56AEB2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17</w:t>
            </w:r>
          </w:p>
          <w:p w14:paraId="6A78E94F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Содействие смягчению последствий изменения климата и адаптации к нему</w:t>
            </w:r>
          </w:p>
        </w:tc>
      </w:tr>
      <w:tr w:rsidR="00F1488C" w:rsidRPr="000C19EA" w14:paraId="30AA601E" w14:textId="77777777" w:rsidTr="003D66CC">
        <w:tc>
          <w:tcPr>
            <w:tcW w:w="3685" w:type="dxa"/>
            <w:shd w:val="clear" w:color="auto" w:fill="auto"/>
          </w:tcPr>
          <w:p w14:paraId="538905A5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8</w:t>
            </w:r>
          </w:p>
          <w:p w14:paraId="4AAA7544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Содействие развитию технологий связи между транспортными средствами</w:t>
            </w:r>
          </w:p>
        </w:tc>
        <w:tc>
          <w:tcPr>
            <w:tcW w:w="3685" w:type="dxa"/>
            <w:shd w:val="clear" w:color="auto" w:fill="auto"/>
          </w:tcPr>
          <w:p w14:paraId="086181E1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18</w:t>
            </w:r>
          </w:p>
          <w:p w14:paraId="1FC055DA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Проведение аналитической работы</w:t>
            </w:r>
          </w:p>
        </w:tc>
      </w:tr>
      <w:tr w:rsidR="00F1488C" w:rsidRPr="000C19EA" w14:paraId="599A61BA" w14:textId="77777777" w:rsidTr="003D66CC">
        <w:tc>
          <w:tcPr>
            <w:tcW w:w="3685" w:type="dxa"/>
            <w:shd w:val="clear" w:color="auto" w:fill="auto"/>
          </w:tcPr>
          <w:p w14:paraId="13362329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9</w:t>
            </w:r>
          </w:p>
          <w:p w14:paraId="1EEFA195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Борьба с кризисом в области безопасности дорожного движения</w:t>
            </w:r>
          </w:p>
        </w:tc>
        <w:tc>
          <w:tcPr>
            <w:tcW w:w="3685" w:type="dxa"/>
            <w:shd w:val="clear" w:color="auto" w:fill="auto"/>
          </w:tcPr>
          <w:p w14:paraId="6A1681C1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19</w:t>
            </w:r>
          </w:p>
          <w:p w14:paraId="7C7CC4E4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Содействие наращиванию потенциала, просветительской работе и повышению информированности с уделением особого внимания странам с формирующейся экономикой</w:t>
            </w:r>
          </w:p>
        </w:tc>
      </w:tr>
      <w:tr w:rsidR="00F1488C" w:rsidRPr="000C19EA" w14:paraId="03820F6A" w14:textId="77777777" w:rsidTr="003D66CC">
        <w:tc>
          <w:tcPr>
            <w:tcW w:w="3685" w:type="dxa"/>
            <w:shd w:val="clear" w:color="auto" w:fill="auto"/>
          </w:tcPr>
          <w:p w14:paraId="12A40300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10</w:t>
            </w:r>
          </w:p>
          <w:p w14:paraId="3913D617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>Решение проблем ответственности</w:t>
            </w:r>
          </w:p>
        </w:tc>
        <w:tc>
          <w:tcPr>
            <w:tcW w:w="3685" w:type="dxa"/>
            <w:shd w:val="clear" w:color="auto" w:fill="auto"/>
          </w:tcPr>
          <w:p w14:paraId="490907F2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20</w:t>
            </w:r>
          </w:p>
          <w:p w14:paraId="7A82B5B6" w14:textId="77777777" w:rsidR="00F1488C" w:rsidRPr="003E0A7A" w:rsidRDefault="00F1488C" w:rsidP="002512AD">
            <w:pPr>
              <w:spacing w:before="40" w:after="40" w:line="220" w:lineRule="exact"/>
              <w:ind w:right="115"/>
              <w:rPr>
                <w:sz w:val="18"/>
              </w:rPr>
            </w:pPr>
            <w:r>
              <w:t xml:space="preserve">Организация ежегодного </w:t>
            </w:r>
            <w:r w:rsidR="00EC595B">
              <w:t>«</w:t>
            </w:r>
            <w:r>
              <w:t>круглого стола</w:t>
            </w:r>
            <w:r w:rsidR="00EC595B">
              <w:t>»</w:t>
            </w:r>
            <w:r>
              <w:t xml:space="preserve"> Организации Объединенных Наций по ИТС</w:t>
            </w:r>
          </w:p>
        </w:tc>
      </w:tr>
    </w:tbl>
    <w:bookmarkEnd w:id="2"/>
    <w:p w14:paraId="2F961892" w14:textId="77777777" w:rsidR="00F1488C" w:rsidRPr="00EC595B" w:rsidRDefault="00EC595B" w:rsidP="00EC595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396252" w14:textId="77777777" w:rsidR="00E12C5F" w:rsidRPr="008D53B6" w:rsidRDefault="00E12C5F" w:rsidP="00D9145B"/>
    <w:sectPr w:rsidR="00E12C5F" w:rsidRPr="008D53B6" w:rsidSect="00F1488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873D" w14:textId="77777777" w:rsidR="00C26DFD" w:rsidRPr="00A312BC" w:rsidRDefault="00C26DFD" w:rsidP="00A312BC"/>
  </w:endnote>
  <w:endnote w:type="continuationSeparator" w:id="0">
    <w:p w14:paraId="5AC50631" w14:textId="77777777" w:rsidR="00C26DFD" w:rsidRPr="00A312BC" w:rsidRDefault="00C26D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2F1C" w14:textId="77777777" w:rsidR="00F1488C" w:rsidRPr="00F1488C" w:rsidRDefault="00F1488C">
    <w:pPr>
      <w:pStyle w:val="Footer"/>
    </w:pPr>
    <w:r w:rsidRPr="00F1488C">
      <w:rPr>
        <w:b/>
        <w:sz w:val="18"/>
      </w:rPr>
      <w:fldChar w:fldCharType="begin"/>
    </w:r>
    <w:r w:rsidRPr="00F1488C">
      <w:rPr>
        <w:b/>
        <w:sz w:val="18"/>
      </w:rPr>
      <w:instrText xml:space="preserve"> PAGE  \* MERGEFORMAT </w:instrText>
    </w:r>
    <w:r w:rsidRPr="00F1488C">
      <w:rPr>
        <w:b/>
        <w:sz w:val="18"/>
      </w:rPr>
      <w:fldChar w:fldCharType="separate"/>
    </w:r>
    <w:r w:rsidRPr="00F1488C">
      <w:rPr>
        <w:b/>
        <w:noProof/>
        <w:sz w:val="18"/>
      </w:rPr>
      <w:t>2</w:t>
    </w:r>
    <w:r w:rsidRPr="00F1488C">
      <w:rPr>
        <w:b/>
        <w:sz w:val="18"/>
      </w:rPr>
      <w:fldChar w:fldCharType="end"/>
    </w:r>
    <w:r>
      <w:rPr>
        <w:b/>
        <w:sz w:val="18"/>
      </w:rPr>
      <w:tab/>
    </w:r>
    <w:r>
      <w:t>GE.19-21957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4757" w14:textId="77777777" w:rsidR="00F1488C" w:rsidRPr="00F1488C" w:rsidRDefault="00F1488C" w:rsidP="00F1488C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GE.19-21957</w:t>
    </w:r>
    <w:r>
      <w:tab/>
    </w:r>
    <w:r w:rsidRPr="00F1488C">
      <w:rPr>
        <w:b/>
        <w:sz w:val="18"/>
      </w:rPr>
      <w:fldChar w:fldCharType="begin"/>
    </w:r>
    <w:r w:rsidRPr="00F1488C">
      <w:rPr>
        <w:b/>
        <w:sz w:val="18"/>
      </w:rPr>
      <w:instrText xml:space="preserve"> PAGE  \* MERGEFORMAT </w:instrText>
    </w:r>
    <w:r w:rsidRPr="00F1488C">
      <w:rPr>
        <w:b/>
        <w:sz w:val="18"/>
      </w:rPr>
      <w:fldChar w:fldCharType="separate"/>
    </w:r>
    <w:r w:rsidRPr="00F1488C">
      <w:rPr>
        <w:b/>
        <w:noProof/>
        <w:sz w:val="18"/>
      </w:rPr>
      <w:t>3</w:t>
    </w:r>
    <w:r w:rsidRPr="00F148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211D" w14:textId="5FF89724" w:rsidR="00042B72" w:rsidRPr="00F1488C" w:rsidRDefault="00F1488C" w:rsidP="00F1488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4CD1E6" wp14:editId="101D31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19-21957  (R)</w:t>
    </w:r>
    <w:r w:rsidR="00EC595B">
      <w:rPr>
        <w:lang w:val="en-US"/>
      </w:rPr>
      <w:t xml:space="preserve">  130120  1</w:t>
    </w:r>
    <w:r w:rsidR="004768F0">
      <w:rPr>
        <w:lang w:val="en-US"/>
      </w:rPr>
      <w:t>3</w:t>
    </w:r>
    <w:r w:rsidR="00EC595B">
      <w:rPr>
        <w:lang w:val="en-US"/>
      </w:rPr>
      <w:t>0120</w:t>
    </w:r>
    <w:r>
      <w:br/>
    </w:r>
    <w:r w:rsidRPr="00F1488C">
      <w:rPr>
        <w:rFonts w:ascii="C39T30Lfz" w:hAnsi="C39T30Lfz"/>
        <w:kern w:val="14"/>
        <w:sz w:val="56"/>
      </w:rPr>
      <w:t></w:t>
    </w:r>
    <w:r w:rsidRPr="00F1488C">
      <w:rPr>
        <w:rFonts w:ascii="C39T30Lfz" w:hAnsi="C39T30Lfz"/>
        <w:kern w:val="14"/>
        <w:sz w:val="56"/>
      </w:rPr>
      <w:t></w:t>
    </w:r>
    <w:r w:rsidRPr="00F1488C">
      <w:rPr>
        <w:rFonts w:ascii="C39T30Lfz" w:hAnsi="C39T30Lfz"/>
        <w:kern w:val="14"/>
        <w:sz w:val="56"/>
      </w:rPr>
      <w:t></w:t>
    </w:r>
    <w:r w:rsidRPr="00F1488C">
      <w:rPr>
        <w:rFonts w:ascii="C39T30Lfz" w:hAnsi="C39T30Lfz"/>
        <w:kern w:val="14"/>
        <w:sz w:val="56"/>
      </w:rPr>
      <w:t></w:t>
    </w:r>
    <w:r w:rsidRPr="00F1488C">
      <w:rPr>
        <w:rFonts w:ascii="C39T30Lfz" w:hAnsi="C39T30Lfz"/>
        <w:kern w:val="14"/>
        <w:sz w:val="56"/>
      </w:rPr>
      <w:t></w:t>
    </w:r>
    <w:r w:rsidRPr="00F1488C">
      <w:rPr>
        <w:rFonts w:ascii="C39T30Lfz" w:hAnsi="C39T30Lfz"/>
        <w:kern w:val="14"/>
        <w:sz w:val="56"/>
      </w:rPr>
      <w:t></w:t>
    </w:r>
    <w:r w:rsidRPr="00F1488C">
      <w:rPr>
        <w:rFonts w:ascii="C39T30Lfz" w:hAnsi="C39T30Lfz"/>
        <w:kern w:val="14"/>
        <w:sz w:val="56"/>
      </w:rPr>
      <w:t></w:t>
    </w:r>
    <w:r w:rsidRPr="00F1488C">
      <w:rPr>
        <w:rFonts w:ascii="C39T30Lfz" w:hAnsi="C39T30Lfz"/>
        <w:kern w:val="14"/>
        <w:sz w:val="56"/>
      </w:rPr>
      <w:t></w:t>
    </w:r>
    <w:r w:rsidRPr="00F1488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B8E022" wp14:editId="517B5D3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038C" w14:textId="77777777" w:rsidR="00C26DFD" w:rsidRPr="001075E9" w:rsidRDefault="00C26D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F873AB" w14:textId="77777777" w:rsidR="00C26DFD" w:rsidRDefault="00C26D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B38077" w14:textId="77777777" w:rsidR="00F1488C" w:rsidRPr="003E0A7A" w:rsidRDefault="00F1488C" w:rsidP="00F1488C">
      <w:pPr>
        <w:pStyle w:val="FootnoteText"/>
      </w:pPr>
      <w:r>
        <w:tab/>
      </w:r>
      <w:r w:rsidRPr="00EC595B">
        <w:rPr>
          <w:sz w:val="20"/>
        </w:rPr>
        <w:t>*</w:t>
      </w:r>
      <w:r>
        <w:tab/>
        <w:t>Настоящий документ было решено издать после установленной даты его опубликования в связи с обстоятельствами, не зависящими от стороны, представившей документ.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EC72" w14:textId="743A0D62" w:rsidR="00F1488C" w:rsidRPr="00F1488C" w:rsidRDefault="004322B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A4C87">
      <w:t>ECE/TRANS/2020/4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9566" w14:textId="5E75EE9F" w:rsidR="00F1488C" w:rsidRPr="00F1488C" w:rsidRDefault="004322B5" w:rsidP="00F1488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A4C87">
      <w:t>ECE/TRANS/2020/4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4594"/>
    <w:multiLevelType w:val="multilevel"/>
    <w:tmpl w:val="03B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E4E3B"/>
    <w:multiLevelType w:val="multilevel"/>
    <w:tmpl w:val="D09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3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12A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48C3"/>
    <w:rsid w:val="00407B78"/>
    <w:rsid w:val="00424203"/>
    <w:rsid w:val="004322B5"/>
    <w:rsid w:val="00452493"/>
    <w:rsid w:val="00453318"/>
    <w:rsid w:val="00454AF2"/>
    <w:rsid w:val="00454E07"/>
    <w:rsid w:val="00472C5C"/>
    <w:rsid w:val="004768F0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B9B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783B"/>
    <w:rsid w:val="00792497"/>
    <w:rsid w:val="007D3E4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7E2B"/>
    <w:rsid w:val="00A14DA8"/>
    <w:rsid w:val="00A312BC"/>
    <w:rsid w:val="00A84021"/>
    <w:rsid w:val="00A84D35"/>
    <w:rsid w:val="00A917B3"/>
    <w:rsid w:val="00AB4B51"/>
    <w:rsid w:val="00B10CC7"/>
    <w:rsid w:val="00B36DF7"/>
    <w:rsid w:val="00B44D4C"/>
    <w:rsid w:val="00B539E7"/>
    <w:rsid w:val="00B62458"/>
    <w:rsid w:val="00B927C0"/>
    <w:rsid w:val="00BA4C87"/>
    <w:rsid w:val="00BC18B2"/>
    <w:rsid w:val="00BD33EE"/>
    <w:rsid w:val="00BE1CC7"/>
    <w:rsid w:val="00C106D6"/>
    <w:rsid w:val="00C119AE"/>
    <w:rsid w:val="00C26DF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62BC"/>
    <w:rsid w:val="00DF5767"/>
    <w:rsid w:val="00DF71B9"/>
    <w:rsid w:val="00E12C5F"/>
    <w:rsid w:val="00E73F76"/>
    <w:rsid w:val="00EA2C9F"/>
    <w:rsid w:val="00EA420E"/>
    <w:rsid w:val="00EC595B"/>
    <w:rsid w:val="00ED0BDA"/>
    <w:rsid w:val="00EE142A"/>
    <w:rsid w:val="00EF1360"/>
    <w:rsid w:val="00EF3220"/>
    <w:rsid w:val="00F1488C"/>
    <w:rsid w:val="00F2523A"/>
    <w:rsid w:val="00F43903"/>
    <w:rsid w:val="00F80D20"/>
    <w:rsid w:val="00F94155"/>
    <w:rsid w:val="00F9783F"/>
    <w:rsid w:val="00FD2EF7"/>
    <w:rsid w:val="00FE447E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A8DD7"/>
  <w15:docId w15:val="{D8E0C701-046F-45F4-BBD1-FB710E7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1488C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.int/en/fnc/2019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3547</Words>
  <Characters>20223</Characters>
  <Application>Microsoft Office Word</Application>
  <DocSecurity>4</DocSecurity>
  <Lines>168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ECE/TRANS/2020/4</vt:lpstr>
      <vt:lpstr>ECE/TRANS/2020/4</vt:lpstr>
      <vt:lpstr>A/</vt:lpstr>
    </vt:vector>
  </TitlesOfParts>
  <Company>DCM</Company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ECE/TRANS/2020/4</dc:title>
  <dc:subject/>
  <dc:creator>Assistant</dc:creator>
  <cp:keywords/>
  <cp:lastModifiedBy>Anastasia Barinova</cp:lastModifiedBy>
  <cp:revision>2</cp:revision>
  <cp:lastPrinted>2020-01-13T16:27:00Z</cp:lastPrinted>
  <dcterms:created xsi:type="dcterms:W3CDTF">2020-01-15T15:33:00Z</dcterms:created>
  <dcterms:modified xsi:type="dcterms:W3CDTF">2020-01-15T15:33:00Z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