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6C5319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3AEB918" w14:textId="77777777" w:rsidR="00F35BAF" w:rsidRPr="00DB58B5" w:rsidRDefault="00F35BAF" w:rsidP="00A7225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0FFBBF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DD9C772" w14:textId="77777777" w:rsidR="00F35BAF" w:rsidRPr="00DB58B5" w:rsidRDefault="00A72251" w:rsidP="00A72251">
            <w:pPr>
              <w:jc w:val="right"/>
            </w:pPr>
            <w:r w:rsidRPr="00A72251">
              <w:rPr>
                <w:sz w:val="40"/>
              </w:rPr>
              <w:t>ECE</w:t>
            </w:r>
            <w:r>
              <w:t>/TRANS/WP.29/GRPE/2020/2</w:t>
            </w:r>
          </w:p>
        </w:tc>
      </w:tr>
      <w:tr w:rsidR="00F35BAF" w:rsidRPr="00DB58B5" w14:paraId="0B7DA8A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60B304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78B9561" wp14:editId="30EE710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484B9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E88CF59" w14:textId="77777777" w:rsidR="00F35BAF" w:rsidRDefault="00A72251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1876DF6" w14:textId="77777777" w:rsidR="00A72251" w:rsidRDefault="00A72251" w:rsidP="00A72251">
            <w:pPr>
              <w:spacing w:line="240" w:lineRule="exact"/>
            </w:pPr>
            <w:r>
              <w:t>31 octobre 2019</w:t>
            </w:r>
          </w:p>
          <w:p w14:paraId="03924E0A" w14:textId="77777777" w:rsidR="00A72251" w:rsidRDefault="00A72251" w:rsidP="00A72251">
            <w:pPr>
              <w:spacing w:line="240" w:lineRule="exact"/>
            </w:pPr>
            <w:r>
              <w:t>Français</w:t>
            </w:r>
          </w:p>
          <w:p w14:paraId="1EC876AE" w14:textId="77777777" w:rsidR="00A72251" w:rsidRPr="00DB58B5" w:rsidRDefault="00A72251" w:rsidP="00A72251">
            <w:pPr>
              <w:spacing w:line="240" w:lineRule="exact"/>
            </w:pPr>
            <w:r>
              <w:t>Original : anglais</w:t>
            </w:r>
          </w:p>
        </w:tc>
      </w:tr>
    </w:tbl>
    <w:p w14:paraId="6EBC1EC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F00E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1F4B74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4278DEF" w14:textId="77777777" w:rsidR="00A72251" w:rsidRDefault="00A7225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AF00E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C7CE8AF" w14:textId="77777777" w:rsidR="00A72251" w:rsidRDefault="00A72251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</w:t>
      </w:r>
      <w:r w:rsidR="00AF00E7">
        <w:rPr>
          <w:b/>
        </w:rPr>
        <w:t>’</w:t>
      </w:r>
      <w:r>
        <w:rPr>
          <w:b/>
        </w:rPr>
        <w:t>énergie</w:t>
      </w:r>
    </w:p>
    <w:p w14:paraId="3EF759C4" w14:textId="77777777" w:rsidR="00587800" w:rsidRPr="00F06F16" w:rsidRDefault="00587800" w:rsidP="00587800">
      <w:pPr>
        <w:rPr>
          <w:rFonts w:eastAsia="MS Mincho"/>
          <w:b/>
          <w:lang w:val="fr-FR"/>
        </w:rPr>
      </w:pPr>
      <w:r w:rsidRPr="00F06F16">
        <w:rPr>
          <w:rFonts w:eastAsia="MS Mincho"/>
          <w:b/>
          <w:lang w:val="fr-FR"/>
        </w:rPr>
        <w:t>Quatre-vingtième session</w:t>
      </w:r>
    </w:p>
    <w:p w14:paraId="323B8607" w14:textId="77777777" w:rsidR="00587800" w:rsidRPr="00F06F16" w:rsidRDefault="00587800" w:rsidP="00587800">
      <w:pPr>
        <w:rPr>
          <w:lang w:val="fr-FR"/>
        </w:rPr>
      </w:pPr>
      <w:r w:rsidRPr="00F06F16">
        <w:rPr>
          <w:rFonts w:eastAsia="MS Mincho"/>
          <w:lang w:val="fr-FR"/>
        </w:rPr>
        <w:t>Genève</w:t>
      </w:r>
      <w:r w:rsidRPr="00F06F16">
        <w:rPr>
          <w:rFonts w:eastAsia="MS Mincho"/>
          <w:bCs/>
          <w:lang w:val="fr-FR"/>
        </w:rPr>
        <w:t>, 14-17 janvier 2020</w:t>
      </w:r>
    </w:p>
    <w:p w14:paraId="30917B82" w14:textId="77777777" w:rsidR="00587800" w:rsidRPr="00F06F16" w:rsidRDefault="00587800" w:rsidP="00587800">
      <w:pPr>
        <w:rPr>
          <w:lang w:val="fr-FR"/>
        </w:rPr>
      </w:pPr>
      <w:r w:rsidRPr="00F06F16">
        <w:rPr>
          <w:lang w:val="fr-FR"/>
        </w:rPr>
        <w:t xml:space="preserve">Point </w:t>
      </w:r>
      <w:r w:rsidRPr="00F06F16">
        <w:rPr>
          <w:bCs/>
          <w:lang w:val="fr-FR"/>
        </w:rPr>
        <w:t>3 a) de l</w:t>
      </w:r>
      <w:r w:rsidR="00AF00E7">
        <w:rPr>
          <w:bCs/>
          <w:lang w:val="fr-FR"/>
        </w:rPr>
        <w:t>’</w:t>
      </w:r>
      <w:r w:rsidRPr="00F06F16">
        <w:rPr>
          <w:bCs/>
          <w:lang w:val="fr-FR"/>
        </w:rPr>
        <w:t>ordre du jour provisoire</w:t>
      </w:r>
    </w:p>
    <w:p w14:paraId="583BF035" w14:textId="77777777" w:rsidR="00A72251" w:rsidRDefault="00587800" w:rsidP="00587800">
      <w:pPr>
        <w:spacing w:line="240" w:lineRule="exact"/>
      </w:pPr>
      <w:r w:rsidRPr="00F06F16">
        <w:rPr>
          <w:b/>
          <w:lang w:val="fr-FR"/>
        </w:rPr>
        <w:t>Véhicules légers : Règlements ONU n</w:t>
      </w:r>
      <w:r w:rsidRPr="00F06F16">
        <w:rPr>
          <w:b/>
          <w:vertAlign w:val="superscript"/>
          <w:lang w:val="fr-FR"/>
        </w:rPr>
        <w:t>os</w:t>
      </w:r>
      <w:r w:rsidRPr="00F06F16">
        <w:rPr>
          <w:b/>
          <w:lang w:val="fr-FR"/>
        </w:rPr>
        <w:t xml:space="preserve"> 68 (Mesure de la </w:t>
      </w:r>
      <w:r>
        <w:rPr>
          <w:b/>
          <w:lang w:val="fr-FR"/>
        </w:rPr>
        <w:t>v</w:t>
      </w:r>
      <w:r w:rsidRPr="00F06F16">
        <w:rPr>
          <w:b/>
          <w:lang w:val="fr-FR"/>
        </w:rPr>
        <w:t xml:space="preserve">itesse maximale </w:t>
      </w:r>
      <w:r>
        <w:rPr>
          <w:b/>
          <w:lang w:val="fr-FR"/>
        </w:rPr>
        <w:br/>
      </w:r>
      <w:r w:rsidRPr="00F06F16">
        <w:rPr>
          <w:b/>
          <w:lang w:val="fr-FR"/>
        </w:rPr>
        <w:t>des véhicules à moteur, y compris les véhicules électriques purs),</w:t>
      </w:r>
      <w:r>
        <w:rPr>
          <w:b/>
          <w:lang w:val="fr-FR"/>
        </w:rPr>
        <w:br/>
      </w:r>
      <w:r w:rsidRPr="00F06F16">
        <w:rPr>
          <w:b/>
          <w:lang w:val="fr-FR"/>
        </w:rPr>
        <w:t>83 (Émissions polluantes des véhicules des catégories M</w:t>
      </w:r>
      <w:r w:rsidRPr="00F06F16">
        <w:rPr>
          <w:b/>
          <w:vertAlign w:val="subscript"/>
          <w:lang w:val="fr-FR"/>
        </w:rPr>
        <w:t>1</w:t>
      </w:r>
      <w:r w:rsidRPr="00F06F16">
        <w:rPr>
          <w:b/>
          <w:lang w:val="fr-FR"/>
        </w:rPr>
        <w:t xml:space="preserve"> et N</w:t>
      </w:r>
      <w:r w:rsidRPr="00F06F16">
        <w:rPr>
          <w:b/>
          <w:vertAlign w:val="subscript"/>
          <w:lang w:val="fr-FR"/>
        </w:rPr>
        <w:t>1</w:t>
      </w:r>
      <w:r w:rsidRPr="00F06F16">
        <w:rPr>
          <w:b/>
          <w:lang w:val="fr-FR"/>
        </w:rPr>
        <w:t xml:space="preserve">), </w:t>
      </w:r>
      <w:r>
        <w:rPr>
          <w:b/>
          <w:lang w:val="fr-FR"/>
        </w:rPr>
        <w:br/>
      </w:r>
      <w:r w:rsidRPr="00F06F16">
        <w:rPr>
          <w:b/>
          <w:lang w:val="fr-FR"/>
        </w:rPr>
        <w:t>101 (Émissions de CO</w:t>
      </w:r>
      <w:r w:rsidRPr="00F06F16">
        <w:rPr>
          <w:b/>
          <w:vertAlign w:val="subscript"/>
          <w:lang w:val="fr-FR"/>
        </w:rPr>
        <w:t>2</w:t>
      </w:r>
      <w:r w:rsidRPr="00F06F16">
        <w:rPr>
          <w:b/>
          <w:lang w:val="fr-FR"/>
        </w:rPr>
        <w:t>/consommation de carburant)</w:t>
      </w:r>
      <w:r>
        <w:rPr>
          <w:b/>
          <w:lang w:val="fr-FR"/>
        </w:rPr>
        <w:br/>
      </w:r>
      <w:r w:rsidRPr="00F06F16">
        <w:rPr>
          <w:b/>
          <w:lang w:val="fr-FR"/>
        </w:rPr>
        <w:t>et 103 (Dispositifs antipollution de remplacement)</w:t>
      </w:r>
    </w:p>
    <w:p w14:paraId="0E7B141F" w14:textId="77777777" w:rsidR="00966FA7" w:rsidRPr="00F06F16" w:rsidRDefault="00966FA7" w:rsidP="00966FA7">
      <w:pPr>
        <w:pStyle w:val="HChG"/>
        <w:rPr>
          <w:lang w:val="fr-FR"/>
        </w:rPr>
      </w:pPr>
      <w:r w:rsidRPr="00F06F16">
        <w:rPr>
          <w:lang w:val="fr-FR"/>
        </w:rPr>
        <w:tab/>
      </w:r>
      <w:r>
        <w:rPr>
          <w:lang w:val="fr-FR"/>
        </w:rPr>
        <w:tab/>
      </w:r>
      <w:r w:rsidRPr="00966FA7">
        <w:t>Proposition</w:t>
      </w:r>
      <w:r w:rsidRPr="00F06F16">
        <w:rPr>
          <w:lang w:val="fr-FR"/>
        </w:rPr>
        <w:t xml:space="preserve"> d</w:t>
      </w:r>
      <w:r w:rsidR="00AF00E7">
        <w:rPr>
          <w:lang w:val="fr-FR"/>
        </w:rPr>
        <w:t>’</w:t>
      </w:r>
      <w:r w:rsidRPr="00F06F16">
        <w:rPr>
          <w:lang w:val="fr-FR"/>
        </w:rPr>
        <w:t xml:space="preserve">amendements aux séries 06 et </w:t>
      </w:r>
      <w:r w:rsidRPr="00F06F16">
        <w:rPr>
          <w:color w:val="000000" w:themeColor="text1"/>
          <w:lang w:val="fr-FR"/>
        </w:rPr>
        <w:t>07 d</w:t>
      </w:r>
      <w:r w:rsidR="00AF00E7">
        <w:rPr>
          <w:color w:val="000000" w:themeColor="text1"/>
          <w:lang w:val="fr-FR"/>
        </w:rPr>
        <w:t>’</w:t>
      </w:r>
      <w:r w:rsidRPr="00F06F16">
        <w:rPr>
          <w:color w:val="000000" w:themeColor="text1"/>
          <w:lang w:val="fr-FR"/>
        </w:rPr>
        <w:t xml:space="preserve">amendements au Règlement ONU </w:t>
      </w:r>
      <w:r w:rsidRPr="00966FA7">
        <w:rPr>
          <w:rFonts w:eastAsia="MS Mincho"/>
          <w:color w:val="000000" w:themeColor="text1"/>
          <w:szCs w:val="22"/>
          <w:lang w:val="fr-FR"/>
        </w:rPr>
        <w:t>n</w:t>
      </w:r>
      <w:r w:rsidRPr="00966FA7">
        <w:rPr>
          <w:rFonts w:eastAsia="MS Mincho"/>
          <w:color w:val="000000" w:themeColor="text1"/>
          <w:szCs w:val="22"/>
          <w:vertAlign w:val="superscript"/>
          <w:lang w:val="fr-FR"/>
        </w:rPr>
        <w:t>o</w:t>
      </w:r>
      <w:r>
        <w:rPr>
          <w:color w:val="000000" w:themeColor="text1"/>
          <w:lang w:val="fr-FR"/>
        </w:rPr>
        <w:t> </w:t>
      </w:r>
      <w:r w:rsidRPr="00F06F16">
        <w:rPr>
          <w:color w:val="000000" w:themeColor="text1"/>
          <w:lang w:val="fr-FR"/>
        </w:rPr>
        <w:t>83</w:t>
      </w:r>
      <w:r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br/>
      </w:r>
      <w:r w:rsidRPr="00F06F16">
        <w:rPr>
          <w:lang w:val="fr-FR"/>
        </w:rPr>
        <w:t xml:space="preserve">(Émissions polluantes des véhicules </w:t>
      </w:r>
      <w:r>
        <w:rPr>
          <w:lang w:val="fr-FR"/>
        </w:rPr>
        <w:br/>
      </w:r>
      <w:r w:rsidRPr="00F06F16">
        <w:rPr>
          <w:lang w:val="fr-FR"/>
        </w:rPr>
        <w:t>des catégories M</w:t>
      </w:r>
      <w:r w:rsidRPr="00453362">
        <w:rPr>
          <w:vertAlign w:val="subscript"/>
          <w:lang w:val="fr-FR"/>
        </w:rPr>
        <w:t>1</w:t>
      </w:r>
      <w:r w:rsidRPr="00F06F16">
        <w:rPr>
          <w:lang w:val="fr-FR"/>
        </w:rPr>
        <w:t xml:space="preserve"> et N</w:t>
      </w:r>
      <w:r w:rsidRPr="00453362">
        <w:rPr>
          <w:vertAlign w:val="subscript"/>
          <w:lang w:val="fr-FR"/>
        </w:rPr>
        <w:t>1</w:t>
      </w:r>
      <w:r w:rsidRPr="00F06F16">
        <w:rPr>
          <w:lang w:val="fr-FR"/>
        </w:rPr>
        <w:t>)</w:t>
      </w:r>
    </w:p>
    <w:p w14:paraId="22BFAE33" w14:textId="77777777" w:rsidR="00F9573C" w:rsidRDefault="00966FA7" w:rsidP="00966FA7">
      <w:pPr>
        <w:pStyle w:val="H1G"/>
        <w:rPr>
          <w:b w:val="0"/>
          <w:sz w:val="20"/>
          <w:lang w:val="fr-FR"/>
        </w:rPr>
      </w:pPr>
      <w:r w:rsidRPr="00F06F16">
        <w:rPr>
          <w:lang w:val="fr-FR"/>
        </w:rPr>
        <w:tab/>
      </w:r>
      <w:r w:rsidRPr="00F06F16">
        <w:rPr>
          <w:lang w:val="fr-FR"/>
        </w:rPr>
        <w:tab/>
        <w:t>Communication de l</w:t>
      </w:r>
      <w:r w:rsidR="00AF00E7">
        <w:rPr>
          <w:lang w:val="fr-FR"/>
        </w:rPr>
        <w:t>’</w:t>
      </w:r>
      <w:r w:rsidRPr="00F06F16">
        <w:rPr>
          <w:lang w:val="fr-FR"/>
        </w:rPr>
        <w:t>expert de l</w:t>
      </w:r>
      <w:r w:rsidR="00AF00E7">
        <w:rPr>
          <w:lang w:val="fr-FR"/>
        </w:rPr>
        <w:t>’</w:t>
      </w:r>
      <w:r w:rsidRPr="00F06F16">
        <w:rPr>
          <w:lang w:val="fr-FR"/>
        </w:rPr>
        <w:t>Organisation internationale</w:t>
      </w:r>
      <w:r>
        <w:rPr>
          <w:lang w:val="fr-FR"/>
        </w:rPr>
        <w:br/>
      </w:r>
      <w:r w:rsidRPr="00F06F16">
        <w:rPr>
          <w:lang w:val="fr-FR"/>
        </w:rPr>
        <w:t>des constructeurs d</w:t>
      </w:r>
      <w:r w:rsidR="00AF00E7">
        <w:rPr>
          <w:lang w:val="fr-FR"/>
        </w:rPr>
        <w:t>’</w:t>
      </w:r>
      <w:r w:rsidRPr="00F06F16">
        <w:rPr>
          <w:lang w:val="fr-FR"/>
        </w:rPr>
        <w:t>automobiles</w:t>
      </w:r>
      <w:r w:rsidRPr="00966FA7">
        <w:rPr>
          <w:b w:val="0"/>
          <w:sz w:val="20"/>
          <w:lang w:val="fr-FR"/>
        </w:rPr>
        <w:footnoteReference w:customMarkFollows="1" w:id="2"/>
        <w:t>*</w:t>
      </w:r>
    </w:p>
    <w:p w14:paraId="2E8A9233" w14:textId="77777777" w:rsidR="00727D78" w:rsidRDefault="00727D78" w:rsidP="00727D78">
      <w:pPr>
        <w:pStyle w:val="SingleTxtG"/>
        <w:ind w:firstLine="567"/>
        <w:rPr>
          <w:szCs w:val="23"/>
          <w:lang w:val="fr-FR"/>
        </w:rPr>
      </w:pPr>
      <w:r w:rsidRPr="00207F05">
        <w:rPr>
          <w:lang w:val="fr-FR"/>
        </w:rPr>
        <w:t>Le texte ci-après a été établi par l</w:t>
      </w:r>
      <w:r w:rsidR="00AF00E7">
        <w:rPr>
          <w:lang w:val="fr-FR"/>
        </w:rPr>
        <w:t>’</w:t>
      </w:r>
      <w:r w:rsidRPr="00207F05">
        <w:rPr>
          <w:lang w:val="fr-FR"/>
        </w:rPr>
        <w:t>expert de l</w:t>
      </w:r>
      <w:r w:rsidR="00AF00E7">
        <w:rPr>
          <w:lang w:val="fr-FR"/>
        </w:rPr>
        <w:t>’</w:t>
      </w:r>
      <w:r w:rsidRPr="00207F05">
        <w:rPr>
          <w:lang w:val="fr-FR"/>
        </w:rPr>
        <w:t>Organisation internationale des constructeurs d</w:t>
      </w:r>
      <w:r w:rsidR="00AF00E7">
        <w:rPr>
          <w:lang w:val="fr-FR"/>
        </w:rPr>
        <w:t>’</w:t>
      </w:r>
      <w:r w:rsidRPr="00207F05">
        <w:rPr>
          <w:lang w:val="fr-FR"/>
        </w:rPr>
        <w:t>automobiles (OICA)</w:t>
      </w:r>
      <w:r>
        <w:rPr>
          <w:lang w:val="fr-FR"/>
        </w:rPr>
        <w:t>. Il</w:t>
      </w:r>
      <w:r w:rsidRPr="009E2810">
        <w:rPr>
          <w:lang w:val="fr-FR"/>
        </w:rPr>
        <w:t xml:space="preserve"> vise à </w:t>
      </w:r>
      <w:r>
        <w:rPr>
          <w:lang w:val="fr-FR"/>
        </w:rPr>
        <w:t xml:space="preserve">apporter des précisions supplémentaires au sujet du fondement de </w:t>
      </w:r>
      <w:r w:rsidRPr="009E2810">
        <w:rPr>
          <w:lang w:val="fr-FR"/>
        </w:rPr>
        <w:t xml:space="preserve">la restriction </w:t>
      </w:r>
      <w:r>
        <w:rPr>
          <w:lang w:val="fr-FR"/>
        </w:rPr>
        <w:t>portant sur</w:t>
      </w:r>
      <w:r w:rsidRPr="009E2810">
        <w:rPr>
          <w:lang w:val="fr-FR"/>
        </w:rPr>
        <w:t xml:space="preserve"> la contenance du réservoir </w:t>
      </w:r>
      <w:r>
        <w:rPr>
          <w:lang w:val="fr-FR"/>
        </w:rPr>
        <w:t>d</w:t>
      </w:r>
      <w:r w:rsidR="00AF00E7">
        <w:rPr>
          <w:lang w:val="fr-FR"/>
        </w:rPr>
        <w:t>’</w:t>
      </w:r>
      <w:r w:rsidRPr="009E2810">
        <w:rPr>
          <w:lang w:val="fr-FR"/>
        </w:rPr>
        <w:t xml:space="preserve">essence </w:t>
      </w:r>
      <w:r>
        <w:rPr>
          <w:lang w:val="fr-FR"/>
        </w:rPr>
        <w:t>des</w:t>
      </w:r>
      <w:r w:rsidRPr="009E2810">
        <w:rPr>
          <w:lang w:val="fr-FR"/>
        </w:rPr>
        <w:t xml:space="preserve"> véhicules </w:t>
      </w:r>
      <w:proofErr w:type="spellStart"/>
      <w:r w:rsidRPr="009E2810">
        <w:rPr>
          <w:lang w:val="fr-FR"/>
        </w:rPr>
        <w:t>monocarburant</w:t>
      </w:r>
      <w:proofErr w:type="spellEnd"/>
      <w:r>
        <w:rPr>
          <w:lang w:val="fr-FR"/>
        </w:rPr>
        <w:t xml:space="preserve"> à gaz</w:t>
      </w:r>
      <w:r w:rsidRPr="009E2810">
        <w:rPr>
          <w:lang w:val="fr-FR"/>
        </w:rPr>
        <w:t xml:space="preserve"> </w:t>
      </w:r>
      <w:r>
        <w:t xml:space="preserve">et à régler certaines questions administratives soulevées lors de la transposition de la procédure </w:t>
      </w:r>
      <w:r w:rsidRPr="009E2810">
        <w:rPr>
          <w:lang w:val="fr-FR"/>
        </w:rPr>
        <w:t xml:space="preserve">WLTP. </w:t>
      </w:r>
      <w:r w:rsidRPr="009E2810">
        <w:rPr>
          <w:szCs w:val="23"/>
          <w:lang w:val="fr-FR"/>
        </w:rPr>
        <w:t>Les modifications qu</w:t>
      </w:r>
      <w:r w:rsidR="00AF00E7">
        <w:rPr>
          <w:szCs w:val="23"/>
          <w:lang w:val="fr-FR"/>
        </w:rPr>
        <w:t>’</w:t>
      </w:r>
      <w:r w:rsidRPr="009E2810">
        <w:rPr>
          <w:szCs w:val="23"/>
          <w:lang w:val="fr-FR"/>
        </w:rPr>
        <w:t>il est proposé d</w:t>
      </w:r>
      <w:r w:rsidR="00AF00E7">
        <w:rPr>
          <w:szCs w:val="23"/>
          <w:lang w:val="fr-FR"/>
        </w:rPr>
        <w:t>’</w:t>
      </w:r>
      <w:r w:rsidRPr="009E2810">
        <w:rPr>
          <w:szCs w:val="23"/>
          <w:lang w:val="fr-FR"/>
        </w:rPr>
        <w:t>apporter au texte actuel du Règlement</w:t>
      </w:r>
      <w:r>
        <w:rPr>
          <w:szCs w:val="23"/>
          <w:lang w:val="fr-FR"/>
        </w:rPr>
        <w:t xml:space="preserve"> </w:t>
      </w:r>
      <w:r w:rsidRPr="009E2810">
        <w:rPr>
          <w:szCs w:val="23"/>
          <w:lang w:val="fr-FR"/>
        </w:rPr>
        <w:t>figurent en caractères gras pour les ajouts et biffés pour les suppressions.</w:t>
      </w:r>
    </w:p>
    <w:p w14:paraId="151786CC" w14:textId="77777777" w:rsidR="00AF00E7" w:rsidRPr="00C1363B" w:rsidRDefault="00727D78" w:rsidP="00AA2A43">
      <w:pPr>
        <w:pStyle w:val="HChG"/>
        <w:rPr>
          <w:lang w:val="fr-FR"/>
        </w:rPr>
      </w:pPr>
      <w:r>
        <w:rPr>
          <w:lang w:val="fr-FR"/>
        </w:rPr>
        <w:br w:type="page"/>
      </w:r>
      <w:r w:rsidR="00AA2A43">
        <w:rPr>
          <w:lang w:val="fr-FR"/>
        </w:rPr>
        <w:lastRenderedPageBreak/>
        <w:tab/>
        <w:t>I.</w:t>
      </w:r>
      <w:r w:rsidR="00AA2A43">
        <w:rPr>
          <w:lang w:val="fr-FR"/>
        </w:rPr>
        <w:tab/>
      </w:r>
      <w:r w:rsidR="00AF00E7" w:rsidRPr="00C1363B">
        <w:rPr>
          <w:lang w:val="fr-FR"/>
        </w:rPr>
        <w:t>Proposition</w:t>
      </w:r>
    </w:p>
    <w:p w14:paraId="429AF289" w14:textId="77777777" w:rsidR="00AF00E7" w:rsidRPr="00AA2A43" w:rsidRDefault="00AF00E7" w:rsidP="00AF00E7">
      <w:pPr>
        <w:pStyle w:val="SingleTxtG"/>
        <w:rPr>
          <w:b/>
          <w:bCs/>
        </w:rPr>
      </w:pPr>
      <w:r w:rsidRPr="00AA2A43">
        <w:rPr>
          <w:b/>
          <w:bCs/>
        </w:rPr>
        <w:t>Dans les séries 06 et 07 d’amendements</w:t>
      </w:r>
    </w:p>
    <w:p w14:paraId="4D5754F9" w14:textId="77777777" w:rsidR="00AF00E7" w:rsidRPr="00C1363B" w:rsidRDefault="00AF00E7" w:rsidP="00AF00E7">
      <w:pPr>
        <w:pStyle w:val="SingleTxtG"/>
        <w:rPr>
          <w:iCs/>
          <w:lang w:val="fr-FR"/>
        </w:rPr>
      </w:pPr>
      <w:r w:rsidRPr="00C1363B">
        <w:rPr>
          <w:i/>
          <w:lang w:val="fr-FR"/>
        </w:rPr>
        <w:t>Ajouter le nouveau paragraphe 5.3.9</w:t>
      </w:r>
      <w:r w:rsidRPr="00C1363B">
        <w:rPr>
          <w:iCs/>
          <w:lang w:val="fr-FR"/>
        </w:rPr>
        <w:t>, libellé comme suit :</w:t>
      </w:r>
    </w:p>
    <w:p w14:paraId="2A63C12E" w14:textId="77777777" w:rsidR="00AF00E7" w:rsidRPr="00C1363B" w:rsidRDefault="00AF00E7" w:rsidP="00D8228A">
      <w:pPr>
        <w:pStyle w:val="SingleTxtG"/>
        <w:ind w:left="2268" w:hanging="1134"/>
        <w:rPr>
          <w:b/>
          <w:lang w:val="fr-FR"/>
        </w:rPr>
      </w:pPr>
      <w:r w:rsidRPr="00C1363B">
        <w:rPr>
          <w:bCs/>
          <w:lang w:val="fr-FR"/>
        </w:rPr>
        <w:t>«</w:t>
      </w:r>
      <w:r w:rsidRPr="00C1363B">
        <w:rPr>
          <w:b/>
          <w:lang w:val="fr-FR"/>
        </w:rPr>
        <w:t> 5.3.9</w:t>
      </w:r>
      <w:r w:rsidRPr="00C1363B">
        <w:rPr>
          <w:b/>
          <w:lang w:val="fr-FR"/>
        </w:rPr>
        <w:tab/>
        <w:t>Les véhicules nécessitant l</w:t>
      </w:r>
      <w:r>
        <w:rPr>
          <w:b/>
          <w:lang w:val="fr-FR"/>
        </w:rPr>
        <w:t>’</w:t>
      </w:r>
      <w:r w:rsidRPr="00C1363B">
        <w:rPr>
          <w:b/>
          <w:lang w:val="fr-FR"/>
        </w:rPr>
        <w:t>usage d</w:t>
      </w:r>
      <w:r>
        <w:rPr>
          <w:b/>
          <w:lang w:val="fr-FR"/>
        </w:rPr>
        <w:t>’</w:t>
      </w:r>
      <w:r w:rsidRPr="00C1363B">
        <w:rPr>
          <w:b/>
          <w:lang w:val="fr-FR"/>
        </w:rPr>
        <w:t>un réactif pour le système de traitement aval des gaz d</w:t>
      </w:r>
      <w:r>
        <w:rPr>
          <w:b/>
          <w:lang w:val="fr-FR"/>
        </w:rPr>
        <w:t>’</w:t>
      </w:r>
      <w:r w:rsidRPr="00C1363B">
        <w:rPr>
          <w:b/>
          <w:lang w:val="fr-FR"/>
        </w:rPr>
        <w:t>échappement doivent satisfaire aux prescriptions de l</w:t>
      </w:r>
      <w:r>
        <w:rPr>
          <w:b/>
          <w:lang w:val="fr-FR"/>
        </w:rPr>
        <w:t>’</w:t>
      </w:r>
      <w:r w:rsidRPr="00C1363B">
        <w:rPr>
          <w:b/>
          <w:lang w:val="fr-FR"/>
        </w:rPr>
        <w:t>appendice</w:t>
      </w:r>
      <w:r w:rsidR="00D8228A">
        <w:rPr>
          <w:b/>
          <w:lang w:val="fr-FR"/>
        </w:rPr>
        <w:t> </w:t>
      </w:r>
      <w:r w:rsidRPr="00C1363B">
        <w:rPr>
          <w:b/>
          <w:lang w:val="fr-FR"/>
        </w:rPr>
        <w:t>6 du présent Règlement. </w:t>
      </w:r>
      <w:r w:rsidRPr="00C1363B">
        <w:rPr>
          <w:bCs/>
          <w:lang w:val="fr-FR"/>
        </w:rPr>
        <w:t>».</w:t>
      </w:r>
    </w:p>
    <w:p w14:paraId="4FF6CAB1" w14:textId="77777777" w:rsidR="00AF00E7" w:rsidRPr="00C1363B" w:rsidRDefault="00AF00E7" w:rsidP="00AF00E7">
      <w:pPr>
        <w:pStyle w:val="SingleTxtG"/>
        <w:rPr>
          <w:lang w:val="fr-FR"/>
        </w:rPr>
      </w:pPr>
      <w:r w:rsidRPr="00C1363B">
        <w:rPr>
          <w:i/>
          <w:iCs/>
          <w:lang w:val="fr-FR"/>
        </w:rPr>
        <w:t>Paragraphe 5.3.1.2.1.2</w:t>
      </w:r>
      <w:r w:rsidRPr="00D8228A">
        <w:rPr>
          <w:iCs/>
          <w:lang w:val="fr-FR"/>
        </w:rPr>
        <w:t>,</w:t>
      </w:r>
      <w:r w:rsidRPr="00C1363B">
        <w:rPr>
          <w:iCs/>
          <w:lang w:val="fr-FR"/>
        </w:rPr>
        <w:t xml:space="preserve"> lire :</w:t>
      </w:r>
    </w:p>
    <w:p w14:paraId="49CABEFE" w14:textId="77777777" w:rsidR="00AF00E7" w:rsidRPr="00C1363B" w:rsidRDefault="00AF00E7" w:rsidP="00AF00E7">
      <w:pPr>
        <w:pStyle w:val="SingleTxtG"/>
        <w:ind w:left="2268" w:hanging="1134"/>
        <w:rPr>
          <w:lang w:val="fr-FR"/>
        </w:rPr>
      </w:pPr>
      <w:r w:rsidRPr="00C1363B">
        <w:rPr>
          <w:lang w:val="fr-FR"/>
        </w:rPr>
        <w:t>« 5.3.1.2.1.2</w:t>
      </w:r>
      <w:r w:rsidRPr="00C1363B">
        <w:rPr>
          <w:lang w:val="fr-FR"/>
        </w:rPr>
        <w:tab/>
        <w:t xml:space="preserve">Nonobstant les prescriptions du paragraphe 5.3.1.2.1.1, les véhicules </w:t>
      </w:r>
      <w:proofErr w:type="spellStart"/>
      <w:r w:rsidRPr="00C1363B">
        <w:rPr>
          <w:b/>
          <w:lang w:val="fr-FR"/>
        </w:rPr>
        <w:t>monocarburant</w:t>
      </w:r>
      <w:proofErr w:type="spellEnd"/>
      <w:r w:rsidRPr="00C1363B">
        <w:rPr>
          <w:b/>
          <w:lang w:val="fr-FR"/>
        </w:rPr>
        <w:t xml:space="preserve"> à gaz</w:t>
      </w:r>
      <w:r w:rsidRPr="00C1363B">
        <w:rPr>
          <w:lang w:val="fr-FR"/>
        </w:rPr>
        <w:t xml:space="preserve"> </w:t>
      </w:r>
      <w:r w:rsidRPr="00C1363B">
        <w:rPr>
          <w:strike/>
          <w:lang w:val="fr-FR"/>
        </w:rPr>
        <w:t>pouvant fonctionner soit à l</w:t>
      </w:r>
      <w:r>
        <w:rPr>
          <w:strike/>
          <w:lang w:val="fr-FR"/>
        </w:rPr>
        <w:t>’</w:t>
      </w:r>
      <w:r w:rsidRPr="00C1363B">
        <w:rPr>
          <w:strike/>
          <w:lang w:val="fr-FR"/>
        </w:rPr>
        <w:t>essence soit avec un carburant gazeux, mais sur lesquels le circuit d</w:t>
      </w:r>
      <w:r>
        <w:rPr>
          <w:strike/>
          <w:lang w:val="fr-FR"/>
        </w:rPr>
        <w:t>’</w:t>
      </w:r>
      <w:r w:rsidRPr="00C1363B">
        <w:rPr>
          <w:strike/>
          <w:lang w:val="fr-FR"/>
        </w:rPr>
        <w:t>alimentation en essence sert uniquement en cas d</w:t>
      </w:r>
      <w:r>
        <w:rPr>
          <w:strike/>
          <w:lang w:val="fr-FR"/>
        </w:rPr>
        <w:t>’</w:t>
      </w:r>
      <w:r w:rsidRPr="00C1363B">
        <w:rPr>
          <w:strike/>
          <w:lang w:val="fr-FR"/>
        </w:rPr>
        <w:t xml:space="preserve">urgence ou pour le démarrage et dont le </w:t>
      </w:r>
      <w:r w:rsidRPr="00C1363B">
        <w:rPr>
          <w:rFonts w:eastAsia="Times New Roman"/>
          <w:strike/>
          <w:lang w:val="fr-FR"/>
        </w:rPr>
        <w:t>réservoir</w:t>
      </w:r>
      <w:r w:rsidRPr="00C1363B">
        <w:rPr>
          <w:strike/>
          <w:lang w:val="fr-FR"/>
        </w:rPr>
        <w:t xml:space="preserve"> à essence a une contenance maximale de 15 litres, </w:t>
      </w:r>
      <w:r w:rsidRPr="00C1363B">
        <w:rPr>
          <w:lang w:val="fr-FR"/>
        </w:rPr>
        <w:t>sont considérés aux fins de l</w:t>
      </w:r>
      <w:r>
        <w:rPr>
          <w:lang w:val="fr-FR"/>
        </w:rPr>
        <w:t>’</w:t>
      </w:r>
      <w:r w:rsidRPr="00C1363B">
        <w:rPr>
          <w:lang w:val="fr-FR"/>
        </w:rPr>
        <w:t>essai du type I comme des véhicules qui ne fonctionnent qu</w:t>
      </w:r>
      <w:r>
        <w:rPr>
          <w:lang w:val="fr-FR"/>
        </w:rPr>
        <w:t>’</w:t>
      </w:r>
      <w:r w:rsidRPr="00C1363B">
        <w:rPr>
          <w:lang w:val="fr-FR"/>
        </w:rPr>
        <w:t>avec un carburant gazeux. ».</w:t>
      </w:r>
    </w:p>
    <w:p w14:paraId="020DF630" w14:textId="77777777" w:rsidR="00AF00E7" w:rsidRPr="00C1363B" w:rsidRDefault="00AF00E7" w:rsidP="00AF00E7">
      <w:pPr>
        <w:pStyle w:val="SingleTxtG"/>
        <w:rPr>
          <w:lang w:val="fr-FR"/>
        </w:rPr>
      </w:pPr>
      <w:r w:rsidRPr="00C1363B">
        <w:rPr>
          <w:i/>
          <w:iCs/>
          <w:lang w:val="fr-FR"/>
        </w:rPr>
        <w:t>Paragraphe 5.3.2.1.2</w:t>
      </w:r>
      <w:r w:rsidRPr="00D8228A">
        <w:rPr>
          <w:iCs/>
          <w:lang w:val="fr-FR"/>
        </w:rPr>
        <w:t xml:space="preserve">, </w:t>
      </w:r>
      <w:r w:rsidRPr="00C1363B">
        <w:rPr>
          <w:iCs/>
          <w:lang w:val="fr-FR"/>
        </w:rPr>
        <w:t>lire :</w:t>
      </w:r>
    </w:p>
    <w:p w14:paraId="6CAA2FBB" w14:textId="77777777" w:rsidR="00AF00E7" w:rsidRPr="00C1363B" w:rsidRDefault="00AF00E7" w:rsidP="00AF00E7">
      <w:pPr>
        <w:pStyle w:val="SingleTxtG"/>
        <w:ind w:left="2268" w:hanging="1134"/>
        <w:rPr>
          <w:lang w:val="fr-FR"/>
        </w:rPr>
      </w:pPr>
      <w:r w:rsidRPr="00C1363B">
        <w:rPr>
          <w:lang w:val="fr-FR"/>
        </w:rPr>
        <w:t>« 5.3.2.1.2</w:t>
      </w:r>
      <w:r w:rsidRPr="00C1363B">
        <w:rPr>
          <w:lang w:val="fr-FR"/>
        </w:rPr>
        <w:tab/>
      </w:r>
      <w:r w:rsidRPr="00C1363B">
        <w:rPr>
          <w:lang w:val="fr-FR"/>
        </w:rPr>
        <w:tab/>
      </w:r>
      <w:r w:rsidRPr="00C1363B">
        <w:rPr>
          <w:rFonts w:eastAsia="Times New Roman"/>
          <w:lang w:val="fr-FR"/>
        </w:rPr>
        <w:t xml:space="preserve">Nonobstant les prescriptions du paragraphe 5.3.2.1.1, les véhicules </w:t>
      </w:r>
      <w:proofErr w:type="spellStart"/>
      <w:r w:rsidRPr="00C1363B">
        <w:rPr>
          <w:b/>
          <w:lang w:val="fr-FR"/>
        </w:rPr>
        <w:t>monocarburant</w:t>
      </w:r>
      <w:proofErr w:type="spellEnd"/>
      <w:r w:rsidRPr="00C1363B">
        <w:rPr>
          <w:b/>
          <w:lang w:val="fr-FR"/>
        </w:rPr>
        <w:t xml:space="preserve"> à gaz</w:t>
      </w:r>
      <w:r w:rsidRPr="00C1363B">
        <w:rPr>
          <w:lang w:val="fr-FR"/>
        </w:rPr>
        <w:t xml:space="preserve"> </w:t>
      </w:r>
      <w:r w:rsidRPr="00C1363B">
        <w:rPr>
          <w:rFonts w:eastAsia="Times New Roman"/>
          <w:strike/>
          <w:lang w:val="fr-FR"/>
        </w:rPr>
        <w:t>pouvant fonctionner à l</w:t>
      </w:r>
      <w:r>
        <w:rPr>
          <w:rFonts w:eastAsia="Times New Roman"/>
          <w:strike/>
          <w:lang w:val="fr-FR"/>
        </w:rPr>
        <w:t>’</w:t>
      </w:r>
      <w:r w:rsidRPr="00C1363B">
        <w:rPr>
          <w:rFonts w:eastAsia="Times New Roman"/>
          <w:strike/>
          <w:lang w:val="fr-FR"/>
        </w:rPr>
        <w:t>essence et avec un carburant gazeux, mais sur lesquels le circuit d</w:t>
      </w:r>
      <w:r>
        <w:rPr>
          <w:rFonts w:eastAsia="Times New Roman"/>
          <w:strike/>
          <w:lang w:val="fr-FR"/>
        </w:rPr>
        <w:t>’</w:t>
      </w:r>
      <w:r w:rsidRPr="00C1363B">
        <w:rPr>
          <w:rFonts w:eastAsia="Times New Roman"/>
          <w:strike/>
          <w:lang w:val="fr-FR"/>
        </w:rPr>
        <w:t>alimentation en essence sert uniquement en cas d</w:t>
      </w:r>
      <w:r>
        <w:rPr>
          <w:rFonts w:eastAsia="Times New Roman"/>
          <w:strike/>
          <w:lang w:val="fr-FR"/>
        </w:rPr>
        <w:t>’</w:t>
      </w:r>
      <w:r w:rsidRPr="00C1363B">
        <w:rPr>
          <w:rFonts w:eastAsia="Times New Roman"/>
          <w:strike/>
          <w:lang w:val="fr-FR"/>
        </w:rPr>
        <w:t xml:space="preserve">urgence ou pour le démarrage, et dont le réservoir à essence a une contenance maximale de 15 litres, </w:t>
      </w:r>
      <w:r w:rsidRPr="00C1363B">
        <w:rPr>
          <w:rFonts w:eastAsia="Times New Roman"/>
          <w:lang w:val="fr-FR"/>
        </w:rPr>
        <w:t>sont considérés aux fins de l</w:t>
      </w:r>
      <w:r>
        <w:rPr>
          <w:rFonts w:eastAsia="Times New Roman"/>
          <w:lang w:val="fr-FR"/>
        </w:rPr>
        <w:t>’</w:t>
      </w:r>
      <w:r w:rsidRPr="00C1363B">
        <w:rPr>
          <w:rFonts w:eastAsia="Times New Roman"/>
          <w:lang w:val="fr-FR"/>
        </w:rPr>
        <w:t>essai du type II comme des véhicules fonctionnant uniquement avec un carburant gazeux.</w:t>
      </w:r>
      <w:r w:rsidRPr="00C1363B">
        <w:rPr>
          <w:lang w:val="fr-FR"/>
        </w:rPr>
        <w:t> ».</w:t>
      </w:r>
    </w:p>
    <w:p w14:paraId="57F5FDCA" w14:textId="77777777" w:rsidR="00AF00E7" w:rsidRPr="00C1363B" w:rsidRDefault="00AF00E7" w:rsidP="00AF00E7">
      <w:pPr>
        <w:pStyle w:val="SingleTxtG"/>
        <w:rPr>
          <w:lang w:val="fr-FR"/>
        </w:rPr>
      </w:pPr>
      <w:r w:rsidRPr="00C1363B">
        <w:rPr>
          <w:i/>
          <w:iCs/>
          <w:lang w:val="fr-FR"/>
        </w:rPr>
        <w:t>Paragraphe 5.3.3.1.2</w:t>
      </w:r>
      <w:r w:rsidRPr="00645838">
        <w:rPr>
          <w:iCs/>
          <w:lang w:val="fr-FR"/>
        </w:rPr>
        <w:t>,</w:t>
      </w:r>
      <w:r w:rsidRPr="00C1363B">
        <w:rPr>
          <w:lang w:val="fr-FR"/>
        </w:rPr>
        <w:t xml:space="preserve"> </w:t>
      </w:r>
      <w:r w:rsidRPr="00C1363B">
        <w:rPr>
          <w:iCs/>
          <w:lang w:val="fr-FR"/>
        </w:rPr>
        <w:t>lire :</w:t>
      </w:r>
    </w:p>
    <w:p w14:paraId="13160BAC" w14:textId="77777777" w:rsidR="00AF00E7" w:rsidRPr="00C1363B" w:rsidRDefault="00AF00E7" w:rsidP="00AF00E7">
      <w:pPr>
        <w:pStyle w:val="SingleTxtG"/>
        <w:ind w:left="2268" w:hanging="1134"/>
        <w:rPr>
          <w:lang w:val="fr-FR"/>
        </w:rPr>
      </w:pPr>
      <w:r w:rsidRPr="00C1363B">
        <w:rPr>
          <w:lang w:val="fr-FR"/>
        </w:rPr>
        <w:t>« 5.3.3.1.2</w:t>
      </w:r>
      <w:r w:rsidRPr="00C1363B">
        <w:rPr>
          <w:lang w:val="fr-FR"/>
        </w:rPr>
        <w:tab/>
      </w:r>
      <w:r w:rsidRPr="00C1363B">
        <w:rPr>
          <w:rFonts w:eastAsia="Times New Roman"/>
          <w:lang w:val="fr-FR"/>
        </w:rPr>
        <w:t xml:space="preserve">Nonobstant les prescriptions du paragraphe 5.3.3.1.1, les véhicules </w:t>
      </w:r>
      <w:bookmarkStart w:id="0" w:name="_Hlk23775936"/>
      <w:proofErr w:type="spellStart"/>
      <w:r w:rsidRPr="00C1363B">
        <w:rPr>
          <w:b/>
          <w:lang w:val="fr-FR"/>
        </w:rPr>
        <w:t>monocarburant</w:t>
      </w:r>
      <w:proofErr w:type="spellEnd"/>
      <w:r w:rsidRPr="00C1363B">
        <w:rPr>
          <w:b/>
          <w:lang w:val="fr-FR"/>
        </w:rPr>
        <w:t xml:space="preserve"> à gaz</w:t>
      </w:r>
      <w:r w:rsidRPr="00C1363B">
        <w:rPr>
          <w:lang w:val="fr-FR"/>
        </w:rPr>
        <w:t xml:space="preserve"> </w:t>
      </w:r>
      <w:bookmarkEnd w:id="0"/>
      <w:r w:rsidRPr="00C1363B">
        <w:rPr>
          <w:rFonts w:eastAsia="Times New Roman"/>
          <w:strike/>
          <w:lang w:val="fr-FR"/>
        </w:rPr>
        <w:t>pouvant fonctionner à l</w:t>
      </w:r>
      <w:r>
        <w:rPr>
          <w:rFonts w:eastAsia="Times New Roman"/>
          <w:strike/>
          <w:lang w:val="fr-FR"/>
        </w:rPr>
        <w:t>’</w:t>
      </w:r>
      <w:r w:rsidRPr="00C1363B">
        <w:rPr>
          <w:rFonts w:eastAsia="Times New Roman"/>
          <w:strike/>
          <w:lang w:val="fr-FR"/>
        </w:rPr>
        <w:t>essence et avec un carburant gazeux, mais sur lesquels le circuit d</w:t>
      </w:r>
      <w:r>
        <w:rPr>
          <w:rFonts w:eastAsia="Times New Roman"/>
          <w:strike/>
          <w:lang w:val="fr-FR"/>
        </w:rPr>
        <w:t>’</w:t>
      </w:r>
      <w:r w:rsidRPr="00C1363B">
        <w:rPr>
          <w:rFonts w:eastAsia="Times New Roman"/>
          <w:strike/>
          <w:lang w:val="fr-FR"/>
        </w:rPr>
        <w:t>alimentation en essence sert uniquement en cas d</w:t>
      </w:r>
      <w:r>
        <w:rPr>
          <w:rFonts w:eastAsia="Times New Roman"/>
          <w:strike/>
          <w:lang w:val="fr-FR"/>
        </w:rPr>
        <w:t>’</w:t>
      </w:r>
      <w:r w:rsidRPr="00C1363B">
        <w:rPr>
          <w:rFonts w:eastAsia="Times New Roman"/>
          <w:strike/>
          <w:lang w:val="fr-FR"/>
        </w:rPr>
        <w:t xml:space="preserve">urgence ou pour le démarrage, et dont le réservoir à essence a une contenance maximale de 15 litres, </w:t>
      </w:r>
      <w:r w:rsidRPr="00C1363B">
        <w:rPr>
          <w:rFonts w:eastAsia="Times New Roman"/>
          <w:lang w:val="fr-FR"/>
        </w:rPr>
        <w:t>sont considérés aux fins de l</w:t>
      </w:r>
      <w:r>
        <w:rPr>
          <w:rFonts w:eastAsia="Times New Roman"/>
          <w:lang w:val="fr-FR"/>
        </w:rPr>
        <w:t>’</w:t>
      </w:r>
      <w:r w:rsidRPr="00C1363B">
        <w:rPr>
          <w:rFonts w:eastAsia="Times New Roman"/>
          <w:lang w:val="fr-FR"/>
        </w:rPr>
        <w:t>essai du type III comme des véhicules fonctionnant uniquement avec un carburant gazeux.</w:t>
      </w:r>
      <w:r w:rsidRPr="00C1363B">
        <w:rPr>
          <w:lang w:val="fr-FR"/>
        </w:rPr>
        <w:t> ».</w:t>
      </w:r>
    </w:p>
    <w:p w14:paraId="4FCA7E6E" w14:textId="77777777" w:rsidR="00AF00E7" w:rsidRPr="00B8353E" w:rsidRDefault="00AF00E7" w:rsidP="00AF00E7">
      <w:pPr>
        <w:pStyle w:val="SingleTxtG"/>
        <w:rPr>
          <w:strike/>
          <w:lang w:val="fr-FR"/>
        </w:rPr>
      </w:pPr>
      <w:bookmarkStart w:id="1" w:name="_Hlk16856500"/>
      <w:r w:rsidRPr="00B8353E">
        <w:rPr>
          <w:i/>
          <w:iCs/>
          <w:strike/>
          <w:lang w:val="fr-FR"/>
        </w:rPr>
        <w:t>Paragraphe 5.3.5.1</w:t>
      </w:r>
      <w:r w:rsidRPr="00B8353E">
        <w:rPr>
          <w:iCs/>
          <w:strike/>
          <w:lang w:val="fr-FR"/>
        </w:rPr>
        <w:t>, lire :</w:t>
      </w:r>
    </w:p>
    <w:p w14:paraId="26611D9A" w14:textId="77777777" w:rsidR="00AF00E7" w:rsidRPr="00B8353E" w:rsidRDefault="00AF00E7" w:rsidP="00AF00E7">
      <w:pPr>
        <w:pStyle w:val="SingleTxtG"/>
        <w:ind w:left="2268" w:hanging="1134"/>
        <w:rPr>
          <w:rFonts w:eastAsia="Times New Roman"/>
          <w:strike/>
          <w:lang w:val="fr-FR"/>
        </w:rPr>
      </w:pPr>
      <w:r w:rsidRPr="00B8353E">
        <w:rPr>
          <w:strike/>
          <w:lang w:val="fr-FR"/>
        </w:rPr>
        <w:t>« 5.3.5.1</w:t>
      </w:r>
      <w:r w:rsidRPr="00B8353E">
        <w:rPr>
          <w:strike/>
          <w:lang w:val="fr-FR"/>
        </w:rPr>
        <w:tab/>
      </w:r>
      <w:bookmarkEnd w:id="1"/>
      <w:r w:rsidRPr="00B8353E">
        <w:rPr>
          <w:strike/>
          <w:lang w:val="fr-FR"/>
        </w:rPr>
        <w:t>Cet essai doit être effectué sur tous les véhicules des catégories M</w:t>
      </w:r>
      <w:r w:rsidRPr="00B8353E">
        <w:rPr>
          <w:strike/>
          <w:vertAlign w:val="subscript"/>
          <w:lang w:val="fr-FR"/>
        </w:rPr>
        <w:t>1</w:t>
      </w:r>
      <w:r w:rsidRPr="00B8353E">
        <w:rPr>
          <w:strike/>
          <w:lang w:val="fr-FR"/>
        </w:rPr>
        <w:t xml:space="preserve"> et N</w:t>
      </w:r>
      <w:r w:rsidRPr="00B8353E">
        <w:rPr>
          <w:strike/>
          <w:vertAlign w:val="subscript"/>
          <w:lang w:val="fr-FR"/>
        </w:rPr>
        <w:t>1</w:t>
      </w:r>
      <w:r w:rsidRPr="00B8353E">
        <w:rPr>
          <w:strike/>
          <w:lang w:val="fr-FR"/>
        </w:rPr>
        <w:t xml:space="preserve"> équipés d’un moteur à allumage commandé, à l’exception de ceux qui fonctionnent uniquement avec un carburant gazeux (GPL ou GN). Les véhicules </w:t>
      </w:r>
      <w:proofErr w:type="spellStart"/>
      <w:r w:rsidRPr="00B8353E">
        <w:rPr>
          <w:b/>
          <w:strike/>
          <w:lang w:val="fr-FR"/>
        </w:rPr>
        <w:t>monocarburant</w:t>
      </w:r>
      <w:proofErr w:type="spellEnd"/>
      <w:r w:rsidRPr="00B8353E">
        <w:rPr>
          <w:b/>
          <w:strike/>
          <w:lang w:val="fr-FR"/>
        </w:rPr>
        <w:t xml:space="preserve"> à gaz</w:t>
      </w:r>
      <w:r w:rsidRPr="00B8353E">
        <w:rPr>
          <w:strike/>
          <w:lang w:val="fr-FR"/>
        </w:rPr>
        <w:t xml:space="preserve"> </w:t>
      </w:r>
      <w:r w:rsidRPr="00B8353E">
        <w:rPr>
          <w:rFonts w:eastAsia="Times New Roman"/>
          <w:strike/>
          <w:lang w:val="fr-FR"/>
        </w:rPr>
        <w:t>pouvant fonctionner à l’essence et avec un carburant gazeux, mais sur lesquels le circuit d’alimentation en essence sert uniquement en cas d’urgence ou pour le démarrage, et dont le réservoir à essence a une contenance maximale de 15 litres, sont considérés aux fins de l’essai du type VI comme des véhicules fonctionnant uniquement avec un carburant gazeux. Les véhicules pouvant fonctionner à l’essence et avec du GPL ou du GN</w:t>
      </w:r>
      <w:bookmarkStart w:id="2" w:name="_GoBack"/>
      <w:bookmarkEnd w:id="2"/>
      <w:r w:rsidRPr="00B8353E">
        <w:rPr>
          <w:rFonts w:eastAsia="Times New Roman"/>
          <w:strike/>
          <w:lang w:val="fr-FR"/>
        </w:rPr>
        <w:t xml:space="preserve"> doivent être testés avec de l’essence uniquement pour l’essai du type VI.</w:t>
      </w:r>
    </w:p>
    <w:p w14:paraId="76B9560A" w14:textId="77777777" w:rsidR="00AF00E7" w:rsidRPr="00B8353E" w:rsidRDefault="00AF00E7" w:rsidP="00AF00E7">
      <w:pPr>
        <w:pStyle w:val="SingleTxtG"/>
        <w:ind w:left="2268"/>
        <w:rPr>
          <w:strike/>
          <w:lang w:val="fr-FR"/>
        </w:rPr>
      </w:pPr>
      <w:r w:rsidRPr="00B8353E">
        <w:rPr>
          <w:strike/>
          <w:lang w:val="fr-FR"/>
        </w:rPr>
        <w:t>Le présent paragraphe s’applique aux nouveaux types de véhicules des catégories N</w:t>
      </w:r>
      <w:r w:rsidRPr="00B8353E">
        <w:rPr>
          <w:strike/>
          <w:vertAlign w:val="subscript"/>
          <w:lang w:val="fr-FR"/>
        </w:rPr>
        <w:t>1</w:t>
      </w:r>
      <w:r w:rsidRPr="00B8353E">
        <w:rPr>
          <w:strike/>
          <w:lang w:val="fr-FR"/>
        </w:rPr>
        <w:t xml:space="preserve"> et M</w:t>
      </w:r>
      <w:r w:rsidRPr="00B8353E">
        <w:rPr>
          <w:strike/>
          <w:vertAlign w:val="subscript"/>
          <w:lang w:val="fr-FR"/>
        </w:rPr>
        <w:t>1</w:t>
      </w:r>
      <w:r w:rsidRPr="00B8353E">
        <w:rPr>
          <w:strike/>
          <w:lang w:val="fr-FR"/>
        </w:rPr>
        <w:t xml:space="preserve"> dont la masse maximale ne dépasse pas 3 500 kg. ».</w:t>
      </w:r>
    </w:p>
    <w:p w14:paraId="3F26A735" w14:textId="77777777" w:rsidR="00AF00E7" w:rsidRPr="00C1363B" w:rsidRDefault="00AF00E7" w:rsidP="00AF00E7">
      <w:pPr>
        <w:pStyle w:val="SingleTxtG"/>
        <w:rPr>
          <w:lang w:val="fr-FR"/>
        </w:rPr>
      </w:pPr>
      <w:r w:rsidRPr="00C1363B">
        <w:rPr>
          <w:i/>
          <w:lang w:val="fr-FR"/>
        </w:rPr>
        <w:t>Annexe 1, paragraphe 3.2.12.2.5.5</w:t>
      </w:r>
      <w:r w:rsidRPr="00A674E7">
        <w:rPr>
          <w:lang w:val="fr-FR"/>
        </w:rPr>
        <w:t>,</w:t>
      </w:r>
      <w:r w:rsidRPr="00C1363B">
        <w:rPr>
          <w:i/>
          <w:lang w:val="fr-FR"/>
        </w:rPr>
        <w:t xml:space="preserve"> </w:t>
      </w:r>
      <w:r w:rsidRPr="00C1363B">
        <w:rPr>
          <w:lang w:val="fr-FR"/>
        </w:rPr>
        <w:t>lire :</w:t>
      </w:r>
    </w:p>
    <w:p w14:paraId="48E9738C" w14:textId="395528C6" w:rsidR="00AF00E7" w:rsidRPr="00C1363B" w:rsidRDefault="00AF00E7" w:rsidP="00AF00E7">
      <w:pPr>
        <w:pStyle w:val="SingleTxtG"/>
        <w:ind w:left="2268" w:hanging="1134"/>
        <w:rPr>
          <w:lang w:val="fr-FR"/>
        </w:rPr>
      </w:pPr>
      <w:r w:rsidRPr="00C1363B">
        <w:rPr>
          <w:lang w:val="fr-FR"/>
        </w:rPr>
        <w:t>« </w:t>
      </w:r>
      <w:r w:rsidRPr="00645838">
        <w:rPr>
          <w:spacing w:val="-3"/>
          <w:lang w:val="fr-FR"/>
        </w:rPr>
        <w:t>3.2.12.2.5.5</w:t>
      </w:r>
      <w:r w:rsidR="00645838">
        <w:rPr>
          <w:lang w:val="fr-FR"/>
        </w:rPr>
        <w:tab/>
      </w:r>
      <w:r w:rsidRPr="00C1363B">
        <w:rPr>
          <w:lang w:val="fr-FR"/>
        </w:rPr>
        <w:t xml:space="preserve">Schéma du réservoir de carburant, avec indication de la </w:t>
      </w:r>
      <w:r w:rsidRPr="00C1363B">
        <w:rPr>
          <w:b/>
          <w:lang w:val="fr-FR"/>
        </w:rPr>
        <w:t>capacité nominale</w:t>
      </w:r>
      <w:r w:rsidRPr="00C1363B">
        <w:rPr>
          <w:lang w:val="fr-FR"/>
        </w:rPr>
        <w:t xml:space="preserve"> </w:t>
      </w:r>
      <w:r w:rsidRPr="00C1363B">
        <w:rPr>
          <w:strike/>
          <w:lang w:val="fr-FR"/>
        </w:rPr>
        <w:t xml:space="preserve">contenance </w:t>
      </w:r>
      <w:r w:rsidRPr="00C1363B">
        <w:rPr>
          <w:lang w:val="fr-FR"/>
        </w:rPr>
        <w:t>et du matériau utilisé</w:t>
      </w:r>
      <w:r w:rsidR="00672FFA">
        <w:rPr>
          <w:lang w:val="fr-FR"/>
        </w:rPr>
        <w:t> </w:t>
      </w:r>
      <w:r w:rsidRPr="00C1363B">
        <w:rPr>
          <w:lang w:val="fr-FR"/>
        </w:rPr>
        <w:t>: ..................................... ».</w:t>
      </w:r>
    </w:p>
    <w:p w14:paraId="3F028CCA" w14:textId="77777777" w:rsidR="00AF00E7" w:rsidRPr="00C1363B" w:rsidRDefault="00AF00E7" w:rsidP="00272CF4">
      <w:pPr>
        <w:pStyle w:val="SingleTxtG"/>
        <w:keepNext/>
        <w:rPr>
          <w:lang w:val="fr-FR"/>
        </w:rPr>
      </w:pPr>
      <w:r w:rsidRPr="00C1363B">
        <w:rPr>
          <w:i/>
          <w:lang w:val="fr-FR"/>
        </w:rPr>
        <w:lastRenderedPageBreak/>
        <w:t>Annexe 7, paragraphe 4.7.2</w:t>
      </w:r>
      <w:r w:rsidRPr="00645838">
        <w:rPr>
          <w:lang w:val="fr-FR"/>
        </w:rPr>
        <w:t>,</w:t>
      </w:r>
      <w:r w:rsidRPr="00C1363B">
        <w:rPr>
          <w:i/>
          <w:lang w:val="fr-FR"/>
        </w:rPr>
        <w:t xml:space="preserve"> </w:t>
      </w:r>
      <w:r w:rsidRPr="00C1363B">
        <w:rPr>
          <w:lang w:val="fr-FR"/>
        </w:rPr>
        <w:t>lire :</w:t>
      </w:r>
    </w:p>
    <w:p w14:paraId="5FDFED6F" w14:textId="77777777" w:rsidR="00AF00E7" w:rsidRPr="00C1363B" w:rsidRDefault="00AF00E7" w:rsidP="00AF00E7">
      <w:pPr>
        <w:pStyle w:val="SingleTxtG"/>
        <w:ind w:left="2268" w:hanging="1134"/>
        <w:rPr>
          <w:lang w:val="fr-FR"/>
        </w:rPr>
      </w:pPr>
      <w:r w:rsidRPr="00C1363B">
        <w:rPr>
          <w:lang w:val="fr-FR"/>
        </w:rPr>
        <w:t>« 4.7.2</w:t>
      </w:r>
      <w:r w:rsidRPr="00C1363B">
        <w:rPr>
          <w:lang w:val="fr-FR"/>
        </w:rPr>
        <w:tab/>
        <w:t>La chambre doit être équipée d</w:t>
      </w:r>
      <w:r>
        <w:rPr>
          <w:lang w:val="fr-FR"/>
        </w:rPr>
        <w:t>’</w:t>
      </w:r>
      <w:r w:rsidRPr="00C1363B">
        <w:rPr>
          <w:lang w:val="fr-FR"/>
        </w:rPr>
        <w:t xml:space="preserve">un ou plusieurs ventilateurs ou soufflantes ayant un débit de 0,1 à 0,5 </w:t>
      </w:r>
      <w:r w:rsidRPr="00C1363B">
        <w:rPr>
          <w:strike/>
          <w:lang w:val="fr-FR"/>
        </w:rPr>
        <w:t>m</w:t>
      </w:r>
      <w:r w:rsidRPr="00C1363B">
        <w:rPr>
          <w:strike/>
          <w:vertAlign w:val="superscript"/>
          <w:lang w:val="fr-FR"/>
        </w:rPr>
        <w:t>3</w:t>
      </w:r>
      <w:r w:rsidRPr="00C1363B">
        <w:rPr>
          <w:strike/>
          <w:lang w:val="fr-FR"/>
        </w:rPr>
        <w:t>/min</w:t>
      </w:r>
      <w:r w:rsidR="00645838">
        <w:rPr>
          <w:strike/>
          <w:lang w:val="fr-FR"/>
        </w:rPr>
        <w:t xml:space="preserve"> </w:t>
      </w:r>
      <w:r w:rsidRPr="00C1363B">
        <w:rPr>
          <w:b/>
          <w:lang w:val="fr-FR"/>
        </w:rPr>
        <w:t>m</w:t>
      </w:r>
      <w:r w:rsidRPr="00C1363B">
        <w:rPr>
          <w:b/>
          <w:vertAlign w:val="superscript"/>
          <w:lang w:val="fr-FR"/>
        </w:rPr>
        <w:t>3</w:t>
      </w:r>
      <w:r w:rsidRPr="00C1363B">
        <w:rPr>
          <w:b/>
          <w:lang w:val="fr-FR"/>
        </w:rPr>
        <w:t>/s</w:t>
      </w:r>
      <w:r w:rsidRPr="00C1363B">
        <w:rPr>
          <w:lang w:val="fr-FR"/>
        </w:rPr>
        <w:t>, pour assurer un brassage complet de l</w:t>
      </w:r>
      <w:r>
        <w:rPr>
          <w:lang w:val="fr-FR"/>
        </w:rPr>
        <w:t>’</w:t>
      </w:r>
      <w:r w:rsidRPr="00C1363B">
        <w:rPr>
          <w:lang w:val="fr-FR"/>
        </w:rPr>
        <w:t>atmosphère de l</w:t>
      </w:r>
      <w:r>
        <w:rPr>
          <w:lang w:val="fr-FR"/>
        </w:rPr>
        <w:t>’</w:t>
      </w:r>
      <w:r w:rsidRPr="00C1363B">
        <w:rPr>
          <w:lang w:val="fr-FR"/>
        </w:rPr>
        <w:t>enceinte. Il doit être possible d</w:t>
      </w:r>
      <w:r>
        <w:rPr>
          <w:lang w:val="fr-FR"/>
        </w:rPr>
        <w:t>’</w:t>
      </w:r>
      <w:r w:rsidRPr="00C1363B">
        <w:rPr>
          <w:lang w:val="fr-FR"/>
        </w:rPr>
        <w:t>obtenir une répartition régulière de la température et de la concentration en hydrocarbures dans la chambre pendant les mesures. Le véhicule placé dans l</w:t>
      </w:r>
      <w:r>
        <w:rPr>
          <w:lang w:val="fr-FR"/>
        </w:rPr>
        <w:t>’</w:t>
      </w:r>
      <w:r w:rsidRPr="00C1363B">
        <w:rPr>
          <w:lang w:val="fr-FR"/>
        </w:rPr>
        <w:t>enceinte ne doit pas être soumis directement à un courant d</w:t>
      </w:r>
      <w:r>
        <w:rPr>
          <w:lang w:val="fr-FR"/>
        </w:rPr>
        <w:t>’</w:t>
      </w:r>
      <w:r w:rsidRPr="00C1363B">
        <w:rPr>
          <w:lang w:val="fr-FR"/>
        </w:rPr>
        <w:t>air provenant des ventilateurs ou des soufflantes. ».</w:t>
      </w:r>
    </w:p>
    <w:p w14:paraId="2CA4A32D" w14:textId="77777777" w:rsidR="00AF00E7" w:rsidRPr="00C1363B" w:rsidRDefault="00AF00E7" w:rsidP="00AF00E7">
      <w:pPr>
        <w:pStyle w:val="SingleTxtG"/>
        <w:rPr>
          <w:lang w:val="fr-FR"/>
        </w:rPr>
      </w:pPr>
      <w:r w:rsidRPr="00C1363B">
        <w:rPr>
          <w:i/>
          <w:lang w:val="fr-FR"/>
        </w:rPr>
        <w:t>Annexe 11, paragraphe 3.1.1</w:t>
      </w:r>
      <w:r w:rsidRPr="00645838">
        <w:rPr>
          <w:lang w:val="fr-FR"/>
        </w:rPr>
        <w:t>,</w:t>
      </w:r>
      <w:r w:rsidRPr="00C1363B">
        <w:rPr>
          <w:i/>
          <w:lang w:val="fr-FR"/>
        </w:rPr>
        <w:t xml:space="preserve"> </w:t>
      </w:r>
      <w:r w:rsidRPr="00C1363B">
        <w:rPr>
          <w:lang w:val="fr-FR"/>
        </w:rPr>
        <w:t>lire :</w:t>
      </w:r>
    </w:p>
    <w:p w14:paraId="4314C5BF" w14:textId="77777777" w:rsidR="00AF00E7" w:rsidRPr="00C1363B" w:rsidRDefault="00AF00E7" w:rsidP="00AF00E7">
      <w:pPr>
        <w:pStyle w:val="SingleTxtG"/>
        <w:ind w:left="2268" w:hanging="1134"/>
        <w:rPr>
          <w:lang w:val="fr-FR"/>
        </w:rPr>
      </w:pPr>
      <w:r w:rsidRPr="00C1363B">
        <w:rPr>
          <w:lang w:val="fr-FR"/>
        </w:rPr>
        <w:t>« 3.1.1</w:t>
      </w:r>
      <w:r w:rsidRPr="00C1363B">
        <w:rPr>
          <w:lang w:val="fr-FR"/>
        </w:rPr>
        <w:tab/>
        <w:t>L</w:t>
      </w:r>
      <w:r>
        <w:rPr>
          <w:lang w:val="fr-FR"/>
        </w:rPr>
        <w:t>’</w:t>
      </w:r>
      <w:r w:rsidRPr="00C1363B">
        <w:rPr>
          <w:lang w:val="fr-FR"/>
        </w:rPr>
        <w:t>accès au système OBD requis pour l</w:t>
      </w:r>
      <w:r>
        <w:rPr>
          <w:lang w:val="fr-FR"/>
        </w:rPr>
        <w:t>’</w:t>
      </w:r>
      <w:r w:rsidRPr="00C1363B">
        <w:rPr>
          <w:lang w:val="fr-FR"/>
        </w:rPr>
        <w:t>inspection, le diagnostic, l</w:t>
      </w:r>
      <w:r>
        <w:rPr>
          <w:lang w:val="fr-FR"/>
        </w:rPr>
        <w:t>’</w:t>
      </w:r>
      <w:r w:rsidRPr="00C1363B">
        <w:rPr>
          <w:lang w:val="fr-FR"/>
        </w:rPr>
        <w:t>entretien ou la réparation du véhicule doit être illimité et normalisé. Tous les codes d</w:t>
      </w:r>
      <w:r>
        <w:rPr>
          <w:lang w:val="fr-FR"/>
        </w:rPr>
        <w:t>’</w:t>
      </w:r>
      <w:r w:rsidRPr="00C1363B">
        <w:rPr>
          <w:lang w:val="fr-FR"/>
        </w:rPr>
        <w:t>erreurs liés aux émissions doivent être conformes au</w:t>
      </w:r>
      <w:r w:rsidR="00BC1D65" w:rsidRPr="00BC1D65">
        <w:rPr>
          <w:strike/>
          <w:lang w:val="fr-FR"/>
        </w:rPr>
        <w:t xml:space="preserve"> </w:t>
      </w:r>
      <w:r w:rsidRPr="00C1363B">
        <w:rPr>
          <w:strike/>
          <w:lang w:val="fr-FR"/>
        </w:rPr>
        <w:t>paragraphe 6.5.3.4</w:t>
      </w:r>
      <w:r w:rsidR="00BC1D65">
        <w:rPr>
          <w:strike/>
          <w:lang w:val="fr-FR"/>
        </w:rPr>
        <w:t xml:space="preserve"> </w:t>
      </w:r>
      <w:r w:rsidRPr="00C1363B">
        <w:rPr>
          <w:b/>
          <w:lang w:val="fr-FR"/>
        </w:rPr>
        <w:t>paragraphe 6.5.3.5</w:t>
      </w:r>
      <w:r w:rsidRPr="00C1363B">
        <w:rPr>
          <w:lang w:val="fr-FR"/>
        </w:rPr>
        <w:t xml:space="preserve"> de l</w:t>
      </w:r>
      <w:r>
        <w:rPr>
          <w:lang w:val="fr-FR"/>
        </w:rPr>
        <w:t>’</w:t>
      </w:r>
      <w:r w:rsidRPr="00C1363B">
        <w:rPr>
          <w:lang w:val="fr-FR"/>
        </w:rPr>
        <w:t>appendice 1 de la présente annexe. ».</w:t>
      </w:r>
    </w:p>
    <w:p w14:paraId="0EF30668" w14:textId="77777777" w:rsidR="00AF00E7" w:rsidRPr="00C1363B" w:rsidRDefault="00AF00E7" w:rsidP="00AF00E7">
      <w:pPr>
        <w:pStyle w:val="SingleTxtG"/>
        <w:rPr>
          <w:b/>
          <w:bCs/>
          <w:lang w:val="fr-FR"/>
        </w:rPr>
      </w:pPr>
      <w:r w:rsidRPr="00C1363B">
        <w:rPr>
          <w:b/>
          <w:bCs/>
          <w:lang w:val="fr-FR"/>
        </w:rPr>
        <w:t>Dans la série 06 d</w:t>
      </w:r>
      <w:r>
        <w:rPr>
          <w:b/>
          <w:bCs/>
          <w:lang w:val="fr-FR"/>
        </w:rPr>
        <w:t>’</w:t>
      </w:r>
      <w:r w:rsidRPr="00C1363B">
        <w:rPr>
          <w:b/>
          <w:bCs/>
          <w:lang w:val="fr-FR"/>
        </w:rPr>
        <w:t>amendements uniquement</w:t>
      </w:r>
    </w:p>
    <w:p w14:paraId="1C498B57" w14:textId="77777777" w:rsidR="00AF00E7" w:rsidRPr="00C1363B" w:rsidRDefault="00AF00E7" w:rsidP="00AF00E7">
      <w:pPr>
        <w:pStyle w:val="SingleTxtG"/>
        <w:rPr>
          <w:iCs/>
          <w:lang w:val="fr-FR"/>
        </w:rPr>
      </w:pPr>
      <w:r w:rsidRPr="00C1363B">
        <w:rPr>
          <w:i/>
          <w:iCs/>
          <w:lang w:val="fr-FR"/>
        </w:rPr>
        <w:t>Paragraphe 1 de l</w:t>
      </w:r>
      <w:r>
        <w:rPr>
          <w:i/>
          <w:iCs/>
          <w:lang w:val="fr-FR"/>
        </w:rPr>
        <w:t>’</w:t>
      </w:r>
      <w:r w:rsidRPr="00C1363B">
        <w:rPr>
          <w:i/>
          <w:iCs/>
          <w:lang w:val="fr-FR"/>
        </w:rPr>
        <w:t>appendice 6</w:t>
      </w:r>
      <w:r w:rsidRPr="00645838">
        <w:rPr>
          <w:iCs/>
          <w:lang w:val="fr-FR"/>
        </w:rPr>
        <w:t>,</w:t>
      </w:r>
      <w:r w:rsidRPr="00C1363B">
        <w:rPr>
          <w:lang w:val="fr-FR"/>
        </w:rPr>
        <w:t xml:space="preserve"> lire </w:t>
      </w:r>
      <w:r w:rsidRPr="00C1363B">
        <w:rPr>
          <w:iCs/>
          <w:lang w:val="fr-FR"/>
        </w:rPr>
        <w:t>:</w:t>
      </w:r>
    </w:p>
    <w:p w14:paraId="4C734DFD" w14:textId="77777777" w:rsidR="00AF00E7" w:rsidRPr="00C1363B" w:rsidRDefault="00AF00E7" w:rsidP="00AF00E7">
      <w:pPr>
        <w:pStyle w:val="SingleTxtG"/>
        <w:rPr>
          <w:lang w:val="fr-FR"/>
        </w:rPr>
      </w:pPr>
      <w:r w:rsidRPr="00C1363B">
        <w:rPr>
          <w:lang w:val="fr-FR"/>
        </w:rPr>
        <w:t>« 1.</w:t>
      </w:r>
      <w:r w:rsidRPr="00C1363B">
        <w:rPr>
          <w:lang w:val="fr-FR"/>
        </w:rPr>
        <w:tab/>
      </w:r>
      <w:r w:rsidRPr="00C1363B">
        <w:rPr>
          <w:lang w:val="fr-FR"/>
        </w:rPr>
        <w:tab/>
        <w:t>Introduction</w:t>
      </w:r>
    </w:p>
    <w:p w14:paraId="7E83C463" w14:textId="77777777" w:rsidR="00AF00E7" w:rsidRPr="00C1363B" w:rsidRDefault="00AF00E7" w:rsidP="00AF00E7">
      <w:pPr>
        <w:pStyle w:val="SingleTxtG"/>
        <w:ind w:left="2268"/>
        <w:rPr>
          <w:lang w:val="fr-FR"/>
        </w:rPr>
      </w:pPr>
      <w:r w:rsidRPr="00C1363B">
        <w:rPr>
          <w:lang w:val="fr-FR"/>
        </w:rPr>
        <w:t xml:space="preserve">Dans </w:t>
      </w:r>
      <w:r w:rsidRPr="00C1363B">
        <w:rPr>
          <w:strike/>
          <w:lang w:val="fr-FR"/>
        </w:rPr>
        <w:t xml:space="preserve">la présente annexe </w:t>
      </w:r>
      <w:r w:rsidRPr="00C1363B">
        <w:rPr>
          <w:b/>
          <w:lang w:val="fr-FR"/>
        </w:rPr>
        <w:t>le présent appendice</w:t>
      </w:r>
      <w:r w:rsidRPr="00C1363B">
        <w:rPr>
          <w:lang w:val="fr-FR"/>
        </w:rPr>
        <w:t xml:space="preserve"> sont définies les prescriptions applicables aux véhicules dont le système de traitement aval visant à réduire les émissions nécessite l</w:t>
      </w:r>
      <w:r>
        <w:rPr>
          <w:lang w:val="fr-FR"/>
        </w:rPr>
        <w:t>’</w:t>
      </w:r>
      <w:r w:rsidRPr="00C1363B">
        <w:rPr>
          <w:lang w:val="fr-FR"/>
        </w:rPr>
        <w:t>emploi d</w:t>
      </w:r>
      <w:r>
        <w:rPr>
          <w:lang w:val="fr-FR"/>
        </w:rPr>
        <w:t>’</w:t>
      </w:r>
      <w:r w:rsidRPr="00C1363B">
        <w:rPr>
          <w:lang w:val="fr-FR"/>
        </w:rPr>
        <w:t xml:space="preserve">un réactif. Toute référence dans </w:t>
      </w:r>
      <w:r w:rsidRPr="00C1363B">
        <w:rPr>
          <w:strike/>
          <w:lang w:val="fr-FR"/>
        </w:rPr>
        <w:t>la présente annexe</w:t>
      </w:r>
      <w:r w:rsidRPr="00C1363B">
        <w:rPr>
          <w:lang w:val="fr-FR"/>
        </w:rPr>
        <w:t xml:space="preserve"> </w:t>
      </w:r>
      <w:r w:rsidRPr="00C1363B">
        <w:rPr>
          <w:b/>
          <w:lang w:val="fr-FR"/>
        </w:rPr>
        <w:t>le présent appendice</w:t>
      </w:r>
      <w:r w:rsidRPr="00C1363B">
        <w:rPr>
          <w:lang w:val="fr-FR"/>
        </w:rPr>
        <w:t xml:space="preserve"> à un “réservoir de réactif” s</w:t>
      </w:r>
      <w:r>
        <w:rPr>
          <w:lang w:val="fr-FR"/>
        </w:rPr>
        <w:t>’</w:t>
      </w:r>
      <w:r w:rsidRPr="00C1363B">
        <w:rPr>
          <w:lang w:val="fr-FR"/>
        </w:rPr>
        <w:t>entend comme s</w:t>
      </w:r>
      <w:r>
        <w:rPr>
          <w:lang w:val="fr-FR"/>
        </w:rPr>
        <w:t>’</w:t>
      </w:r>
      <w:r w:rsidRPr="00C1363B">
        <w:rPr>
          <w:lang w:val="fr-FR"/>
        </w:rPr>
        <w:t>appliquant également aux autres contenants dans lesquels est stocké un réactif.</w:t>
      </w:r>
    </w:p>
    <w:p w14:paraId="2012163C" w14:textId="77777777" w:rsidR="00AF00E7" w:rsidRPr="00C1363B" w:rsidRDefault="00AF00E7" w:rsidP="00AF00E7">
      <w:pPr>
        <w:pStyle w:val="SingleTxtG"/>
        <w:ind w:left="1701" w:firstLine="567"/>
        <w:rPr>
          <w:lang w:val="fr-FR"/>
        </w:rPr>
      </w:pPr>
      <w:r w:rsidRPr="00C1363B">
        <w:rPr>
          <w:lang w:val="fr-FR"/>
        </w:rPr>
        <w:t>… ».</w:t>
      </w:r>
    </w:p>
    <w:p w14:paraId="70EBB078" w14:textId="77777777" w:rsidR="00AF00E7" w:rsidRPr="00C1363B" w:rsidRDefault="00AF00E7" w:rsidP="00AF00E7">
      <w:pPr>
        <w:pStyle w:val="SingleTxtG"/>
        <w:rPr>
          <w:lang w:val="fr-FR"/>
        </w:rPr>
      </w:pPr>
      <w:r w:rsidRPr="00C1363B">
        <w:rPr>
          <w:i/>
          <w:lang w:val="fr-FR"/>
        </w:rPr>
        <w:t>Annexe 1, paragraphe 3, note de bas de page</w:t>
      </w:r>
      <w:r w:rsidRPr="00AE6935">
        <w:rPr>
          <w:lang w:val="fr-FR"/>
        </w:rPr>
        <w:t>**</w:t>
      </w:r>
      <w:r w:rsidRPr="00C1363B">
        <w:rPr>
          <w:lang w:val="fr-FR"/>
        </w:rPr>
        <w:t>, lire :</w:t>
      </w:r>
    </w:p>
    <w:p w14:paraId="1CDDE009" w14:textId="77777777" w:rsidR="00AF00E7" w:rsidRPr="00C1363B" w:rsidRDefault="00AF00E7" w:rsidP="00AF00E7">
      <w:pPr>
        <w:pStyle w:val="SingleTxtG"/>
        <w:ind w:left="2268" w:hanging="1134"/>
        <w:rPr>
          <w:lang w:val="fr-FR"/>
        </w:rPr>
      </w:pPr>
      <w:r w:rsidRPr="00C1363B">
        <w:rPr>
          <w:lang w:val="fr-FR"/>
        </w:rPr>
        <w:t>« **</w:t>
      </w:r>
      <w:r w:rsidRPr="00C1363B">
        <w:rPr>
          <w:lang w:val="fr-FR"/>
        </w:rPr>
        <w:tab/>
        <w:t xml:space="preserve">Les véhicules </w:t>
      </w:r>
      <w:proofErr w:type="spellStart"/>
      <w:r w:rsidRPr="00C1363B">
        <w:rPr>
          <w:b/>
          <w:lang w:val="fr-FR"/>
        </w:rPr>
        <w:t>monocarburant</w:t>
      </w:r>
      <w:proofErr w:type="spellEnd"/>
      <w:r w:rsidRPr="00C1363B">
        <w:rPr>
          <w:b/>
          <w:lang w:val="fr-FR"/>
        </w:rPr>
        <w:t xml:space="preserve"> à gaz</w:t>
      </w:r>
      <w:r w:rsidRPr="00C1363B">
        <w:rPr>
          <w:lang w:val="fr-FR"/>
        </w:rPr>
        <w:t xml:space="preserve"> </w:t>
      </w:r>
      <w:r w:rsidRPr="00C1363B">
        <w:rPr>
          <w:strike/>
          <w:lang w:val="fr-FR"/>
        </w:rPr>
        <w:t>qui peuvent rouler à la fois à l</w:t>
      </w:r>
      <w:r>
        <w:rPr>
          <w:strike/>
          <w:lang w:val="fr-FR"/>
        </w:rPr>
        <w:t>’</w:t>
      </w:r>
      <w:r w:rsidRPr="00C1363B">
        <w:rPr>
          <w:strike/>
          <w:lang w:val="fr-FR"/>
        </w:rPr>
        <w:t>essence et au carburant gazeux mais dont le circuit d</w:t>
      </w:r>
      <w:r>
        <w:rPr>
          <w:strike/>
          <w:lang w:val="fr-FR"/>
        </w:rPr>
        <w:t>’</w:t>
      </w:r>
      <w:r w:rsidRPr="00C1363B">
        <w:rPr>
          <w:strike/>
          <w:lang w:val="fr-FR"/>
        </w:rPr>
        <w:t>essence est destiné uniquement aux cas d</w:t>
      </w:r>
      <w:r>
        <w:rPr>
          <w:strike/>
          <w:lang w:val="fr-FR"/>
        </w:rPr>
        <w:t>’</w:t>
      </w:r>
      <w:r w:rsidRPr="00C1363B">
        <w:rPr>
          <w:strike/>
          <w:lang w:val="fr-FR"/>
        </w:rPr>
        <w:t>urgence ou au démarrage et dont le réservoir d</w:t>
      </w:r>
      <w:r>
        <w:rPr>
          <w:strike/>
          <w:lang w:val="fr-FR"/>
        </w:rPr>
        <w:t>’</w:t>
      </w:r>
      <w:r w:rsidRPr="00C1363B">
        <w:rPr>
          <w:strike/>
          <w:lang w:val="fr-FR"/>
        </w:rPr>
        <w:t>essence a une capacité maximale de 15 litres</w:t>
      </w:r>
      <w:r w:rsidR="00AE6935">
        <w:rPr>
          <w:strike/>
          <w:lang w:val="fr-FR"/>
        </w:rPr>
        <w:t xml:space="preserve"> </w:t>
      </w:r>
      <w:r w:rsidRPr="00C1363B">
        <w:rPr>
          <w:lang w:val="fr-FR"/>
        </w:rPr>
        <w:t>seront considérés pour l</w:t>
      </w:r>
      <w:r>
        <w:rPr>
          <w:lang w:val="fr-FR"/>
        </w:rPr>
        <w:t>’</w:t>
      </w:r>
      <w:r w:rsidRPr="00C1363B">
        <w:rPr>
          <w:lang w:val="fr-FR"/>
        </w:rPr>
        <w:t>essai comme pouvant rouler uniquement au carburant gazeux. ».</w:t>
      </w:r>
    </w:p>
    <w:p w14:paraId="06E8773D" w14:textId="77777777" w:rsidR="00AF00E7" w:rsidRPr="00C1363B" w:rsidRDefault="00AF00E7" w:rsidP="00AF00E7">
      <w:pPr>
        <w:pStyle w:val="SingleTxtG"/>
        <w:rPr>
          <w:b/>
          <w:bCs/>
          <w:iCs/>
          <w:lang w:val="fr-FR"/>
        </w:rPr>
      </w:pPr>
      <w:r w:rsidRPr="00C1363B">
        <w:rPr>
          <w:b/>
          <w:bCs/>
          <w:iCs/>
          <w:lang w:val="fr-FR"/>
        </w:rPr>
        <w:t>Dans la série 07 d</w:t>
      </w:r>
      <w:r>
        <w:rPr>
          <w:b/>
          <w:bCs/>
          <w:iCs/>
          <w:lang w:val="fr-FR"/>
        </w:rPr>
        <w:t>’</w:t>
      </w:r>
      <w:r w:rsidRPr="00C1363B">
        <w:rPr>
          <w:b/>
          <w:bCs/>
          <w:iCs/>
          <w:lang w:val="fr-FR"/>
        </w:rPr>
        <w:t>amendements uniquement</w:t>
      </w:r>
    </w:p>
    <w:p w14:paraId="1F331AF5" w14:textId="77777777" w:rsidR="00AF00E7" w:rsidRPr="00C1363B" w:rsidRDefault="00AF00E7" w:rsidP="00AF00E7">
      <w:pPr>
        <w:pStyle w:val="SingleTxtG"/>
        <w:rPr>
          <w:i/>
          <w:lang w:val="fr-FR"/>
        </w:rPr>
      </w:pPr>
      <w:r w:rsidRPr="00C1363B">
        <w:rPr>
          <w:i/>
          <w:lang w:val="fr-FR"/>
        </w:rPr>
        <w:t>Paragraphe 1 de l</w:t>
      </w:r>
      <w:r>
        <w:rPr>
          <w:i/>
          <w:lang w:val="fr-FR"/>
        </w:rPr>
        <w:t>’</w:t>
      </w:r>
      <w:r w:rsidRPr="00C1363B">
        <w:rPr>
          <w:i/>
          <w:lang w:val="fr-FR"/>
        </w:rPr>
        <w:t>appendice 6</w:t>
      </w:r>
      <w:r w:rsidRPr="00AE6935">
        <w:rPr>
          <w:lang w:val="fr-FR"/>
        </w:rPr>
        <w:t>,</w:t>
      </w:r>
      <w:r w:rsidRPr="00C1363B">
        <w:rPr>
          <w:i/>
          <w:lang w:val="fr-FR"/>
        </w:rPr>
        <w:t xml:space="preserve"> </w:t>
      </w:r>
      <w:r w:rsidRPr="00C1363B">
        <w:rPr>
          <w:lang w:val="fr-FR"/>
        </w:rPr>
        <w:t>lire :</w:t>
      </w:r>
    </w:p>
    <w:p w14:paraId="069DDA89" w14:textId="77777777" w:rsidR="00AF00E7" w:rsidRPr="00C1363B" w:rsidRDefault="00AF00E7" w:rsidP="00AE6935">
      <w:pPr>
        <w:pStyle w:val="SingleTxtG"/>
        <w:ind w:left="2268" w:hanging="1134"/>
        <w:rPr>
          <w:lang w:val="fr-FR"/>
        </w:rPr>
      </w:pPr>
      <w:bookmarkStart w:id="3" w:name="_Toc392497037"/>
      <w:bookmarkStart w:id="4" w:name="_Toc407097362"/>
      <w:r w:rsidRPr="00C1363B">
        <w:rPr>
          <w:lang w:val="fr-FR"/>
        </w:rPr>
        <w:t>« 1.</w:t>
      </w:r>
      <w:r w:rsidRPr="00C1363B">
        <w:rPr>
          <w:lang w:val="fr-FR"/>
        </w:rPr>
        <w:tab/>
      </w:r>
      <w:r w:rsidRPr="00C1363B">
        <w:rPr>
          <w:lang w:val="fr-FR"/>
        </w:rPr>
        <w:tab/>
        <w:t>Introduction</w:t>
      </w:r>
      <w:bookmarkEnd w:id="3"/>
      <w:bookmarkEnd w:id="4"/>
    </w:p>
    <w:p w14:paraId="70D56FB7" w14:textId="77777777" w:rsidR="00AF00E7" w:rsidRPr="00C1363B" w:rsidRDefault="00AF00E7" w:rsidP="00AF00E7">
      <w:pPr>
        <w:pStyle w:val="SingleTxtG"/>
        <w:ind w:left="2268"/>
        <w:rPr>
          <w:lang w:val="fr-FR"/>
        </w:rPr>
      </w:pPr>
      <w:r w:rsidRPr="00C1363B">
        <w:rPr>
          <w:lang w:val="fr-FR"/>
        </w:rPr>
        <w:t>Le présent appendice définit les prescriptions applicables aux véhicules qui ont besoin d</w:t>
      </w:r>
      <w:r>
        <w:rPr>
          <w:lang w:val="fr-FR"/>
        </w:rPr>
        <w:t>’</w:t>
      </w:r>
      <w:r w:rsidRPr="00C1363B">
        <w:rPr>
          <w:lang w:val="fr-FR"/>
        </w:rPr>
        <w:t xml:space="preserve">un réactif pour leur système de traitement aval destiné à réduire les émissions. Les renvois faits dans </w:t>
      </w:r>
      <w:r w:rsidRPr="00C1363B">
        <w:rPr>
          <w:strike/>
          <w:lang w:val="fr-FR"/>
        </w:rPr>
        <w:t>la présente annexe</w:t>
      </w:r>
      <w:r w:rsidRPr="00C1363B">
        <w:rPr>
          <w:lang w:val="fr-FR"/>
        </w:rPr>
        <w:t xml:space="preserve"> </w:t>
      </w:r>
      <w:r w:rsidRPr="00C1363B">
        <w:rPr>
          <w:b/>
          <w:lang w:val="fr-FR"/>
        </w:rPr>
        <w:t>le présent appendice</w:t>
      </w:r>
      <w:r w:rsidRPr="00C1363B">
        <w:rPr>
          <w:lang w:val="fr-FR"/>
        </w:rPr>
        <w:t xml:space="preserve"> à un “réservoir de réactif” doivent être compris comme s</w:t>
      </w:r>
      <w:r>
        <w:rPr>
          <w:lang w:val="fr-FR"/>
        </w:rPr>
        <w:t>’</w:t>
      </w:r>
      <w:r w:rsidRPr="00C1363B">
        <w:rPr>
          <w:lang w:val="fr-FR"/>
        </w:rPr>
        <w:t>appliquant également à d</w:t>
      </w:r>
      <w:r>
        <w:rPr>
          <w:lang w:val="fr-FR"/>
        </w:rPr>
        <w:t>’</w:t>
      </w:r>
      <w:r w:rsidRPr="00C1363B">
        <w:rPr>
          <w:lang w:val="fr-FR"/>
        </w:rPr>
        <w:t>autres récipients contenant un réactif.</w:t>
      </w:r>
    </w:p>
    <w:p w14:paraId="472BB74A" w14:textId="77777777" w:rsidR="00AF00E7" w:rsidRPr="00C1363B" w:rsidRDefault="00AF00E7" w:rsidP="00AF00E7">
      <w:pPr>
        <w:pStyle w:val="SingleTxtG"/>
        <w:ind w:left="1701" w:firstLine="567"/>
        <w:rPr>
          <w:i/>
          <w:lang w:val="fr-FR"/>
        </w:rPr>
      </w:pPr>
      <w:r w:rsidRPr="00C1363B">
        <w:rPr>
          <w:lang w:val="fr-FR"/>
        </w:rPr>
        <w:t>… ».</w:t>
      </w:r>
    </w:p>
    <w:p w14:paraId="73237CCD" w14:textId="77777777" w:rsidR="00AF00E7" w:rsidRPr="00C1363B" w:rsidRDefault="00AF00E7" w:rsidP="00AF00E7">
      <w:pPr>
        <w:pStyle w:val="SingleTxtG"/>
        <w:rPr>
          <w:lang w:val="fr-FR"/>
        </w:rPr>
      </w:pPr>
      <w:r w:rsidRPr="00C1363B">
        <w:rPr>
          <w:i/>
          <w:lang w:val="fr-FR"/>
        </w:rPr>
        <w:t>Annexe 1, paragraphe 3, note de bas de page 8</w:t>
      </w:r>
      <w:r w:rsidRPr="00AE6935">
        <w:rPr>
          <w:lang w:val="fr-FR"/>
        </w:rPr>
        <w:t>,</w:t>
      </w:r>
      <w:r w:rsidRPr="00C1363B">
        <w:rPr>
          <w:i/>
          <w:lang w:val="fr-FR"/>
        </w:rPr>
        <w:t xml:space="preserve"> </w:t>
      </w:r>
      <w:r w:rsidRPr="00C1363B">
        <w:rPr>
          <w:lang w:val="fr-FR"/>
        </w:rPr>
        <w:t>lire :</w:t>
      </w:r>
    </w:p>
    <w:p w14:paraId="3377CC65" w14:textId="77777777" w:rsidR="00AF00E7" w:rsidRPr="00C1363B" w:rsidRDefault="00AF00E7" w:rsidP="00AF00E7">
      <w:pPr>
        <w:pStyle w:val="SingleTxtG"/>
        <w:ind w:left="2268" w:hanging="1134"/>
        <w:rPr>
          <w:lang w:val="fr-FR"/>
        </w:rPr>
      </w:pPr>
      <w:r w:rsidRPr="00C1363B">
        <w:rPr>
          <w:lang w:val="fr-FR"/>
        </w:rPr>
        <w:t>« 8)</w:t>
      </w:r>
      <w:r w:rsidRPr="00C1363B">
        <w:rPr>
          <w:lang w:val="fr-FR"/>
        </w:rPr>
        <w:tab/>
        <w:t xml:space="preserve">Les véhicules </w:t>
      </w:r>
      <w:proofErr w:type="spellStart"/>
      <w:r w:rsidRPr="00C1363B">
        <w:rPr>
          <w:b/>
          <w:lang w:val="fr-FR"/>
        </w:rPr>
        <w:t>monocarburant</w:t>
      </w:r>
      <w:proofErr w:type="spellEnd"/>
      <w:r w:rsidRPr="00C1363B">
        <w:rPr>
          <w:b/>
          <w:lang w:val="fr-FR"/>
        </w:rPr>
        <w:t xml:space="preserve"> à gaz</w:t>
      </w:r>
      <w:r w:rsidRPr="00C1363B">
        <w:rPr>
          <w:lang w:val="fr-FR"/>
        </w:rPr>
        <w:t xml:space="preserve"> </w:t>
      </w:r>
      <w:r w:rsidRPr="00C1363B">
        <w:rPr>
          <w:strike/>
          <w:lang w:val="fr-FR"/>
        </w:rPr>
        <w:t>qui peuvent rouler à la fois à l</w:t>
      </w:r>
      <w:r>
        <w:rPr>
          <w:strike/>
          <w:lang w:val="fr-FR"/>
        </w:rPr>
        <w:t>’</w:t>
      </w:r>
      <w:r w:rsidRPr="00C1363B">
        <w:rPr>
          <w:strike/>
          <w:lang w:val="fr-FR"/>
        </w:rPr>
        <w:t>essence et au carburant gazeux mais dont le circuit d</w:t>
      </w:r>
      <w:r>
        <w:rPr>
          <w:strike/>
          <w:lang w:val="fr-FR"/>
        </w:rPr>
        <w:t>’</w:t>
      </w:r>
      <w:r w:rsidRPr="00C1363B">
        <w:rPr>
          <w:strike/>
          <w:lang w:val="fr-FR"/>
        </w:rPr>
        <w:t>essence est destiné uniquement aux cas d</w:t>
      </w:r>
      <w:r>
        <w:rPr>
          <w:strike/>
          <w:lang w:val="fr-FR"/>
        </w:rPr>
        <w:t>’</w:t>
      </w:r>
      <w:r w:rsidRPr="00C1363B">
        <w:rPr>
          <w:strike/>
          <w:lang w:val="fr-FR"/>
        </w:rPr>
        <w:t>urgence ou au démarrage et dont le réservoir d</w:t>
      </w:r>
      <w:r>
        <w:rPr>
          <w:strike/>
          <w:lang w:val="fr-FR"/>
        </w:rPr>
        <w:t>’</w:t>
      </w:r>
      <w:r w:rsidRPr="00C1363B">
        <w:rPr>
          <w:strike/>
          <w:lang w:val="fr-FR"/>
        </w:rPr>
        <w:t>essence a une capacité maximale de 15 l</w:t>
      </w:r>
      <w:r w:rsidR="00AE6935">
        <w:rPr>
          <w:strike/>
          <w:lang w:val="fr-FR"/>
        </w:rPr>
        <w:t xml:space="preserve"> </w:t>
      </w:r>
      <w:r w:rsidRPr="00C1363B">
        <w:rPr>
          <w:lang w:val="fr-FR"/>
        </w:rPr>
        <w:t>seront considérés pour l</w:t>
      </w:r>
      <w:r>
        <w:rPr>
          <w:lang w:val="fr-FR"/>
        </w:rPr>
        <w:t>’</w:t>
      </w:r>
      <w:r w:rsidRPr="00C1363B">
        <w:rPr>
          <w:lang w:val="fr-FR"/>
        </w:rPr>
        <w:t>essai comme pouvant rouler uniquement au carburant gazeux. ».</w:t>
      </w:r>
    </w:p>
    <w:p w14:paraId="15E9055A" w14:textId="77777777" w:rsidR="00AF00E7" w:rsidRPr="00C1363B" w:rsidRDefault="00AF00E7" w:rsidP="00AE6935">
      <w:pPr>
        <w:pStyle w:val="HChG"/>
        <w:rPr>
          <w:lang w:val="fr-FR"/>
        </w:rPr>
      </w:pPr>
      <w:r w:rsidRPr="00C1363B">
        <w:rPr>
          <w:lang w:val="fr-FR"/>
        </w:rPr>
        <w:tab/>
        <w:t>II.</w:t>
      </w:r>
      <w:r w:rsidRPr="00C1363B">
        <w:rPr>
          <w:lang w:val="fr-FR"/>
        </w:rPr>
        <w:tab/>
      </w:r>
      <w:r w:rsidRPr="00AE6935">
        <w:t>Justification</w:t>
      </w:r>
    </w:p>
    <w:p w14:paraId="277F0C30" w14:textId="77777777" w:rsidR="00AF00E7" w:rsidRPr="00C1363B" w:rsidRDefault="00AF00E7" w:rsidP="00AF00E7">
      <w:pPr>
        <w:pStyle w:val="SingleTxtG"/>
        <w:rPr>
          <w:lang w:val="fr-FR"/>
        </w:rPr>
      </w:pPr>
      <w:r w:rsidRPr="00C1363B">
        <w:rPr>
          <w:lang w:val="fr-FR"/>
        </w:rPr>
        <w:t>1.</w:t>
      </w:r>
      <w:r w:rsidRPr="00C1363B">
        <w:rPr>
          <w:lang w:val="fr-FR"/>
        </w:rPr>
        <w:tab/>
        <w:t>Le corps du Règlement ONU</w:t>
      </w:r>
      <w:r w:rsidR="00AE6935">
        <w:rPr>
          <w:lang w:val="fr-FR"/>
        </w:rPr>
        <w:t xml:space="preserve"> </w:t>
      </w:r>
      <w:r w:rsidR="00AE6935" w:rsidRPr="00AE6935">
        <w:rPr>
          <w:rFonts w:eastAsia="MS Mincho"/>
          <w:szCs w:val="22"/>
          <w:lang w:val="fr-FR"/>
        </w:rPr>
        <w:t>n</w:t>
      </w:r>
      <w:r w:rsidR="00AE6935" w:rsidRPr="00AE6935">
        <w:rPr>
          <w:rFonts w:eastAsia="MS Mincho"/>
          <w:szCs w:val="22"/>
          <w:vertAlign w:val="superscript"/>
          <w:lang w:val="fr-FR"/>
        </w:rPr>
        <w:t>o</w:t>
      </w:r>
      <w:r w:rsidR="00AE6935">
        <w:rPr>
          <w:lang w:val="fr-FR"/>
        </w:rPr>
        <w:t> </w:t>
      </w:r>
      <w:r w:rsidRPr="00C1363B">
        <w:rPr>
          <w:lang w:val="fr-FR"/>
        </w:rPr>
        <w:t>83 ne contient actuellement aucune référence à l</w:t>
      </w:r>
      <w:r>
        <w:rPr>
          <w:lang w:val="fr-FR"/>
        </w:rPr>
        <w:t>’</w:t>
      </w:r>
      <w:r w:rsidRPr="00C1363B">
        <w:rPr>
          <w:lang w:val="fr-FR"/>
        </w:rPr>
        <w:t>appendice 6, de sorte qu</w:t>
      </w:r>
      <w:r>
        <w:rPr>
          <w:lang w:val="fr-FR"/>
        </w:rPr>
        <w:t>’</w:t>
      </w:r>
      <w:r w:rsidRPr="00C1363B">
        <w:rPr>
          <w:lang w:val="fr-FR"/>
        </w:rPr>
        <w:t>il n</w:t>
      </w:r>
      <w:r>
        <w:rPr>
          <w:lang w:val="fr-FR"/>
        </w:rPr>
        <w:t>’</w:t>
      </w:r>
      <w:r w:rsidRPr="00C1363B">
        <w:rPr>
          <w:lang w:val="fr-FR"/>
        </w:rPr>
        <w:t>existe aucun moyen de savoir qu</w:t>
      </w:r>
      <w:r>
        <w:rPr>
          <w:lang w:val="fr-FR"/>
        </w:rPr>
        <w:t>’</w:t>
      </w:r>
      <w:r w:rsidRPr="00C1363B">
        <w:rPr>
          <w:lang w:val="fr-FR"/>
        </w:rPr>
        <w:t>il faut se conformer aux prescriptions de cet appendice pour les essais d</w:t>
      </w:r>
      <w:r>
        <w:rPr>
          <w:lang w:val="fr-FR"/>
        </w:rPr>
        <w:t>’</w:t>
      </w:r>
      <w:r w:rsidRPr="00C1363B">
        <w:rPr>
          <w:lang w:val="fr-FR"/>
        </w:rPr>
        <w:t>homologation des véhicules visés.</w:t>
      </w:r>
    </w:p>
    <w:p w14:paraId="500353A5" w14:textId="77777777" w:rsidR="00AF00E7" w:rsidRPr="00C1363B" w:rsidRDefault="00AF00E7" w:rsidP="00AF00E7">
      <w:pPr>
        <w:pStyle w:val="SingleTxtG"/>
        <w:rPr>
          <w:lang w:val="fr-FR"/>
        </w:rPr>
      </w:pPr>
      <w:r w:rsidRPr="00C1363B">
        <w:rPr>
          <w:lang w:val="fr-FR"/>
        </w:rPr>
        <w:lastRenderedPageBreak/>
        <w:t>2.</w:t>
      </w:r>
      <w:r w:rsidRPr="00C1363B">
        <w:rPr>
          <w:lang w:val="fr-FR"/>
        </w:rPr>
        <w:tab/>
        <w:t xml:space="preserve">La définition de « véhicule </w:t>
      </w:r>
      <w:proofErr w:type="spellStart"/>
      <w:r w:rsidRPr="00C1363B">
        <w:rPr>
          <w:lang w:val="fr-FR"/>
        </w:rPr>
        <w:t>monocarburant</w:t>
      </w:r>
      <w:proofErr w:type="spellEnd"/>
      <w:r w:rsidRPr="00C1363B">
        <w:rPr>
          <w:lang w:val="fr-FR"/>
        </w:rPr>
        <w:t xml:space="preserve"> à gaz » a été clarifiée dans le document de travail ECE/TRANS/WP.29/GRPE/2018/13 et incorporée dans l</w:t>
      </w:r>
      <w:r>
        <w:rPr>
          <w:lang w:val="fr-FR"/>
        </w:rPr>
        <w:t>’</w:t>
      </w:r>
      <w:r w:rsidRPr="00C1363B">
        <w:rPr>
          <w:lang w:val="fr-FR"/>
        </w:rPr>
        <w:t>amendement 12 à la révision 4 et dans l</w:t>
      </w:r>
      <w:r>
        <w:rPr>
          <w:lang w:val="fr-FR"/>
        </w:rPr>
        <w:t>’</w:t>
      </w:r>
      <w:r w:rsidRPr="00C1363B">
        <w:rPr>
          <w:lang w:val="fr-FR"/>
        </w:rPr>
        <w:t xml:space="preserve">amendement 8 à la révision 5 du Règlement ONU </w:t>
      </w:r>
      <w:r w:rsidR="0015127A" w:rsidRPr="0015127A">
        <w:rPr>
          <w:rFonts w:eastAsia="MS Mincho"/>
          <w:szCs w:val="22"/>
          <w:lang w:val="fr-FR"/>
        </w:rPr>
        <w:t>n</w:t>
      </w:r>
      <w:r w:rsidR="0015127A" w:rsidRPr="0015127A">
        <w:rPr>
          <w:rFonts w:eastAsia="MS Mincho"/>
          <w:szCs w:val="22"/>
          <w:vertAlign w:val="superscript"/>
          <w:lang w:val="fr-FR"/>
        </w:rPr>
        <w:t>o</w:t>
      </w:r>
      <w:r w:rsidR="0015127A">
        <w:rPr>
          <w:lang w:val="fr-FR"/>
        </w:rPr>
        <w:t> </w:t>
      </w:r>
      <w:r w:rsidRPr="00C1363B">
        <w:rPr>
          <w:lang w:val="fr-FR"/>
        </w:rPr>
        <w:t>83.</w:t>
      </w:r>
    </w:p>
    <w:p w14:paraId="2AACC25A" w14:textId="77777777" w:rsidR="00AF00E7" w:rsidRPr="00C1363B" w:rsidRDefault="00AF00E7" w:rsidP="00AF00E7">
      <w:pPr>
        <w:pStyle w:val="SingleTxtG"/>
        <w:rPr>
          <w:lang w:val="fr-FR"/>
        </w:rPr>
      </w:pPr>
      <w:r w:rsidRPr="00C1363B">
        <w:rPr>
          <w:lang w:val="fr-FR"/>
        </w:rPr>
        <w:t>3.</w:t>
      </w:r>
      <w:r w:rsidRPr="00C1363B">
        <w:rPr>
          <w:lang w:val="fr-FR"/>
        </w:rPr>
        <w:tab/>
        <w:t>Toutefois, à la relecture de ce Règlement, il a été constaté que le texte de la définition avait été utilisé à plusieurs reprises au lieu du terme déjà défini.</w:t>
      </w:r>
    </w:p>
    <w:p w14:paraId="40A8AF44" w14:textId="77777777" w:rsidR="00AF00E7" w:rsidRPr="00C1363B" w:rsidRDefault="00AF00E7" w:rsidP="00AF00E7">
      <w:pPr>
        <w:pStyle w:val="SingleTxtG"/>
        <w:rPr>
          <w:lang w:val="fr-FR"/>
        </w:rPr>
      </w:pPr>
      <w:r w:rsidRPr="00C1363B">
        <w:rPr>
          <w:lang w:val="fr-FR"/>
        </w:rPr>
        <w:t>4.</w:t>
      </w:r>
      <w:r w:rsidRPr="00C1363B">
        <w:rPr>
          <w:lang w:val="fr-FR"/>
        </w:rPr>
        <w:tab/>
        <w:t>La proposition vise à remplacer ces occurrences par le terme défini.</w:t>
      </w:r>
    </w:p>
    <w:p w14:paraId="2258A2DD" w14:textId="77777777" w:rsidR="00AF00E7" w:rsidRPr="00C1363B" w:rsidRDefault="00AF00E7" w:rsidP="00AF00E7">
      <w:pPr>
        <w:pStyle w:val="SingleTxtG"/>
        <w:rPr>
          <w:lang w:val="fr-FR"/>
        </w:rPr>
      </w:pPr>
      <w:r w:rsidRPr="00C1363B">
        <w:rPr>
          <w:lang w:val="fr-FR"/>
        </w:rPr>
        <w:t>5.</w:t>
      </w:r>
      <w:r w:rsidRPr="00C1363B">
        <w:rPr>
          <w:lang w:val="fr-FR"/>
        </w:rPr>
        <w:tab/>
        <w:t>Trois mentions d</w:t>
      </w:r>
      <w:r>
        <w:rPr>
          <w:lang w:val="fr-FR"/>
        </w:rPr>
        <w:t>’</w:t>
      </w:r>
      <w:r w:rsidRPr="00C1363B">
        <w:rPr>
          <w:lang w:val="fr-FR"/>
        </w:rPr>
        <w:t>une « annexe » devraient en réalité se lire « appendice ».</w:t>
      </w:r>
    </w:p>
    <w:p w14:paraId="3D6CC5FC" w14:textId="77777777" w:rsidR="00AF00E7" w:rsidRPr="00C1363B" w:rsidRDefault="00AF00E7" w:rsidP="009E6A9B">
      <w:pPr>
        <w:pStyle w:val="SingleTxtG"/>
        <w:rPr>
          <w:lang w:val="fr-FR"/>
        </w:rPr>
      </w:pPr>
      <w:r w:rsidRPr="00C1363B">
        <w:rPr>
          <w:lang w:val="fr-FR"/>
        </w:rPr>
        <w:t>6.</w:t>
      </w:r>
      <w:r w:rsidRPr="00C1363B">
        <w:rPr>
          <w:lang w:val="fr-FR"/>
        </w:rPr>
        <w:tab/>
        <w:t>La spécification relative aux soufflantes des installations de détermination des émissions par évaporation est depuis longtemps incorrecte. Cette erreur a été relevée au cours de l</w:t>
      </w:r>
      <w:r>
        <w:rPr>
          <w:lang w:val="fr-FR"/>
        </w:rPr>
        <w:t>’</w:t>
      </w:r>
      <w:r w:rsidRPr="00C1363B">
        <w:rPr>
          <w:lang w:val="fr-FR"/>
        </w:rPr>
        <w:t>élaboration du RTM ONU n</w:t>
      </w:r>
      <w:r w:rsidRPr="00C1363B">
        <w:rPr>
          <w:vertAlign w:val="superscript"/>
          <w:lang w:val="fr-FR"/>
        </w:rPr>
        <w:t>o</w:t>
      </w:r>
      <w:r w:rsidRPr="00C1363B">
        <w:rPr>
          <w:lang w:val="fr-FR"/>
        </w:rPr>
        <w:t> 15 et devrait également être corrigée dans le Règlement ONU n</w:t>
      </w:r>
      <w:r w:rsidRPr="00C1363B">
        <w:rPr>
          <w:vertAlign w:val="superscript"/>
          <w:lang w:val="fr-FR"/>
        </w:rPr>
        <w:t>o</w:t>
      </w:r>
      <w:r w:rsidRPr="00C1363B">
        <w:rPr>
          <w:lang w:val="fr-FR"/>
        </w:rPr>
        <w:t> 83 à des fins de cohérence.</w:t>
      </w:r>
    </w:p>
    <w:p w14:paraId="10F43C40" w14:textId="77777777" w:rsidR="00727D78" w:rsidRDefault="00AF00E7" w:rsidP="00AF00E7">
      <w:pPr>
        <w:pStyle w:val="SingleTxtG"/>
        <w:rPr>
          <w:lang w:val="fr-FR"/>
        </w:rPr>
      </w:pPr>
      <w:r w:rsidRPr="00C1363B">
        <w:rPr>
          <w:lang w:val="fr-FR"/>
        </w:rPr>
        <w:t>7.</w:t>
      </w:r>
      <w:r w:rsidRPr="00C1363B">
        <w:rPr>
          <w:lang w:val="fr-FR"/>
        </w:rPr>
        <w:tab/>
        <w:t>Une erreur de renvoi a été relevée à l</w:t>
      </w:r>
      <w:r>
        <w:rPr>
          <w:lang w:val="fr-FR"/>
        </w:rPr>
        <w:t>’</w:t>
      </w:r>
      <w:r w:rsidRPr="00C1363B">
        <w:rPr>
          <w:lang w:val="fr-FR"/>
        </w:rPr>
        <w:t>annexe</w:t>
      </w:r>
      <w:r w:rsidR="000F2A13">
        <w:rPr>
          <w:lang w:val="fr-FR"/>
        </w:rPr>
        <w:t> </w:t>
      </w:r>
      <w:r w:rsidRPr="00C1363B">
        <w:rPr>
          <w:lang w:val="fr-FR"/>
        </w:rPr>
        <w:t>11.</w:t>
      </w:r>
    </w:p>
    <w:p w14:paraId="04B825B7" w14:textId="77777777" w:rsidR="00AF00E7" w:rsidRPr="00AF00E7" w:rsidRDefault="00AF00E7" w:rsidP="00AF00E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AF00E7" w:rsidRPr="00AF00E7" w:rsidSect="00A722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E0F74" w14:textId="77777777" w:rsidR="006D31CB" w:rsidRDefault="006D31CB" w:rsidP="00F95C08">
      <w:pPr>
        <w:spacing w:line="240" w:lineRule="auto"/>
      </w:pPr>
    </w:p>
  </w:endnote>
  <w:endnote w:type="continuationSeparator" w:id="0">
    <w:p w14:paraId="45F731BB" w14:textId="77777777" w:rsidR="006D31CB" w:rsidRPr="00AC3823" w:rsidRDefault="006D31CB" w:rsidP="00AC3823">
      <w:pPr>
        <w:pStyle w:val="Pieddepage"/>
      </w:pPr>
    </w:p>
  </w:endnote>
  <w:endnote w:type="continuationNotice" w:id="1">
    <w:p w14:paraId="08E40825" w14:textId="77777777" w:rsidR="006D31CB" w:rsidRDefault="006D31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780C" w14:textId="77777777" w:rsidR="00A72251" w:rsidRPr="00A72251" w:rsidRDefault="00A72251" w:rsidP="00A72251">
    <w:pPr>
      <w:pStyle w:val="Pieddepage"/>
      <w:tabs>
        <w:tab w:val="right" w:pos="9638"/>
      </w:tabs>
    </w:pPr>
    <w:r w:rsidRPr="00A72251">
      <w:rPr>
        <w:b/>
        <w:sz w:val="18"/>
      </w:rPr>
      <w:fldChar w:fldCharType="begin"/>
    </w:r>
    <w:r w:rsidRPr="00A72251">
      <w:rPr>
        <w:b/>
        <w:sz w:val="18"/>
      </w:rPr>
      <w:instrText xml:space="preserve"> PAGE  \* MERGEFORMAT </w:instrText>
    </w:r>
    <w:r w:rsidRPr="00A72251">
      <w:rPr>
        <w:b/>
        <w:sz w:val="18"/>
      </w:rPr>
      <w:fldChar w:fldCharType="separate"/>
    </w:r>
    <w:r w:rsidRPr="00A72251">
      <w:rPr>
        <w:b/>
        <w:noProof/>
        <w:sz w:val="18"/>
      </w:rPr>
      <w:t>2</w:t>
    </w:r>
    <w:r w:rsidRPr="00A72251">
      <w:rPr>
        <w:b/>
        <w:sz w:val="18"/>
      </w:rPr>
      <w:fldChar w:fldCharType="end"/>
    </w:r>
    <w:r>
      <w:rPr>
        <w:b/>
        <w:sz w:val="18"/>
      </w:rPr>
      <w:tab/>
    </w:r>
    <w:r>
      <w:t>GE.19-18890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A426" w14:textId="77777777" w:rsidR="00A72251" w:rsidRPr="00A72251" w:rsidRDefault="00A72251" w:rsidP="00A72251">
    <w:pPr>
      <w:pStyle w:val="Pieddepage"/>
      <w:tabs>
        <w:tab w:val="right" w:pos="9638"/>
      </w:tabs>
      <w:rPr>
        <w:b/>
        <w:sz w:val="18"/>
      </w:rPr>
    </w:pPr>
    <w:r>
      <w:t>GE.19-18890</w:t>
    </w:r>
    <w:r>
      <w:tab/>
    </w:r>
    <w:r w:rsidRPr="00A72251">
      <w:rPr>
        <w:b/>
        <w:sz w:val="18"/>
      </w:rPr>
      <w:fldChar w:fldCharType="begin"/>
    </w:r>
    <w:r w:rsidRPr="00A72251">
      <w:rPr>
        <w:b/>
        <w:sz w:val="18"/>
      </w:rPr>
      <w:instrText xml:space="preserve"> PAGE  \* MERGEFORMAT </w:instrText>
    </w:r>
    <w:r w:rsidRPr="00A72251">
      <w:rPr>
        <w:b/>
        <w:sz w:val="18"/>
      </w:rPr>
      <w:fldChar w:fldCharType="separate"/>
    </w:r>
    <w:r w:rsidRPr="00A72251">
      <w:rPr>
        <w:b/>
        <w:noProof/>
        <w:sz w:val="18"/>
      </w:rPr>
      <w:t>3</w:t>
    </w:r>
    <w:r w:rsidRPr="00A722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9050" w14:textId="77777777" w:rsidR="007F20FA" w:rsidRPr="00A72251" w:rsidRDefault="00A72251" w:rsidP="00A7225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A6CB651" wp14:editId="779B205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19-18890  (F)    221119    251119</w:t>
    </w:r>
    <w:r>
      <w:rPr>
        <w:sz w:val="20"/>
      </w:rPr>
      <w:br/>
    </w:r>
    <w:r w:rsidRPr="00A72251">
      <w:rPr>
        <w:rFonts w:ascii="C39T30Lfz" w:hAnsi="C39T30Lfz"/>
        <w:sz w:val="56"/>
      </w:rPr>
      <w:t></w:t>
    </w:r>
    <w:r w:rsidRPr="00A72251">
      <w:rPr>
        <w:rFonts w:ascii="C39T30Lfz" w:hAnsi="C39T30Lfz"/>
        <w:sz w:val="56"/>
      </w:rPr>
      <w:t></w:t>
    </w:r>
    <w:r w:rsidRPr="00A72251">
      <w:rPr>
        <w:rFonts w:ascii="C39T30Lfz" w:hAnsi="C39T30Lfz"/>
        <w:sz w:val="56"/>
      </w:rPr>
      <w:t></w:t>
    </w:r>
    <w:r w:rsidRPr="00A72251">
      <w:rPr>
        <w:rFonts w:ascii="C39T30Lfz" w:hAnsi="C39T30Lfz"/>
        <w:sz w:val="56"/>
      </w:rPr>
      <w:t></w:t>
    </w:r>
    <w:r w:rsidRPr="00A72251">
      <w:rPr>
        <w:rFonts w:ascii="C39T30Lfz" w:hAnsi="C39T30Lfz"/>
        <w:sz w:val="56"/>
      </w:rPr>
      <w:t></w:t>
    </w:r>
    <w:r w:rsidRPr="00A72251">
      <w:rPr>
        <w:rFonts w:ascii="C39T30Lfz" w:hAnsi="C39T30Lfz"/>
        <w:sz w:val="56"/>
      </w:rPr>
      <w:t></w:t>
    </w:r>
    <w:r w:rsidRPr="00A72251">
      <w:rPr>
        <w:rFonts w:ascii="C39T30Lfz" w:hAnsi="C39T30Lfz"/>
        <w:sz w:val="56"/>
      </w:rPr>
      <w:t></w:t>
    </w:r>
    <w:r w:rsidRPr="00A72251">
      <w:rPr>
        <w:rFonts w:ascii="C39T30Lfz" w:hAnsi="C39T30Lfz"/>
        <w:sz w:val="56"/>
      </w:rPr>
      <w:t></w:t>
    </w:r>
    <w:r w:rsidRPr="00A7225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20D8FA3" wp14:editId="2D4C11D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PE/2020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F37F7" w14:textId="77777777" w:rsidR="006D31CB" w:rsidRPr="00AC3823" w:rsidRDefault="006D31C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DDC85E" w14:textId="77777777" w:rsidR="006D31CB" w:rsidRPr="00AC3823" w:rsidRDefault="006D31C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931E57" w14:textId="77777777" w:rsidR="006D31CB" w:rsidRPr="00AC3823" w:rsidRDefault="006D31CB">
      <w:pPr>
        <w:spacing w:line="240" w:lineRule="auto"/>
        <w:rPr>
          <w:sz w:val="2"/>
          <w:szCs w:val="2"/>
        </w:rPr>
      </w:pPr>
    </w:p>
  </w:footnote>
  <w:footnote w:id="2">
    <w:p w14:paraId="5A546234" w14:textId="77777777" w:rsidR="00966FA7" w:rsidRPr="00B560F6" w:rsidRDefault="00966FA7" w:rsidP="00966FA7">
      <w:pPr>
        <w:pStyle w:val="Notedebasdepage"/>
        <w:rPr>
          <w:lang w:val="fr-FR"/>
        </w:rPr>
      </w:pPr>
      <w:r>
        <w:tab/>
      </w:r>
      <w:r w:rsidRPr="00966FA7">
        <w:rPr>
          <w:rStyle w:val="Appelnotedebasdep"/>
          <w:sz w:val="20"/>
          <w:vertAlign w:val="baseline"/>
          <w:lang w:val="fr-FR"/>
        </w:rPr>
        <w:t>*</w:t>
      </w:r>
      <w:r w:rsidRPr="00966FA7">
        <w:rPr>
          <w:sz w:val="20"/>
          <w:lang w:val="fr-FR"/>
        </w:rPr>
        <w:tab/>
      </w:r>
      <w:r>
        <w:t xml:space="preserve">Conformément au programme de travail du Comité des transports intérieurs pour 2020, tel que décrit dans le projet de budget-programme pour 2020 </w:t>
      </w:r>
      <w:r w:rsidR="00EC32A8">
        <w:rPr>
          <w:szCs w:val="18"/>
        </w:rPr>
        <w:t>(</w:t>
      </w:r>
      <w:r w:rsidRPr="00B560F6">
        <w:rPr>
          <w:szCs w:val="18"/>
          <w:lang w:val="fr-FR"/>
        </w:rPr>
        <w:t>A/74/6 (</w:t>
      </w:r>
      <w:r>
        <w:rPr>
          <w:szCs w:val="18"/>
          <w:lang w:val="fr-FR"/>
        </w:rPr>
        <w:t>titre</w:t>
      </w:r>
      <w:r w:rsidRPr="00B560F6">
        <w:rPr>
          <w:szCs w:val="18"/>
          <w:lang w:val="fr-FR"/>
        </w:rPr>
        <w:t xml:space="preserve"> V</w:t>
      </w:r>
      <w:r>
        <w:rPr>
          <w:szCs w:val="18"/>
          <w:lang w:val="fr-FR"/>
        </w:rPr>
        <w:t>, chap. </w:t>
      </w:r>
      <w:r w:rsidRPr="00B560F6">
        <w:rPr>
          <w:szCs w:val="18"/>
          <w:lang w:val="fr-FR"/>
        </w:rPr>
        <w:t>20)</w:t>
      </w:r>
      <w:r>
        <w:rPr>
          <w:szCs w:val="18"/>
          <w:lang w:val="fr-FR"/>
        </w:rPr>
        <w:t>,</w:t>
      </w:r>
      <w:r w:rsidRPr="00B560F6">
        <w:rPr>
          <w:szCs w:val="18"/>
          <w:lang w:val="fr-FR"/>
        </w:rPr>
        <w:t xml:space="preserve"> par</w:t>
      </w:r>
      <w:r>
        <w:rPr>
          <w:szCs w:val="18"/>
          <w:lang w:val="fr-FR"/>
        </w:rPr>
        <w:t>. </w:t>
      </w:r>
      <w:r w:rsidRPr="00B560F6">
        <w:rPr>
          <w:szCs w:val="18"/>
          <w:lang w:val="fr-FR"/>
        </w:rPr>
        <w:t>20.37</w:t>
      </w:r>
      <w:r w:rsidR="00EC32A8">
        <w:rPr>
          <w:szCs w:val="18"/>
          <w:lang w:val="fr-FR"/>
        </w:rPr>
        <w:t>)</w:t>
      </w:r>
      <w:r w:rsidRPr="00B560F6">
        <w:rPr>
          <w:szCs w:val="18"/>
          <w:lang w:val="fr-FR"/>
        </w:rPr>
        <w:t xml:space="preserve">, </w:t>
      </w:r>
      <w:r>
        <w:t>le Forum mondial a pour mission d’élaborer, d’harmoniser et de mettre à jour les Règlements ONU en vue d’améliorer les caractéristiques fonctionnelles des véhicules.</w:t>
      </w:r>
      <w:r w:rsidRPr="00B560F6">
        <w:rPr>
          <w:szCs w:val="18"/>
          <w:lang w:val="fr-FR"/>
        </w:rPr>
        <w:t xml:space="preserve">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96D6" w14:textId="20AA631D" w:rsidR="00A72251" w:rsidRPr="00A72251" w:rsidRDefault="00DF72AF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120C7E">
      <w:t>ECE/TRANS/WP.29/GRPE/2020/2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98D4" w14:textId="45F0DB3F" w:rsidR="00A72251" w:rsidRPr="00A72251" w:rsidRDefault="00DF72AF" w:rsidP="00A72251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20C7E">
      <w:t>ECE/TRANS/WP.29/GRPE/2020/2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456B8"/>
    <w:multiLevelType w:val="hybridMultilevel"/>
    <w:tmpl w:val="8A042FD6"/>
    <w:lvl w:ilvl="0" w:tplc="FDC2B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D31CB"/>
    <w:rsid w:val="00017F94"/>
    <w:rsid w:val="00023842"/>
    <w:rsid w:val="000334F9"/>
    <w:rsid w:val="00045FEB"/>
    <w:rsid w:val="0007796D"/>
    <w:rsid w:val="000B7790"/>
    <w:rsid w:val="000D13B8"/>
    <w:rsid w:val="000F2A13"/>
    <w:rsid w:val="00111F2F"/>
    <w:rsid w:val="00120C7E"/>
    <w:rsid w:val="0014365E"/>
    <w:rsid w:val="00143C66"/>
    <w:rsid w:val="0015126F"/>
    <w:rsid w:val="0015127A"/>
    <w:rsid w:val="00176178"/>
    <w:rsid w:val="001F525A"/>
    <w:rsid w:val="00223272"/>
    <w:rsid w:val="0024779E"/>
    <w:rsid w:val="00257168"/>
    <w:rsid w:val="00272CF4"/>
    <w:rsid w:val="002744B8"/>
    <w:rsid w:val="002832AC"/>
    <w:rsid w:val="002D7C93"/>
    <w:rsid w:val="00305801"/>
    <w:rsid w:val="003916DE"/>
    <w:rsid w:val="003B20E1"/>
    <w:rsid w:val="00421996"/>
    <w:rsid w:val="00441C3B"/>
    <w:rsid w:val="00446FE5"/>
    <w:rsid w:val="00452396"/>
    <w:rsid w:val="004837D8"/>
    <w:rsid w:val="004D78FB"/>
    <w:rsid w:val="004E2EED"/>
    <w:rsid w:val="004E468C"/>
    <w:rsid w:val="005505B7"/>
    <w:rsid w:val="00553CE3"/>
    <w:rsid w:val="00573BE5"/>
    <w:rsid w:val="00586ED3"/>
    <w:rsid w:val="00587800"/>
    <w:rsid w:val="00596AA9"/>
    <w:rsid w:val="00645838"/>
    <w:rsid w:val="00672FFA"/>
    <w:rsid w:val="006D31CB"/>
    <w:rsid w:val="0071601D"/>
    <w:rsid w:val="00727D78"/>
    <w:rsid w:val="007A62E6"/>
    <w:rsid w:val="007F20FA"/>
    <w:rsid w:val="0080684C"/>
    <w:rsid w:val="00871C75"/>
    <w:rsid w:val="008776DC"/>
    <w:rsid w:val="009446C0"/>
    <w:rsid w:val="00966FA7"/>
    <w:rsid w:val="009705C8"/>
    <w:rsid w:val="009C1CF4"/>
    <w:rsid w:val="009E6A9B"/>
    <w:rsid w:val="009F6B74"/>
    <w:rsid w:val="00A3029F"/>
    <w:rsid w:val="00A30353"/>
    <w:rsid w:val="00A674E7"/>
    <w:rsid w:val="00A72251"/>
    <w:rsid w:val="00AA2A43"/>
    <w:rsid w:val="00AC3823"/>
    <w:rsid w:val="00AE323C"/>
    <w:rsid w:val="00AE6935"/>
    <w:rsid w:val="00AF00E7"/>
    <w:rsid w:val="00AF0CB5"/>
    <w:rsid w:val="00B00181"/>
    <w:rsid w:val="00B00B0D"/>
    <w:rsid w:val="00B45F2E"/>
    <w:rsid w:val="00B765F7"/>
    <w:rsid w:val="00B8353E"/>
    <w:rsid w:val="00BA0CA9"/>
    <w:rsid w:val="00BC1D65"/>
    <w:rsid w:val="00C02897"/>
    <w:rsid w:val="00C97039"/>
    <w:rsid w:val="00D3439C"/>
    <w:rsid w:val="00D8228A"/>
    <w:rsid w:val="00DB1831"/>
    <w:rsid w:val="00DD3BFD"/>
    <w:rsid w:val="00DF6678"/>
    <w:rsid w:val="00E0299A"/>
    <w:rsid w:val="00E85C74"/>
    <w:rsid w:val="00EA6547"/>
    <w:rsid w:val="00EC32A8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9DA92"/>
  <w15:docId w15:val="{1BDDD1C5-B330-463A-8840-5065788C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66FA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966FA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AF00E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1231</Words>
  <Characters>6980</Characters>
  <Application>Microsoft Office Word</Application>
  <DocSecurity>0</DocSecurity>
  <Lines>258</Lines>
  <Paragraphs>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ECE/TRANS/WP.29/GRPE/2020/2</vt:lpstr>
    </vt:vector>
  </TitlesOfParts>
  <Company>DCM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ECE/TRANS/WP.29/GRPE/2020/2</dc:title>
  <dc:subject/>
  <dc:creator>Corinne ROBERT</dc:creator>
  <cp:keywords/>
  <cp:lastModifiedBy>Corinne Robert</cp:lastModifiedBy>
  <cp:revision>2</cp:revision>
  <cp:lastPrinted>2019-11-25T10:52:00Z</cp:lastPrinted>
  <dcterms:created xsi:type="dcterms:W3CDTF">2019-11-25T14:13:00Z</dcterms:created>
  <dcterms:modified xsi:type="dcterms:W3CDTF">2019-11-25T14:13:00Z</dcterms:modified>
</cp:coreProperties>
</file>