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80C0D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C92EFC" w14:textId="77777777" w:rsidR="002D5AAC" w:rsidRDefault="002D5AAC" w:rsidP="003B01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1C393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CC9BC5" w14:textId="77777777" w:rsidR="002D5AAC" w:rsidRDefault="003B01EF" w:rsidP="003B01EF">
            <w:pPr>
              <w:jc w:val="right"/>
            </w:pPr>
            <w:r w:rsidRPr="003B01EF">
              <w:rPr>
                <w:sz w:val="40"/>
              </w:rPr>
              <w:t>ECE</w:t>
            </w:r>
            <w:r>
              <w:t>/TRANS/WP.29/GRPE/2020/6</w:t>
            </w:r>
          </w:p>
        </w:tc>
      </w:tr>
      <w:tr w:rsidR="002D5AAC" w:rsidRPr="003B01EF" w14:paraId="54757F2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72BDB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6EF15A" wp14:editId="4A2DEA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E4E5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455F67" w14:textId="77777777" w:rsidR="002D5AAC" w:rsidRDefault="003B01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69CE94" w14:textId="77777777" w:rsidR="003B01EF" w:rsidRDefault="003B01EF" w:rsidP="003B01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November 2019</w:t>
            </w:r>
          </w:p>
          <w:p w14:paraId="1226EDA4" w14:textId="77777777" w:rsidR="003B01EF" w:rsidRDefault="003B01EF" w:rsidP="003B01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77794D" w14:textId="77777777" w:rsidR="003B01EF" w:rsidRPr="008D53B6" w:rsidRDefault="003B01EF" w:rsidP="003B01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9CB318" w14:textId="77777777" w:rsidR="003B01E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8F8014" w14:textId="77777777" w:rsidR="003B01EF" w:rsidRPr="003B01EF" w:rsidRDefault="003B01EF" w:rsidP="003B01EF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3B01EF">
        <w:rPr>
          <w:sz w:val="28"/>
          <w:szCs w:val="28"/>
        </w:rPr>
        <w:t xml:space="preserve">Комитет по внутреннему транспорту </w:t>
      </w:r>
    </w:p>
    <w:p w14:paraId="2431495F" w14:textId="77777777" w:rsidR="003B01EF" w:rsidRPr="003B01EF" w:rsidRDefault="003B01EF" w:rsidP="003B01EF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3B01EF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3B01EF">
        <w:rPr>
          <w:b/>
          <w:bCs/>
          <w:sz w:val="24"/>
          <w:szCs w:val="24"/>
        </w:rPr>
        <w:t>в области транспортных средств</w:t>
      </w:r>
      <w:r w:rsidRPr="003B01EF">
        <w:rPr>
          <w:sz w:val="24"/>
          <w:szCs w:val="24"/>
        </w:rPr>
        <w:t xml:space="preserve"> </w:t>
      </w:r>
    </w:p>
    <w:p w14:paraId="11D88DA4" w14:textId="77777777" w:rsidR="003B01EF" w:rsidRPr="00963770" w:rsidRDefault="003B01EF" w:rsidP="003B01EF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>Рабочая группа по проблемам энергии</w:t>
      </w:r>
      <w:r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3BBE9509" w14:textId="77777777" w:rsidR="003B01EF" w:rsidRPr="00963770" w:rsidRDefault="003B01EF" w:rsidP="003B01EF">
      <w:pPr>
        <w:rPr>
          <w:rFonts w:eastAsia="MS Mincho"/>
          <w:b/>
        </w:rPr>
      </w:pPr>
      <w:r>
        <w:rPr>
          <w:b/>
          <w:bCs/>
        </w:rPr>
        <w:t>Восьмидесятая сессия</w:t>
      </w:r>
    </w:p>
    <w:p w14:paraId="1968468D" w14:textId="77777777" w:rsidR="003B01EF" w:rsidRPr="00963770" w:rsidRDefault="003B01EF" w:rsidP="003B01EF">
      <w:r>
        <w:t>Женева, 14–17 января 2020 года</w:t>
      </w:r>
    </w:p>
    <w:p w14:paraId="50673F40" w14:textId="77777777" w:rsidR="003B01EF" w:rsidRPr="00963770" w:rsidRDefault="003B01EF" w:rsidP="003B01EF">
      <w:r>
        <w:t>Пункт 3 а) предварительной повестки дня</w:t>
      </w:r>
    </w:p>
    <w:p w14:paraId="23F264A6" w14:textId="77777777" w:rsidR="003B01EF" w:rsidRPr="00963770" w:rsidRDefault="003B01EF" w:rsidP="003B01EF">
      <w:pPr>
        <w:rPr>
          <w:b/>
          <w:bCs/>
        </w:rPr>
      </w:pPr>
      <w:r>
        <w:rPr>
          <w:b/>
          <w:bCs/>
        </w:rPr>
        <w:t>Легкие транспортные средства: Правила ООН № 68</w:t>
      </w:r>
      <w:r>
        <w:rPr>
          <w:b/>
          <w:bCs/>
        </w:rPr>
        <w:br/>
      </w:r>
      <w:r>
        <w:rPr>
          <w:b/>
          <w:bCs/>
        </w:rPr>
        <w:t>(измерение максимальной скорости, включая электромобили),</w:t>
      </w:r>
      <w:r>
        <w:rPr>
          <w:b/>
          <w:bCs/>
        </w:rPr>
        <w:br/>
      </w:r>
      <w:r>
        <w:rPr>
          <w:b/>
          <w:bCs/>
        </w:rPr>
        <w:t>№ 83 (выбросы загрязняющих веществ транспортными</w:t>
      </w:r>
      <w:r>
        <w:rPr>
          <w:b/>
          <w:bCs/>
        </w:rPr>
        <w:br/>
      </w:r>
      <w:r>
        <w:rPr>
          <w:b/>
          <w:bCs/>
        </w:rPr>
        <w:t>средствами 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>), № 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>/</w:t>
      </w:r>
      <w:r>
        <w:rPr>
          <w:b/>
          <w:bCs/>
        </w:rPr>
        <w:br/>
      </w:r>
      <w:r>
        <w:rPr>
          <w:b/>
          <w:bCs/>
        </w:rPr>
        <w:t>расход топлива) и № 103 (сменные устройства для</w:t>
      </w:r>
      <w:r>
        <w:rPr>
          <w:b/>
          <w:bCs/>
        </w:rPr>
        <w:br/>
      </w:r>
      <w:r>
        <w:rPr>
          <w:b/>
          <w:bCs/>
        </w:rPr>
        <w:t>предотвращения загрязнения)</w:t>
      </w:r>
    </w:p>
    <w:p w14:paraId="250C0B73" w14:textId="77777777" w:rsidR="003B01EF" w:rsidRPr="00963770" w:rsidRDefault="003B01EF" w:rsidP="003B01EF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новому дополнению к поправкам серии 01 к Правилам № 101 ООН (выбросы СО</w:t>
      </w:r>
      <w:r>
        <w:rPr>
          <w:bCs/>
          <w:vertAlign w:val="subscript"/>
        </w:rPr>
        <w:t>2</w:t>
      </w:r>
      <w:r>
        <w:rPr>
          <w:bCs/>
        </w:rPr>
        <w:t>/</w:t>
      </w:r>
      <w:r>
        <w:rPr>
          <w:bCs/>
        </w:rPr>
        <w:br/>
      </w:r>
      <w:r>
        <w:rPr>
          <w:bCs/>
        </w:rPr>
        <w:t>расход топлива)</w:t>
      </w:r>
    </w:p>
    <w:p w14:paraId="5A1FF7C5" w14:textId="77777777" w:rsidR="003B01EF" w:rsidRPr="00963770" w:rsidRDefault="003B01EF" w:rsidP="003B01EF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3B01EF">
        <w:rPr>
          <w:rStyle w:val="H1GChar"/>
          <w:sz w:val="20"/>
        </w:rPr>
        <w:footnoteReference w:customMarkFollows="1" w:id="1"/>
        <w:t>*</w:t>
      </w:r>
    </w:p>
    <w:p w14:paraId="177114DD" w14:textId="77777777" w:rsidR="003B01EF" w:rsidRPr="00963770" w:rsidRDefault="003B01EF" w:rsidP="003B01EF">
      <w:pPr>
        <w:pStyle w:val="SingleTxtG"/>
        <w:ind w:firstLine="567"/>
      </w:pPr>
      <w: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для корректировки соответствующих положений Правил № 101 ООН с целью допустить использование значений </w:t>
      </w:r>
      <w:r w:rsidRPr="0051493E">
        <w:t>общего сопротивления движению транспортного средства</w:t>
      </w:r>
      <w:r>
        <w:t>, которые были получены на основе методов, установленных в соответствии</w:t>
      </w:r>
      <w:r>
        <w:br/>
      </w:r>
      <w:r>
        <w:t>с ГТП № 15 ООН (ВПИМ). Эта концепция в настоящее время используется в законодательстве ЕС для сопоставления результатов ВПИМ и НЕЕЦ.</w:t>
      </w:r>
    </w:p>
    <w:p w14:paraId="683A2305" w14:textId="77777777" w:rsidR="003B01EF" w:rsidRPr="00963770" w:rsidRDefault="003B01EF" w:rsidP="003B01EF">
      <w:pPr>
        <w:pStyle w:val="HChG"/>
        <w:pageBreakBefore/>
        <w:tabs>
          <w:tab w:val="clear" w:pos="851"/>
        </w:tabs>
        <w:ind w:left="0" w:firstLine="567"/>
      </w:pPr>
      <w:r>
        <w:lastRenderedPageBreak/>
        <w:t>I.</w:t>
      </w:r>
      <w:r>
        <w:tab/>
      </w:r>
      <w:r>
        <w:rPr>
          <w:bCs/>
        </w:rPr>
        <w:t>Предложение</w:t>
      </w:r>
    </w:p>
    <w:p w14:paraId="195E74A0" w14:textId="77777777" w:rsidR="003B01EF" w:rsidRPr="00963770" w:rsidRDefault="003B01EF" w:rsidP="003B01EF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Приложение 6, пункт 1.1</w:t>
      </w:r>
      <w:r>
        <w:rPr>
          <w:lang w:val="ru-RU"/>
        </w:rPr>
        <w:t xml:space="preserve"> изменить следующим образом:</w:t>
      </w:r>
    </w:p>
    <w:p w14:paraId="57ACD0A0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 xml:space="preserve">1.1 </w:t>
      </w:r>
      <w:r>
        <w:rPr>
          <w:lang w:val="ru-RU"/>
        </w:rPr>
        <w:tab/>
        <w:t>Объем выбросов двуокиси углерода (СО</w:t>
      </w:r>
      <w:r>
        <w:rPr>
          <w:vertAlign w:val="subscript"/>
          <w:lang w:val="ru-RU"/>
        </w:rPr>
        <w:t>2</w:t>
      </w:r>
      <w:r>
        <w:rPr>
          <w:lang w:val="ru-RU"/>
        </w:rPr>
        <w:t>) и расход топлива транспортных средств, приводимых в движение только двигателем внутреннего сгорания, определяют в соответствии с процедурой проведения испытания типа I, определенной в приложении 4a</w:t>
      </w:r>
      <w:r>
        <w:rPr>
          <w:lang w:val="ru-RU"/>
        </w:rPr>
        <w:br/>
      </w:r>
      <w:r>
        <w:rPr>
          <w:lang w:val="ru-RU"/>
        </w:rPr>
        <w:t xml:space="preserve">к Правилам № 83, согласно той серии поправок, на основании которых данное транспортное средство официально утверждено, либо </w:t>
      </w:r>
      <w:r>
        <w:rPr>
          <w:lang w:val="ru-RU"/>
        </w:rPr>
        <w:t>–</w:t>
      </w:r>
      <w:r>
        <w:rPr>
          <w:lang w:val="ru-RU"/>
        </w:rPr>
        <w:t xml:space="preserve"> в случае, если данное транспортное средство не было официально утверждено на основании Правил № 83, </w:t>
      </w:r>
      <w:r>
        <w:rPr>
          <w:lang w:val="ru-RU"/>
        </w:rPr>
        <w:t>–</w:t>
      </w:r>
      <w:r>
        <w:rPr>
          <w:lang w:val="ru-RU"/>
        </w:rPr>
        <w:t xml:space="preserve"> согласно той серии поправок, которые действовали на момент официального утверждения этого транспортного средства.</w:t>
      </w:r>
    </w:p>
    <w:p w14:paraId="1BCC744D" w14:textId="77777777" w:rsidR="003B01EF" w:rsidRPr="00963770" w:rsidRDefault="003B01EF" w:rsidP="003B01EF">
      <w:pPr>
        <w:pStyle w:val="WP29Para"/>
        <w:ind w:firstLine="0"/>
        <w:rPr>
          <w:iCs/>
          <w:lang w:val="ru-RU"/>
        </w:rPr>
      </w:pPr>
      <w:r>
        <w:rPr>
          <w:b/>
          <w:bCs/>
          <w:lang w:val="ru-RU"/>
        </w:rPr>
        <w:t xml:space="preserve">В том случае, если транспортное средство официально утверждено в отношении выбросов в соответствии с процедурами ВПИМ, определенными в ГТП № 15 ООН, то вместо методологии, предусмотренной в добавлении 7 к приложению 4а к Правилам № 83, может использоваться методология определения </w:t>
      </w:r>
      <w:r w:rsidRPr="00C62A31">
        <w:rPr>
          <w:b/>
          <w:bCs/>
          <w:lang w:val="ru-RU"/>
        </w:rPr>
        <w:t>общего сопротивления движению транспортного средства</w:t>
      </w:r>
      <w:r>
        <w:rPr>
          <w:b/>
          <w:bCs/>
          <w:lang w:val="ru-RU"/>
        </w:rPr>
        <w:t xml:space="preserve"> и регулировки динамометрического стенда, определенная в добавлении 2 к</w:t>
      </w:r>
      <w:r>
        <w:rPr>
          <w:b/>
          <w:bCs/>
          <w:lang w:val="ru-RU"/>
        </w:rPr>
        <w:t> </w:t>
      </w:r>
      <w:r>
        <w:rPr>
          <w:b/>
          <w:bCs/>
          <w:lang w:val="ru-RU"/>
        </w:rPr>
        <w:t>приложению 7</w:t>
      </w:r>
      <w:r>
        <w:rPr>
          <w:bCs/>
          <w:lang w:val="ru-RU"/>
        </w:rPr>
        <w:t>»</w:t>
      </w:r>
      <w:r w:rsidRPr="003B01EF">
        <w:rPr>
          <w:bCs/>
          <w:lang w:val="ru-RU"/>
        </w:rPr>
        <w:t>.</w:t>
      </w:r>
    </w:p>
    <w:p w14:paraId="0D967036" w14:textId="77777777" w:rsidR="003B01EF" w:rsidRPr="00963770" w:rsidRDefault="003B01EF" w:rsidP="003B01EF">
      <w:pPr>
        <w:pStyle w:val="WP29Para"/>
        <w:rPr>
          <w:i/>
          <w:lang w:val="ru-RU"/>
        </w:rPr>
      </w:pPr>
      <w:r>
        <w:rPr>
          <w:i/>
          <w:iCs/>
          <w:lang w:val="ru-RU"/>
        </w:rPr>
        <w:t>Приложение 7, добавление</w:t>
      </w:r>
      <w:r>
        <w:rPr>
          <w:lang w:val="ru-RU"/>
        </w:rPr>
        <w:t xml:space="preserve"> изменить следующим образом:</w:t>
      </w:r>
    </w:p>
    <w:p w14:paraId="5F5B90F8" w14:textId="77777777" w:rsidR="003B01EF" w:rsidRDefault="003B01EF" w:rsidP="003B01EF">
      <w:pPr>
        <w:pStyle w:val="HChG"/>
      </w:pPr>
      <w:r>
        <w:tab/>
      </w:r>
      <w:r>
        <w:tab/>
      </w:r>
      <w:r w:rsidRPr="003B01EF">
        <w:rPr>
          <w:b w:val="0"/>
          <w:bCs/>
        </w:rPr>
        <w:t>«</w:t>
      </w:r>
      <w:r>
        <w:rPr>
          <w:bCs/>
        </w:rPr>
        <w:t>Приложение 7 – Добавление 1</w:t>
      </w:r>
      <w:bookmarkStart w:id="0" w:name="_Toc353371454"/>
      <w:bookmarkEnd w:id="0"/>
    </w:p>
    <w:p w14:paraId="56D573A0" w14:textId="77777777" w:rsidR="003B01EF" w:rsidRPr="00963770" w:rsidRDefault="003B01EF" w:rsidP="003B01EF">
      <w:pPr>
        <w:pStyle w:val="HChG"/>
        <w:ind w:left="2268" w:hanging="2268"/>
      </w:pPr>
      <w:r>
        <w:tab/>
      </w:r>
      <w:r>
        <w:tab/>
      </w:r>
      <w:r>
        <w:tab/>
      </w:r>
      <w:r>
        <w:t>Определение общего сопротивления движению транспортного средства, приводимого в</w:t>
      </w:r>
      <w:r>
        <w:t> </w:t>
      </w:r>
      <w:r>
        <w:t>движение только электроприводом, и</w:t>
      </w:r>
      <w:r>
        <w:t> </w:t>
      </w:r>
      <w:r>
        <w:t>тарирование динамометрического стенда</w:t>
      </w:r>
      <w:bookmarkStart w:id="1" w:name="_Toc353371455"/>
      <w:bookmarkEnd w:id="1"/>
      <w:r w:rsidRPr="003B01EF">
        <w:rPr>
          <w:b w:val="0"/>
        </w:rPr>
        <w:t>»</w:t>
      </w:r>
    </w:p>
    <w:p w14:paraId="55C1B2CA" w14:textId="77777777" w:rsidR="003B01EF" w:rsidRPr="00963770" w:rsidRDefault="003B01EF" w:rsidP="003B01EF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Приложение 7,</w:t>
      </w:r>
      <w:r>
        <w:rPr>
          <w:lang w:val="ru-RU"/>
        </w:rPr>
        <w:t xml:space="preserve"> включить новое добавление следующего содержания:</w:t>
      </w:r>
    </w:p>
    <w:p w14:paraId="02F4DE48" w14:textId="77777777" w:rsidR="003B01EF" w:rsidRPr="00963770" w:rsidRDefault="003B01EF" w:rsidP="003B01EF">
      <w:pPr>
        <w:pStyle w:val="HChG"/>
      </w:pPr>
      <w:r>
        <w:tab/>
      </w:r>
      <w:r>
        <w:tab/>
      </w:r>
      <w:r w:rsidRPr="003B01EF">
        <w:rPr>
          <w:b w:val="0"/>
          <w:bCs/>
        </w:rPr>
        <w:t>«</w:t>
      </w:r>
      <w:r>
        <w:rPr>
          <w:bCs/>
        </w:rPr>
        <w:t>Приложение 7 – Добавление 2</w:t>
      </w:r>
    </w:p>
    <w:p w14:paraId="07001D0B" w14:textId="77777777" w:rsidR="003B01EF" w:rsidRPr="00963770" w:rsidRDefault="003B01EF" w:rsidP="003B01EF">
      <w:pPr>
        <w:pStyle w:val="HChG"/>
        <w:ind w:left="2268" w:hanging="2268"/>
        <w:rPr>
          <w:sz w:val="32"/>
          <w:szCs w:val="22"/>
        </w:rPr>
      </w:pPr>
      <w:r>
        <w:tab/>
      </w:r>
      <w:r>
        <w:tab/>
      </w:r>
      <w:r>
        <w:t xml:space="preserve">Альтернативная процедура определения </w:t>
      </w:r>
      <w:r w:rsidRPr="00C62A31">
        <w:t>общего сопротивления движению транспортного средства</w:t>
      </w:r>
    </w:p>
    <w:p w14:paraId="2A66DAE8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Введение </w:t>
      </w:r>
    </w:p>
    <w:p w14:paraId="46E8D1AF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 xml:space="preserve">В настоящем добавлении излагается метод расчета </w:t>
      </w:r>
      <w:r w:rsidRPr="00C62A31">
        <w:rPr>
          <w:lang w:val="ru-RU"/>
        </w:rPr>
        <w:t>общего сопротивления движению транспортного средства</w:t>
      </w:r>
      <w:r>
        <w:rPr>
          <w:lang w:val="ru-RU"/>
        </w:rPr>
        <w:t>, который может использоваться по усмотрению изготовителя в том случае, если транспортное средство утверждено в отношении выбросов на основании процедуры, предусмотренной в ГТП № 15 ООН.</w:t>
      </w:r>
    </w:p>
    <w:p w14:paraId="6CC1083E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Метод</w:t>
      </w:r>
    </w:p>
    <w:p w14:paraId="446616A1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 xml:space="preserve">2.1 </w:t>
      </w:r>
      <w:r>
        <w:rPr>
          <w:lang w:val="ru-RU"/>
        </w:rPr>
        <w:tab/>
        <w:t>Расчет дорожной нагрузки согласно ВПИМ</w:t>
      </w:r>
    </w:p>
    <w:p w14:paraId="1B7EEBBE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 xml:space="preserve">Сопротивление движению транспортного средства согласно ВПИМ определяют в соответствии с приложением 4 к ГТП № 15 ООН либо, если транспортное средство принадлежит к интерполяционному семейству, </w:t>
      </w:r>
      <w:r>
        <w:rPr>
          <w:lang w:val="ru-RU"/>
        </w:rPr>
        <w:t>–</w:t>
      </w:r>
      <w:r>
        <w:rPr>
          <w:lang w:val="ru-RU"/>
        </w:rPr>
        <w:t xml:space="preserve"> в соответствии с пунктом 3.2.3.2.2 приложения 7 "</w:t>
      </w:r>
      <w:r w:rsidRPr="00C62A31">
        <w:rPr>
          <w:lang w:val="ru-RU"/>
        </w:rPr>
        <w:t xml:space="preserve">Определение общего </w:t>
      </w:r>
      <w:r w:rsidRPr="00C62A31">
        <w:rPr>
          <w:lang w:val="ru-RU"/>
        </w:rPr>
        <w:lastRenderedPageBreak/>
        <w:t>сопротивления движению транспортного средства</w:t>
      </w:r>
      <w:r w:rsidR="00DF5E41">
        <w:rPr>
          <w:lang w:val="ru-RU"/>
        </w:rPr>
        <w:t>"</w:t>
      </w:r>
      <w:r>
        <w:rPr>
          <w:lang w:val="ru-RU"/>
        </w:rPr>
        <w:t xml:space="preserve"> с учетом входных параметров отдельного транспортного средства: </w:t>
      </w:r>
    </w:p>
    <w:p w14:paraId="6F2695E9" w14:textId="77777777" w:rsidR="003B01EF" w:rsidRPr="00963770" w:rsidRDefault="003B01EF" w:rsidP="00DF5E41">
      <w:pPr>
        <w:pStyle w:val="WP29Para"/>
        <w:ind w:left="2829" w:hanging="570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испытательной массы транспортного средства (1), оснащенного стандартным оборудованием (1);</w:t>
      </w:r>
    </w:p>
    <w:p w14:paraId="36520D32" w14:textId="77777777" w:rsidR="003B01EF" w:rsidRPr="00963770" w:rsidRDefault="003B01EF" w:rsidP="003B01EF">
      <w:pPr>
        <w:pStyle w:val="WP29Para"/>
        <w:ind w:left="2829" w:hanging="570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значения КСК, определенного для соответствующего класса энергоэффективности шин в соответствии с таблицей А4/2 приложения 4 к ГТП № 15 ООН, либо, если шины на передней и задней осях относятся к различным классам по энергоэффективности, </w:t>
      </w:r>
      <w:r w:rsidR="00DF5E41">
        <w:rPr>
          <w:lang w:val="ru-RU"/>
        </w:rPr>
        <w:t>–</w:t>
      </w:r>
      <w:r>
        <w:rPr>
          <w:lang w:val="ru-RU"/>
        </w:rPr>
        <w:t xml:space="preserve"> в соответствии со средневзвешенным значением, рассчитанным по уравнению, приведенному в пункте</w:t>
      </w:r>
      <w:r w:rsidR="00DF5E41">
        <w:rPr>
          <w:lang w:val="ru-RU"/>
        </w:rPr>
        <w:t> </w:t>
      </w:r>
      <w:r>
        <w:rPr>
          <w:lang w:val="ru-RU"/>
        </w:rPr>
        <w:t>3.2.3.2.2.2.3 приложения 4 к ГТП № 15 ООН;</w:t>
      </w:r>
    </w:p>
    <w:p w14:paraId="04D11341" w14:textId="77777777" w:rsidR="003B01EF" w:rsidRPr="00963770" w:rsidRDefault="003B01EF" w:rsidP="003B01EF">
      <w:pPr>
        <w:pStyle w:val="WP29Para"/>
        <w:ind w:left="2829" w:hanging="570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аэродинамического сопротивления транспортного средства, оснащенного стандартным оборудованием</w:t>
      </w:r>
      <w:r>
        <w:rPr>
          <w:rStyle w:val="aa"/>
          <w:lang w:val="ru-RU"/>
        </w:rPr>
        <w:footnoteReference w:id="2"/>
      </w:r>
      <w:r>
        <w:rPr>
          <w:lang w:val="ru-RU"/>
        </w:rPr>
        <w:t xml:space="preserve">. </w:t>
      </w:r>
    </w:p>
    <w:p w14:paraId="63DC6127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 xml:space="preserve">2.2 </w:t>
      </w:r>
      <w:r>
        <w:rPr>
          <w:lang w:val="ru-RU"/>
        </w:rPr>
        <w:tab/>
        <w:t>Расчет применяемого (для НЕЕЦ) значения сопротивления движению транспортного средства</w:t>
      </w:r>
    </w:p>
    <w:p w14:paraId="18880C62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 xml:space="preserve">2.2.1 </w:t>
      </w:r>
      <w:r>
        <w:rPr>
          <w:lang w:val="ru-RU"/>
        </w:rPr>
        <w:tab/>
      </w:r>
      <w:r>
        <w:rPr>
          <w:lang w:val="ru-RU"/>
        </w:rPr>
        <w:tab/>
        <w:t>Влияние различных предписаний по давлению в шинах</w:t>
      </w:r>
    </w:p>
    <w:p w14:paraId="364FBEB4" w14:textId="77777777" w:rsidR="003B01EF" w:rsidRPr="004D2E61" w:rsidRDefault="003B01EF" w:rsidP="003B01EF">
      <w:pPr>
        <w:pStyle w:val="WP29Para"/>
        <w:rPr>
          <w:lang w:val="ru-RU"/>
        </w:rPr>
      </w:pPr>
      <w:r>
        <w:rPr>
          <w:lang w:val="ru-RU"/>
        </w:rPr>
        <w:tab/>
        <w:t>За давление в шинах, которое следует учитывать для целей расчета сопротивления движению НЕЕЦ, принимают среднее арифметическое значение по двум осям от среднего значения между минимальным и максимальным значениями давления в шинах, разрешенными для выбранных шин на каждой оси в соответствии с контрольной массой транспортного средства для НЕЕЦ. Расчет проводят по следующей формуле:</w:t>
      </w:r>
    </w:p>
    <w:p w14:paraId="2C53D496" w14:textId="77777777" w:rsidR="003B01EF" w:rsidRPr="00DF5E41" w:rsidRDefault="003B01EF" w:rsidP="003B01EF">
      <w:pPr>
        <w:pStyle w:val="WP29Para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avg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e>
          </m:d>
          <m:r>
            <m:rPr>
              <m:nor/>
            </m:rPr>
            <w:rPr>
              <w:lang w:val="ru-RU"/>
            </w:rPr>
            <m:t>,</m:t>
          </m:r>
        </m:oMath>
      </m:oMathPara>
    </w:p>
    <w:p w14:paraId="270F4620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>где:</w:t>
      </w:r>
    </w:p>
    <w:p w14:paraId="100205FB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>P</w:t>
      </w:r>
      <w:r>
        <w:rPr>
          <w:vertAlign w:val="subscript"/>
          <w:lang w:val="ru-RU"/>
        </w:rPr>
        <w:t>max</w:t>
      </w:r>
      <w:r>
        <w:rPr>
          <w:lang w:val="ru-RU"/>
        </w:rPr>
        <w:t>,</w:t>
      </w:r>
      <w:r>
        <w:rPr>
          <w:lang w:val="ru-RU"/>
        </w:rPr>
        <w:tab/>
        <w:t>– среднее арифметическое максимальных значений давления в выбранных шинах по двум осям;</w:t>
      </w:r>
    </w:p>
    <w:p w14:paraId="38AC252F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>P</w:t>
      </w:r>
      <w:r>
        <w:rPr>
          <w:vertAlign w:val="subscript"/>
          <w:lang w:val="ru-RU"/>
        </w:rPr>
        <w:t>min</w:t>
      </w:r>
      <w:r>
        <w:rPr>
          <w:lang w:val="ru-RU"/>
        </w:rPr>
        <w:t xml:space="preserve">, </w:t>
      </w:r>
      <w:r>
        <w:rPr>
          <w:lang w:val="ru-RU"/>
        </w:rPr>
        <w:tab/>
        <w:t>– среднее арифметическое минимальных значений давления в выбранных шинах по двум осям;</w:t>
      </w:r>
    </w:p>
    <w:p w14:paraId="3F1B3BFD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>Соответствующее влияние в плане сопротивления, воздействующего на транспортное средство, рассчитывают по следующей формуле:</w:t>
      </w:r>
    </w:p>
    <w:p w14:paraId="12D9306E" w14:textId="77777777" w:rsidR="003B01EF" w:rsidRPr="00DF5E41" w:rsidRDefault="003B01EF" w:rsidP="003B01EF">
      <w:pPr>
        <w:pStyle w:val="WP29Para"/>
        <w:rPr>
          <w:lang w:val="ru-RU"/>
        </w:rPr>
      </w:pPr>
      <m:oMathPara>
        <m:oMath>
          <m:r>
            <w:rPr>
              <w:rFonts w:ascii="Cambria Math" w:hAnsi="Cambria Math"/>
            </w:rPr>
            <m:t>TP</m:t>
          </m:r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avg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min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ru-RU"/>
                </w:rPr>
                <m:t>-0,4</m:t>
              </m:r>
            </m:sup>
          </m:sSup>
          <m:r>
            <m:rPr>
              <m:nor/>
            </m:rPr>
            <w:rPr>
              <w:lang w:val="ru-RU"/>
            </w:rPr>
            <m:t>.</m:t>
          </m:r>
        </m:oMath>
      </m:oMathPara>
    </w:p>
    <w:p w14:paraId="3123A56F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 xml:space="preserve">2.2.2 </w:t>
      </w:r>
      <w:r>
        <w:rPr>
          <w:lang w:val="ru-RU"/>
        </w:rPr>
        <w:tab/>
        <w:t>Влияние глубины протектора шин</w:t>
      </w:r>
    </w:p>
    <w:p w14:paraId="3F8E5303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ab/>
        <w:t>Влияние в плане сопротивления, воздействующего на транспортное средство, определяют по следующей формуле:</w:t>
      </w:r>
    </w:p>
    <w:p w14:paraId="52138310" w14:textId="77777777" w:rsidR="003B01EF" w:rsidRPr="004D2E61" w:rsidRDefault="003B01EF" w:rsidP="003B01EF">
      <w:pPr>
        <w:pStyle w:val="WP29Para"/>
        <w:rPr>
          <w:lang w:val="ru-RU"/>
        </w:rPr>
      </w:pPr>
      <w:r w:rsidRPr="00963770">
        <w:rPr>
          <w:lang w:val="ru-RU"/>
        </w:rPr>
        <w:tab/>
      </w:r>
      <m:oMath>
        <m:r>
          <w:rPr>
            <w:rFonts w:ascii="Cambria Math" w:hAnsi="Cambria Math"/>
          </w:rPr>
          <m:t>TTD</m:t>
        </m: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2∙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0,1∙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∙9,81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1000</m:t>
                </m:r>
              </m:den>
            </m:f>
          </m:e>
        </m:d>
      </m:oMath>
      <w:bookmarkStart w:id="2" w:name="_Hlk24708850"/>
      <w:r>
        <w:rPr>
          <w:lang w:val="ru-RU"/>
        </w:rPr>
        <w:t>,</w:t>
      </w:r>
      <w:bookmarkEnd w:id="2"/>
    </w:p>
    <w:p w14:paraId="5197E902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ab/>
        <w:t>где RM</w:t>
      </w:r>
      <w:r>
        <w:rPr>
          <w:vertAlign w:val="subscript"/>
          <w:lang w:val="ru-RU"/>
        </w:rPr>
        <w:t>n</w:t>
      </w:r>
      <w:r>
        <w:rPr>
          <w:lang w:val="ru-RU"/>
        </w:rPr>
        <w:t xml:space="preserve"> – контрольная масса транспортного средства в соответствии с настоящими Правилами.</w:t>
      </w:r>
    </w:p>
    <w:p w14:paraId="4BD2D6A8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 xml:space="preserve">2.2.3 </w:t>
      </w:r>
      <w:r>
        <w:rPr>
          <w:lang w:val="ru-RU"/>
        </w:rPr>
        <w:tab/>
        <w:t>Влияние различных подходов к учету массы вращающихся частей</w:t>
      </w:r>
    </w:p>
    <w:p w14:paraId="7281B834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tab/>
        <w:t>При регулировании параметров выбега для ВПИМ значения времени выбега преобразуют в силу и наоборот, принимая в расчет применимую испытательную массу плюс поправку на вращающуюся массу (3% от значения MRO + 25 кг). При регулировании параметров выбега для НЕЕЦ значения времени выбега преобразуют в силу и наоборот, не принимая в расчет влияние вращающейся массы.</w:t>
      </w:r>
    </w:p>
    <w:p w14:paraId="7584A689" w14:textId="77777777" w:rsidR="003B01EF" w:rsidRPr="00963770" w:rsidRDefault="003B01EF" w:rsidP="003B01EF">
      <w:pPr>
        <w:pStyle w:val="WP29Para"/>
        <w:rPr>
          <w:lang w:val="ru-RU"/>
        </w:rPr>
      </w:pPr>
      <w:r>
        <w:rPr>
          <w:lang w:val="ru-RU"/>
        </w:rPr>
        <w:lastRenderedPageBreak/>
        <w:t xml:space="preserve">2.2.4 </w:t>
      </w:r>
      <w:r>
        <w:rPr>
          <w:lang w:val="ru-RU"/>
        </w:rPr>
        <w:tab/>
        <w:t xml:space="preserve">Определение коэффициентов сопротивления движению для НЕЕЦ </w:t>
      </w:r>
    </w:p>
    <w:p w14:paraId="7CF5DB83" w14:textId="77777777" w:rsidR="003B01EF" w:rsidRPr="00963770" w:rsidRDefault="003B01EF" w:rsidP="003B01EF">
      <w:pPr>
        <w:pStyle w:val="WP29Para"/>
        <w:ind w:left="2826" w:hanging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Коэффициент сопротивления движению F</w:t>
      </w:r>
      <w:r>
        <w:rPr>
          <w:vertAlign w:val="subscript"/>
          <w:lang w:val="ru-RU"/>
        </w:rPr>
        <w:t>0,n</w:t>
      </w:r>
      <w:r>
        <w:rPr>
          <w:lang w:val="ru-RU"/>
        </w:rPr>
        <w:t>, выраженный в ньютонах (Н), для транспортного средства, определяют следующим образом:</w:t>
      </w:r>
    </w:p>
    <w:p w14:paraId="7EF339A1" w14:textId="77777777" w:rsidR="003B01EF" w:rsidRPr="00963770" w:rsidRDefault="003B01EF" w:rsidP="003B01EF">
      <w:pPr>
        <w:pStyle w:val="WP29Para"/>
        <w:ind w:left="2826" w:firstLine="9"/>
        <w:rPr>
          <w:lang w:val="ru-RU"/>
        </w:rPr>
      </w:pPr>
      <w:r>
        <w:rPr>
          <w:lang w:val="ru-RU"/>
        </w:rPr>
        <w:t>i)</w:t>
      </w:r>
      <w:r>
        <w:rPr>
          <w:lang w:val="ru-RU"/>
        </w:rPr>
        <w:tab/>
        <w:t>влияние различных сил инерции:</w:t>
      </w:r>
    </w:p>
    <w:p w14:paraId="53F6DE3B" w14:textId="77777777" w:rsidR="003B01EF" w:rsidRPr="00DF5E41" w:rsidRDefault="003B01EF" w:rsidP="003B01EF">
      <w:pPr>
        <w:pStyle w:val="WP29Para"/>
        <w:rPr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  <w:lang w:val="ru-RU"/>
                </w:rPr>
                <m:t>1</m:t>
              </m:r>
            </m:sup>
          </m:sSubSup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  <w:lang w:val="ru-RU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w</m:t>
                      </m:r>
                    </m:sub>
                  </m:sSub>
                </m:den>
              </m:f>
            </m:e>
          </m:d>
          <m:r>
            <m:rPr>
              <m:nor/>
            </m:rPr>
            <w:rPr>
              <w:lang w:val="ru-RU"/>
            </w:rPr>
            <m:t>,</m:t>
          </m:r>
        </m:oMath>
      </m:oMathPara>
    </w:p>
    <w:p w14:paraId="40B86A4E" w14:textId="77777777" w:rsidR="003B01EF" w:rsidRPr="00963770" w:rsidRDefault="003B01EF" w:rsidP="003B01EF">
      <w:pPr>
        <w:pStyle w:val="WP29Para"/>
        <w:ind w:firstLine="9"/>
        <w:rPr>
          <w:lang w:val="ru-RU"/>
        </w:rPr>
      </w:pPr>
      <w:r>
        <w:rPr>
          <w:lang w:val="ru-RU"/>
        </w:rPr>
        <w:t>где:</w:t>
      </w:r>
    </w:p>
    <w:p w14:paraId="7DD30940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>где RM</w:t>
      </w:r>
      <w:r>
        <w:rPr>
          <w:vertAlign w:val="subscript"/>
          <w:lang w:val="ru-RU"/>
        </w:rPr>
        <w:t>n</w:t>
      </w:r>
      <w:r>
        <w:rPr>
          <w:lang w:val="ru-RU"/>
        </w:rPr>
        <w:t xml:space="preserve"> – контрольная масса транспортного средства в соответствии с настоящими Правилами;</w:t>
      </w:r>
    </w:p>
    <w:p w14:paraId="2416D111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i/>
          <w:iCs/>
          <w:lang w:val="ru-RU"/>
        </w:rPr>
        <w:t>F</w:t>
      </w:r>
      <w:r w:rsidRPr="00DF5E41">
        <w:rPr>
          <w:iCs/>
          <w:vertAlign w:val="subscript"/>
          <w:lang w:val="ru-RU"/>
        </w:rPr>
        <w:t>0</w:t>
      </w:r>
      <w:r>
        <w:rPr>
          <w:i/>
          <w:iCs/>
          <w:vertAlign w:val="subscript"/>
          <w:lang w:val="ru-RU"/>
        </w:rPr>
        <w:t>w</w:t>
      </w:r>
      <w:r>
        <w:rPr>
          <w:lang w:val="ru-RU"/>
        </w:rPr>
        <w:t xml:space="preserve"> – коэффициент сопротивления движению F</w:t>
      </w:r>
      <w:r>
        <w:rPr>
          <w:vertAlign w:val="subscript"/>
          <w:lang w:val="ru-RU"/>
        </w:rPr>
        <w:t>0</w:t>
      </w:r>
      <w:r>
        <w:rPr>
          <w:lang w:val="ru-RU"/>
        </w:rPr>
        <w:t xml:space="preserve">, определенный для испытания транспортного средства по процедуре ВПИМ; </w:t>
      </w:r>
    </w:p>
    <w:p w14:paraId="1A5F338C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>TM</w:t>
      </w:r>
      <w:r>
        <w:rPr>
          <w:vertAlign w:val="subscript"/>
          <w:lang w:val="ru-RU"/>
        </w:rPr>
        <w:t>w</w:t>
      </w:r>
      <w:r>
        <w:rPr>
          <w:lang w:val="ru-RU"/>
        </w:rPr>
        <w:t xml:space="preserve"> – испытательная масса транспортного средства, оснащенного стандартным оборудованием, по процедуре ВПИМ; </w:t>
      </w:r>
    </w:p>
    <w:p w14:paraId="51494871" w14:textId="77777777" w:rsidR="003B01EF" w:rsidRPr="00963770" w:rsidRDefault="003B01EF" w:rsidP="003B01EF">
      <w:pPr>
        <w:pStyle w:val="WP29Para"/>
        <w:ind w:left="2826" w:firstLine="9"/>
        <w:rPr>
          <w:lang w:val="ru-RU"/>
        </w:rPr>
      </w:pPr>
      <w:r>
        <w:rPr>
          <w:lang w:val="ru-RU"/>
        </w:rPr>
        <w:t>ii)</w:t>
      </w:r>
      <w:r w:rsidR="00DF5E41">
        <w:rPr>
          <w:lang w:val="ru-RU"/>
        </w:rPr>
        <w:tab/>
      </w:r>
      <w:r>
        <w:rPr>
          <w:lang w:val="ru-RU"/>
        </w:rPr>
        <w:t>влияние различного давления в шинах:</w:t>
      </w:r>
    </w:p>
    <w:p w14:paraId="036CF4F1" w14:textId="77777777" w:rsidR="003B01EF" w:rsidRPr="00DF5E41" w:rsidRDefault="003B01EF" w:rsidP="003B01EF">
      <w:pPr>
        <w:pStyle w:val="WP29Para"/>
        <w:rPr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0n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0w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∙TP</m:t>
          </m:r>
          <m:r>
            <m:rPr>
              <m:nor/>
            </m:rPr>
            <m:t>,</m:t>
          </m:r>
        </m:oMath>
      </m:oMathPara>
    </w:p>
    <w:p w14:paraId="05FD6585" w14:textId="77777777" w:rsidR="003B01EF" w:rsidRPr="00963770" w:rsidRDefault="003B01EF" w:rsidP="003B01EF">
      <w:pPr>
        <w:pStyle w:val="WP29Para"/>
        <w:ind w:firstLine="9"/>
        <w:rPr>
          <w:lang w:val="ru-RU"/>
        </w:rPr>
      </w:pPr>
      <w:r>
        <w:rPr>
          <w:lang w:val="ru-RU"/>
        </w:rPr>
        <w:t>где используемый в формуле коэффициент </w:t>
      </w:r>
      <m:oMath>
        <m:r>
          <w:rPr>
            <w:rFonts w:ascii="Cambria Math" w:hAnsi="Cambria Math"/>
          </w:rPr>
          <m:t>TP</m:t>
        </m:r>
      </m:oMath>
      <w:r>
        <w:rPr>
          <w:i/>
          <w:iCs/>
          <w:lang w:val="ru-RU"/>
        </w:rPr>
        <w:t xml:space="preserve"> </w:t>
      </w:r>
      <w:r>
        <w:rPr>
          <w:lang w:val="ru-RU"/>
        </w:rPr>
        <w:t>рассчитан в соответствии с пунктом 2.2.1;</w:t>
      </w:r>
    </w:p>
    <w:p w14:paraId="652C59FC" w14:textId="77777777" w:rsidR="003B01EF" w:rsidRPr="00963770" w:rsidRDefault="003B01EF" w:rsidP="003B01EF">
      <w:pPr>
        <w:pStyle w:val="WP29Para"/>
        <w:ind w:left="2826" w:firstLine="9"/>
        <w:rPr>
          <w:lang w:val="ru-RU"/>
        </w:rPr>
      </w:pPr>
      <w:r>
        <w:rPr>
          <w:lang w:val="ru-RU"/>
        </w:rPr>
        <w:t>iii)</w:t>
      </w:r>
      <w:r w:rsidR="00A6288E">
        <w:rPr>
          <w:lang w:val="ru-RU"/>
        </w:rPr>
        <w:tab/>
      </w:r>
      <w:r>
        <w:rPr>
          <w:lang w:val="ru-RU"/>
        </w:rPr>
        <w:t>влияние инерции вращающихся частей:</w:t>
      </w:r>
    </w:p>
    <w:p w14:paraId="7184FB00" w14:textId="77777777" w:rsidR="003B01EF" w:rsidRPr="00D31C36" w:rsidRDefault="003B01EF" w:rsidP="003B01EF">
      <w:pPr>
        <w:pStyle w:val="WP29Para"/>
        <w:rPr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0n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0w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1,03</m:t>
                  </m:r>
                </m:den>
              </m:f>
            </m:e>
          </m:d>
          <m:r>
            <m:rPr>
              <m:nor/>
            </m:rPr>
            <m:t>;</m:t>
          </m:r>
        </m:oMath>
      </m:oMathPara>
    </w:p>
    <w:p w14:paraId="159E22C4" w14:textId="77777777" w:rsidR="003B01EF" w:rsidRPr="00963770" w:rsidRDefault="003B01EF" w:rsidP="003B01EF">
      <w:pPr>
        <w:pStyle w:val="WP29Para"/>
        <w:ind w:left="2826" w:firstLine="9"/>
        <w:rPr>
          <w:lang w:val="ru-RU"/>
        </w:rPr>
      </w:pPr>
      <w:r>
        <w:rPr>
          <w:lang w:val="ru-RU"/>
        </w:rPr>
        <w:t>iv)</w:t>
      </w:r>
      <w:r w:rsidR="00A6288E">
        <w:rPr>
          <w:lang w:val="ru-RU"/>
        </w:rPr>
        <w:tab/>
      </w:r>
      <w:r>
        <w:rPr>
          <w:lang w:val="ru-RU"/>
        </w:rPr>
        <w:t>влияние различной глубины протектора шин:</w:t>
      </w:r>
    </w:p>
    <w:p w14:paraId="6EA8851A" w14:textId="77777777" w:rsidR="003B01EF" w:rsidRPr="00740D49" w:rsidRDefault="003B01EF" w:rsidP="003B01EF">
      <w:pPr>
        <w:pStyle w:val="WP29Para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0n</m:t>
              </m:r>
            </m:sub>
            <m:sup/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0w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∙TTD</m:t>
          </m:r>
          <m:r>
            <m:rPr>
              <m:nor/>
            </m:rPr>
            <m:t>,</m:t>
          </m:r>
        </m:oMath>
      </m:oMathPara>
    </w:p>
    <w:p w14:paraId="520736B9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>где используемый в формуле коэффициент </w:t>
      </w:r>
      <m:oMath>
        <m:r>
          <w:rPr>
            <w:rFonts w:ascii="Cambria Math" w:hAnsi="Cambria Math"/>
          </w:rPr>
          <m:t>TTD</m:t>
        </m:r>
      </m:oMath>
      <w:r>
        <w:rPr>
          <w:lang w:val="ru-RU"/>
        </w:rPr>
        <w:t xml:space="preserve"> рассчитан в соответствии с пунктом 2.2.2;</w:t>
      </w:r>
    </w:p>
    <w:p w14:paraId="79CB2FD8" w14:textId="77777777" w:rsidR="003B01EF" w:rsidRPr="00963770" w:rsidRDefault="003B01EF" w:rsidP="003B01EF">
      <w:pPr>
        <w:pStyle w:val="WP29Para"/>
        <w:ind w:left="2829" w:hanging="570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коэффициент сопротивления движению F</w:t>
      </w:r>
      <w:r>
        <w:rPr>
          <w:vertAlign w:val="subscript"/>
          <w:lang w:val="ru-RU"/>
        </w:rPr>
        <w:t xml:space="preserve">1n </w:t>
      </w:r>
      <w:r>
        <w:rPr>
          <w:lang w:val="ru-RU"/>
        </w:rPr>
        <w:t xml:space="preserve">для транспортного средства определяют следующим образом: </w:t>
      </w:r>
    </w:p>
    <w:p w14:paraId="02F76D1B" w14:textId="77777777" w:rsidR="003B01EF" w:rsidRPr="00A65E38" w:rsidRDefault="003B01EF" w:rsidP="003B01EF">
      <w:pPr>
        <w:pStyle w:val="WP29Para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1w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1,03</m:t>
                  </m:r>
                </m:den>
              </m:f>
            </m:e>
          </m:d>
          <m:r>
            <m:rPr>
              <m:nor/>
            </m:rPr>
            <m:t>;</m:t>
          </m:r>
        </m:oMath>
      </m:oMathPara>
    </w:p>
    <w:p w14:paraId="69214D31" w14:textId="77777777" w:rsidR="003B01EF" w:rsidRPr="00963770" w:rsidRDefault="003B01EF" w:rsidP="003B01EF">
      <w:pPr>
        <w:pStyle w:val="WP29Para"/>
        <w:ind w:left="2829" w:hanging="570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коэффициент сопротивления движению F</w:t>
      </w:r>
      <w:r>
        <w:rPr>
          <w:vertAlign w:val="subscript"/>
          <w:lang w:val="ru-RU"/>
        </w:rPr>
        <w:t>2n</w:t>
      </w:r>
      <w:r>
        <w:rPr>
          <w:lang w:val="ru-RU"/>
        </w:rPr>
        <w:t xml:space="preserve"> для транспортного средства определяют следующим образом: </w:t>
      </w:r>
    </w:p>
    <w:p w14:paraId="3D9B4D56" w14:textId="77777777" w:rsidR="003B01EF" w:rsidRPr="00A6288E" w:rsidRDefault="003B01EF" w:rsidP="003B01EF">
      <w:pPr>
        <w:pStyle w:val="WP29Para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  <w:lang w:val="ru-RU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1,03</m:t>
                  </m:r>
                </m:den>
              </m:f>
            </m:e>
          </m:d>
          <m:r>
            <m:rPr>
              <m:nor/>
            </m:rPr>
            <w:rPr>
              <w:lang w:val="ru-RU"/>
            </w:rPr>
            <m:t>,</m:t>
          </m:r>
        </m:oMath>
      </m:oMathPara>
    </w:p>
    <w:p w14:paraId="09F2A261" w14:textId="77777777" w:rsidR="003B01EF" w:rsidRPr="00963770" w:rsidRDefault="003B01EF" w:rsidP="003B01EF">
      <w:pPr>
        <w:pStyle w:val="WP29Para"/>
        <w:ind w:firstLine="0"/>
        <w:rPr>
          <w:lang w:val="ru-RU"/>
        </w:rPr>
      </w:pPr>
      <w:r>
        <w:rPr>
          <w:lang w:val="ru-RU"/>
        </w:rPr>
        <w:t xml:space="preserve">где коэффициент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w</m:t>
            </m:r>
          </m:sub>
          <m:sup/>
        </m:sSubSup>
        <m:r>
          <w:rPr>
            <w:rFonts w:ascii="Cambria Math" w:hAnsi="Cambria Math"/>
            <w:lang w:val="ru-RU"/>
          </w:rPr>
          <m:t xml:space="preserve"> </m:t>
        </m:r>
      </m:oMath>
      <w:r>
        <w:rPr>
          <w:lang w:val="ru-RU"/>
        </w:rPr>
        <w:t>– коэффициент сопротивления движению согласно ВПИМ, определенный для транспортного средства, оснащенного стандартным оборудованием</w:t>
      </w:r>
      <w:r w:rsidR="00A6288E">
        <w:rPr>
          <w:lang w:val="ru-RU"/>
        </w:rPr>
        <w:t>»</w:t>
      </w:r>
      <w:r>
        <w:rPr>
          <w:lang w:val="ru-RU"/>
        </w:rPr>
        <w:t>.</w:t>
      </w:r>
    </w:p>
    <w:p w14:paraId="3C4C1750" w14:textId="77777777" w:rsidR="003B01EF" w:rsidRPr="00963770" w:rsidRDefault="003B01EF" w:rsidP="003B01EF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4E273B1E" w14:textId="77777777" w:rsidR="003B01EF" w:rsidRPr="00963770" w:rsidRDefault="003B01EF" w:rsidP="003B01EF">
      <w:pPr>
        <w:pStyle w:val="SingleTxtG"/>
      </w:pPr>
      <w:r>
        <w:t>1.</w:t>
      </w:r>
      <w:r>
        <w:tab/>
        <w:t>В ГТП № 15 (ВПИМ) ООН были внесены изменения в некоторые параметры, используемые в процессе определения дорожной нагрузки.</w:t>
      </w:r>
    </w:p>
    <w:p w14:paraId="5213CCAF" w14:textId="77777777" w:rsidR="003B01EF" w:rsidRPr="00963770" w:rsidRDefault="003B01EF" w:rsidP="003B01EF">
      <w:pPr>
        <w:pStyle w:val="SingleTxtG"/>
      </w:pPr>
      <w:r>
        <w:t>2.</w:t>
      </w:r>
      <w:r>
        <w:tab/>
        <w:t>Изготовители в Европе в рамках испытаний на официальное утверждение типа часто проводят испытания НЕЕЦ, с тем чтобы сопоставить результаты двух циклов с точки зрения выбросов CO</w:t>
      </w:r>
      <w:r>
        <w:rPr>
          <w:vertAlign w:val="subscript"/>
        </w:rPr>
        <w:t>2</w:t>
      </w:r>
      <w:r>
        <w:t>.</w:t>
      </w:r>
    </w:p>
    <w:p w14:paraId="5CA026CC" w14:textId="77777777" w:rsidR="003B01EF" w:rsidRPr="00963770" w:rsidRDefault="003B01EF" w:rsidP="003B01EF">
      <w:pPr>
        <w:pStyle w:val="SingleTxtG"/>
      </w:pPr>
      <w:r>
        <w:t>3.</w:t>
      </w:r>
      <w:r>
        <w:tab/>
        <w:t>Для снижения нагрузки на изготовителей при проведении таких испытаний НЕЕЦ за основу значений дорожной нагрузки берутся значения, установленные в соответствии с ГТП № 15 ООН.</w:t>
      </w:r>
    </w:p>
    <w:p w14:paraId="06FD360E" w14:textId="77777777" w:rsidR="00A6288E" w:rsidRDefault="003B01EF" w:rsidP="003B01EF">
      <w:pPr>
        <w:pStyle w:val="SingleTxtG"/>
      </w:pPr>
      <w:r>
        <w:lastRenderedPageBreak/>
        <w:t>4.</w:t>
      </w:r>
      <w:r>
        <w:tab/>
        <w:t>Таким образом, настоящая поправка позволила бы использовать испытания НЕЕЦ, которые проводятся в ЕС в порядке сопоставления, для получения официального утверждения на основании Правил № 101 ООН в тех случаях, когда в процессе сопоставления физические испытания не проводились, а также рассчитывать значения допустимого сопротивления движению, что, как следствие, позволил</w:t>
      </w:r>
      <w:r w:rsidR="0054249B">
        <w:t>о</w:t>
      </w:r>
      <w:bookmarkStart w:id="3" w:name="_GoBack"/>
      <w:bookmarkEnd w:id="3"/>
      <w:r>
        <w:t xml:space="preserve"> бы снизить нагрузку в процессе проведения соответствующих испытаний</w:t>
      </w:r>
      <w:r w:rsidR="00A6288E">
        <w:t>.</w:t>
      </w:r>
    </w:p>
    <w:p w14:paraId="3B0F77AD" w14:textId="77777777" w:rsidR="00A6288E" w:rsidRPr="00A6288E" w:rsidRDefault="00A6288E" w:rsidP="00A628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288E" w:rsidRPr="00A6288E" w:rsidSect="003B01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E16EB" w14:textId="77777777" w:rsidR="007F18E0" w:rsidRPr="00A312BC" w:rsidRDefault="007F18E0" w:rsidP="00A312BC"/>
  </w:endnote>
  <w:endnote w:type="continuationSeparator" w:id="0">
    <w:p w14:paraId="40F5E830" w14:textId="77777777" w:rsidR="007F18E0" w:rsidRPr="00A312BC" w:rsidRDefault="007F18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F1E9" w14:textId="77777777" w:rsidR="003B01EF" w:rsidRPr="003B01EF" w:rsidRDefault="003B01EF">
    <w:pPr>
      <w:pStyle w:val="a8"/>
    </w:pPr>
    <w:r w:rsidRPr="003B01EF">
      <w:rPr>
        <w:b/>
        <w:sz w:val="18"/>
      </w:rPr>
      <w:fldChar w:fldCharType="begin"/>
    </w:r>
    <w:r w:rsidRPr="003B01EF">
      <w:rPr>
        <w:b/>
        <w:sz w:val="18"/>
      </w:rPr>
      <w:instrText xml:space="preserve"> PAGE  \* MERGEFORMAT </w:instrText>
    </w:r>
    <w:r w:rsidRPr="003B01EF">
      <w:rPr>
        <w:b/>
        <w:sz w:val="18"/>
      </w:rPr>
      <w:fldChar w:fldCharType="separate"/>
    </w:r>
    <w:r w:rsidRPr="003B01EF">
      <w:rPr>
        <w:b/>
        <w:noProof/>
        <w:sz w:val="18"/>
      </w:rPr>
      <w:t>2</w:t>
    </w:r>
    <w:r w:rsidRPr="003B01EF">
      <w:rPr>
        <w:b/>
        <w:sz w:val="18"/>
      </w:rPr>
      <w:fldChar w:fldCharType="end"/>
    </w:r>
    <w:r>
      <w:rPr>
        <w:b/>
        <w:sz w:val="18"/>
      </w:rPr>
      <w:tab/>
    </w:r>
    <w:r>
      <w:t>GE.19-19099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564E" w14:textId="77777777" w:rsidR="003B01EF" w:rsidRPr="003B01EF" w:rsidRDefault="003B01EF" w:rsidP="003B01EF">
    <w:pPr>
      <w:pStyle w:val="a8"/>
      <w:tabs>
        <w:tab w:val="clear" w:pos="9639"/>
        <w:tab w:val="right" w:pos="9638"/>
      </w:tabs>
      <w:rPr>
        <w:b/>
        <w:sz w:val="18"/>
      </w:rPr>
    </w:pPr>
    <w:r>
      <w:t>GE.19-19099</w:t>
    </w:r>
    <w:r>
      <w:tab/>
    </w:r>
    <w:r w:rsidRPr="003B01EF">
      <w:rPr>
        <w:b/>
        <w:sz w:val="18"/>
      </w:rPr>
      <w:fldChar w:fldCharType="begin"/>
    </w:r>
    <w:r w:rsidRPr="003B01EF">
      <w:rPr>
        <w:b/>
        <w:sz w:val="18"/>
      </w:rPr>
      <w:instrText xml:space="preserve"> PAGE  \* MERGEFORMAT </w:instrText>
    </w:r>
    <w:r w:rsidRPr="003B01EF">
      <w:rPr>
        <w:b/>
        <w:sz w:val="18"/>
      </w:rPr>
      <w:fldChar w:fldCharType="separate"/>
    </w:r>
    <w:r w:rsidRPr="003B01EF">
      <w:rPr>
        <w:b/>
        <w:noProof/>
        <w:sz w:val="18"/>
      </w:rPr>
      <w:t>3</w:t>
    </w:r>
    <w:r w:rsidRPr="003B01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6EF8" w14:textId="77777777" w:rsidR="00042B72" w:rsidRPr="003B01EF" w:rsidRDefault="003B01EF" w:rsidP="003B01E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8F6BAD" wp14:editId="4A22C4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19-19099  (R)  151119  151119</w:t>
    </w:r>
    <w:r>
      <w:br/>
    </w:r>
    <w:r w:rsidRPr="003B01EF">
      <w:rPr>
        <w:rFonts w:ascii="C39T30Lfz" w:hAnsi="C39T30Lfz"/>
        <w:kern w:val="14"/>
        <w:sz w:val="56"/>
      </w:rPr>
      <w:t></w:t>
    </w:r>
    <w:r w:rsidRPr="003B01EF">
      <w:rPr>
        <w:rFonts w:ascii="C39T30Lfz" w:hAnsi="C39T30Lfz"/>
        <w:kern w:val="14"/>
        <w:sz w:val="56"/>
      </w:rPr>
      <w:t></w:t>
    </w:r>
    <w:r w:rsidRPr="003B01EF">
      <w:rPr>
        <w:rFonts w:ascii="C39T30Lfz" w:hAnsi="C39T30Lfz"/>
        <w:kern w:val="14"/>
        <w:sz w:val="56"/>
      </w:rPr>
      <w:t></w:t>
    </w:r>
    <w:r w:rsidRPr="003B01EF">
      <w:rPr>
        <w:rFonts w:ascii="C39T30Lfz" w:hAnsi="C39T30Lfz"/>
        <w:kern w:val="14"/>
        <w:sz w:val="56"/>
      </w:rPr>
      <w:t></w:t>
    </w:r>
    <w:r w:rsidRPr="003B01EF">
      <w:rPr>
        <w:rFonts w:ascii="C39T30Lfz" w:hAnsi="C39T30Lfz"/>
        <w:kern w:val="14"/>
        <w:sz w:val="56"/>
      </w:rPr>
      <w:t></w:t>
    </w:r>
    <w:r w:rsidRPr="003B01EF">
      <w:rPr>
        <w:rFonts w:ascii="C39T30Lfz" w:hAnsi="C39T30Lfz"/>
        <w:kern w:val="14"/>
        <w:sz w:val="56"/>
      </w:rPr>
      <w:t></w:t>
    </w:r>
    <w:r w:rsidRPr="003B01EF">
      <w:rPr>
        <w:rFonts w:ascii="C39T30Lfz" w:hAnsi="C39T30Lfz"/>
        <w:kern w:val="14"/>
        <w:sz w:val="56"/>
      </w:rPr>
      <w:t></w:t>
    </w:r>
    <w:r w:rsidRPr="003B01EF">
      <w:rPr>
        <w:rFonts w:ascii="C39T30Lfz" w:hAnsi="C39T30Lfz"/>
        <w:kern w:val="14"/>
        <w:sz w:val="56"/>
      </w:rPr>
      <w:t></w:t>
    </w:r>
    <w:r w:rsidRPr="003B01E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CFEDD8" wp14:editId="6DE457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24F7" w14:textId="77777777" w:rsidR="007F18E0" w:rsidRPr="001075E9" w:rsidRDefault="007F18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B2334C" w14:textId="77777777" w:rsidR="007F18E0" w:rsidRDefault="007F18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1F7597" w14:textId="77777777" w:rsidR="003B01EF" w:rsidRPr="00BA013F" w:rsidRDefault="003B01EF" w:rsidP="003B01EF">
      <w:pPr>
        <w:pStyle w:val="ad"/>
      </w:pPr>
      <w:r>
        <w:tab/>
      </w:r>
      <w:r w:rsidRPr="003B01E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</w:t>
      </w:r>
      <w:r w:rsidR="00FF2760">
        <w:t>ел</w:t>
      </w:r>
      <w:r>
        <w:t xml:space="preserve"> 20), пункт 20.37),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14:paraId="65EEF0FA" w14:textId="77777777" w:rsidR="003B01EF" w:rsidRPr="00BA013F" w:rsidRDefault="003B01EF" w:rsidP="003B01EF">
      <w:pPr>
        <w:pStyle w:val="ad"/>
        <w:tabs>
          <w:tab w:val="clear" w:pos="1021"/>
          <w:tab w:val="right" w:pos="1418"/>
        </w:tabs>
        <w:ind w:left="1560" w:hanging="567"/>
      </w:pPr>
      <w:r>
        <w:tab/>
      </w:r>
      <w:r>
        <w:rPr>
          <w:rStyle w:val="aa"/>
        </w:rPr>
        <w:footnoteRef/>
      </w:r>
      <w:r>
        <w:tab/>
        <w:t>В соответствии с определением, содержащимся в ГТП № 15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E501" w14:textId="6F022F63" w:rsidR="003B01EF" w:rsidRPr="003B01EF" w:rsidRDefault="003B01EF">
    <w:pPr>
      <w:pStyle w:val="a5"/>
    </w:pPr>
    <w:fldSimple w:instr=" TITLE  \* MERGEFORMAT ">
      <w:r w:rsidR="002B32E8">
        <w:t>ECE/TRANS/WP.29/GRPE/2020/6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A69B" w14:textId="68B1F295" w:rsidR="003B01EF" w:rsidRPr="003B01EF" w:rsidRDefault="003B01EF" w:rsidP="003B01EF">
    <w:pPr>
      <w:pStyle w:val="a5"/>
      <w:jc w:val="right"/>
    </w:pPr>
    <w:fldSimple w:instr=" TITLE  \* MERGEFORMAT ">
      <w:r w:rsidR="002B32E8">
        <w:t>ECE/TRANS/WP.29/GRPE/2020/6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21F4"/>
    <w:rsid w:val="00255343"/>
    <w:rsid w:val="0027151D"/>
    <w:rsid w:val="002A2EFC"/>
    <w:rsid w:val="002B0106"/>
    <w:rsid w:val="002B32E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01EF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249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18E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288E"/>
    <w:rsid w:val="00A65E38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5941"/>
    <w:rsid w:val="00DD78D1"/>
    <w:rsid w:val="00DE32CD"/>
    <w:rsid w:val="00DF5767"/>
    <w:rsid w:val="00DF5E41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2B175C"/>
  <w15:docId w15:val="{CE3508A7-1C58-4A1E-8581-F4B0E86C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B01EF"/>
    <w:rPr>
      <w:lang w:val="ru-RU" w:eastAsia="en-US"/>
    </w:rPr>
  </w:style>
  <w:style w:type="character" w:customStyle="1" w:styleId="HChGChar">
    <w:name w:val="_ H _Ch_G Char"/>
    <w:link w:val="HChG"/>
    <w:rsid w:val="003B01EF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3B01EF"/>
    <w:pPr>
      <w:ind w:left="2268" w:hanging="1134"/>
    </w:pPr>
    <w:rPr>
      <w:rFonts w:eastAsia="MS Mincho"/>
      <w:lang w:val="fr-CH"/>
    </w:rPr>
  </w:style>
  <w:style w:type="character" w:customStyle="1" w:styleId="paraChar">
    <w:name w:val="para Char"/>
    <w:link w:val="para"/>
    <w:rsid w:val="003B01EF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3B01EF"/>
    <w:rPr>
      <w:b/>
      <w:sz w:val="24"/>
      <w:lang w:val="ru-RU" w:eastAsia="ru-RU"/>
    </w:rPr>
  </w:style>
  <w:style w:type="paragraph" w:customStyle="1" w:styleId="WP29Para">
    <w:name w:val="_ WP.29Para"/>
    <w:basedOn w:val="SingleTxtG"/>
    <w:link w:val="WP29ParaChar"/>
    <w:qFormat/>
    <w:rsid w:val="003B01EF"/>
    <w:pPr>
      <w:ind w:left="2259" w:hanging="1125"/>
    </w:pPr>
    <w:rPr>
      <w:lang w:val="en-US" w:eastAsia="de-DE"/>
    </w:rPr>
  </w:style>
  <w:style w:type="character" w:customStyle="1" w:styleId="WP29ParaChar">
    <w:name w:val="_ WP.29Para Char"/>
    <w:basedOn w:val="SingleTxtGChar"/>
    <w:link w:val="WP29Para"/>
    <w:rsid w:val="003B01EF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1006</Words>
  <Characters>6987</Characters>
  <Application>Microsoft Office Word</Application>
  <DocSecurity>0</DocSecurity>
  <Lines>173</Lines>
  <Paragraphs>77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ECE/TRANS/WP.29/GRPE/2020/6</vt:lpstr>
      <vt:lpstr>A/</vt:lpstr>
      <vt:lpstr>A/</vt:lpstr>
    </vt:vector>
  </TitlesOfParts>
  <Company>DCM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ECE/TRANS/WP.29/GRPE/2020/6</dc:title>
  <dc:subject/>
  <dc:creator>Uliana ANTIPOVA</dc:creator>
  <cp:keywords/>
  <cp:lastModifiedBy>Uliana ANTIPOVA</cp:lastModifiedBy>
  <cp:revision>3</cp:revision>
  <cp:lastPrinted>2019-11-15T11:03:00Z</cp:lastPrinted>
  <dcterms:created xsi:type="dcterms:W3CDTF">2019-11-15T11:03:00Z</dcterms:created>
  <dcterms:modified xsi:type="dcterms:W3CDTF">2019-11-15T11:04:00Z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