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06C" w:rsidRDefault="008A506C" w:rsidP="008A506C">
      <w:pPr>
        <w:pStyle w:val="HChG"/>
        <w:tabs>
          <w:tab w:val="clear" w:pos="851"/>
        </w:tabs>
        <w:ind w:firstLine="0"/>
        <w:jc w:val="center"/>
        <w:rPr>
          <w:lang w:val="en-US"/>
        </w:rPr>
      </w:pPr>
      <w:r w:rsidRPr="00B6567D">
        <w:rPr>
          <w:lang w:val="en-US"/>
        </w:rPr>
        <w:t xml:space="preserve">Proposal for </w:t>
      </w:r>
      <w:r>
        <w:rPr>
          <w:lang w:val="en-US"/>
        </w:rPr>
        <w:t xml:space="preserve">amendments to the 06 and </w:t>
      </w:r>
      <w:r w:rsidRPr="00BE1AC2">
        <w:rPr>
          <w:color w:val="000000" w:themeColor="text1"/>
        </w:rPr>
        <w:t xml:space="preserve">07 series </w:t>
      </w:r>
      <w:r w:rsidRPr="00BE1AC2">
        <w:rPr>
          <w:color w:val="000000" w:themeColor="text1"/>
          <w:lang w:val="en-US"/>
        </w:rPr>
        <w:t>of amendments to UN Regulation No. 83</w:t>
      </w:r>
      <w:r>
        <w:rPr>
          <w:color w:val="000000" w:themeColor="text1"/>
          <w:lang w:val="en-US"/>
        </w:rPr>
        <w:t xml:space="preserve"> </w:t>
      </w:r>
      <w:r w:rsidRPr="00B6567D">
        <w:rPr>
          <w:lang w:val="en-US"/>
        </w:rPr>
        <w:t xml:space="preserve">(Emissions of M1 </w:t>
      </w:r>
      <w:bookmarkStart w:id="0" w:name="_GoBack"/>
      <w:bookmarkEnd w:id="0"/>
      <w:r w:rsidRPr="00B6567D">
        <w:rPr>
          <w:lang w:val="en-US"/>
        </w:rPr>
        <w:t>and N1 vehicles)</w:t>
      </w:r>
      <w:r w:rsidR="00C80775">
        <w:rPr>
          <w:lang w:val="en-US"/>
        </w:rPr>
        <w:br/>
      </w:r>
      <w:r>
        <w:rPr>
          <w:lang w:val="en-US"/>
        </w:rPr>
        <w:t xml:space="preserve">superseding </w:t>
      </w:r>
      <w:r w:rsidRPr="00867D0E">
        <w:rPr>
          <w:lang w:val="en-US"/>
        </w:rPr>
        <w:t>ECE/TRANS/WP.29/GRPE/2020/2</w:t>
      </w:r>
    </w:p>
    <w:p w:rsidR="001575C6" w:rsidRDefault="001575C6" w:rsidP="001575C6">
      <w:pPr>
        <w:pStyle w:val="HChG"/>
        <w:numPr>
          <w:ilvl w:val="0"/>
          <w:numId w:val="1"/>
        </w:numPr>
        <w:tabs>
          <w:tab w:val="clear" w:pos="851"/>
        </w:tabs>
        <w:spacing w:before="0"/>
      </w:pPr>
      <w:r>
        <w:t>Proposal</w:t>
      </w:r>
    </w:p>
    <w:p w:rsidR="001575C6" w:rsidRPr="00AB708F" w:rsidRDefault="001575C6" w:rsidP="001575C6">
      <w:pPr>
        <w:pStyle w:val="SingleTxtG"/>
        <w:rPr>
          <w:b/>
          <w:bCs/>
          <w:lang w:val="en-US"/>
        </w:rPr>
      </w:pPr>
      <w:r w:rsidRPr="00AB708F">
        <w:rPr>
          <w:b/>
          <w:bCs/>
          <w:lang w:val="en-US"/>
        </w:rPr>
        <w:t>In the 06 and the 07 Series of Amendments</w:t>
      </w:r>
    </w:p>
    <w:p w:rsidR="001575C6" w:rsidRPr="00875B2E" w:rsidRDefault="001575C6" w:rsidP="001575C6">
      <w:pPr>
        <w:pStyle w:val="SingleTxtG"/>
        <w:rPr>
          <w:b/>
          <w:lang w:val="en-US"/>
        </w:rPr>
      </w:pPr>
      <w:r>
        <w:rPr>
          <w:i/>
          <w:lang w:val="en-US"/>
        </w:rPr>
        <w:t>A</w:t>
      </w:r>
      <w:r w:rsidRPr="00AB708F">
        <w:rPr>
          <w:i/>
          <w:lang w:val="en-US"/>
        </w:rPr>
        <w:t>dd a new paragraph 5.3.9.</w:t>
      </w:r>
      <w:r w:rsidRPr="00875B2E">
        <w:rPr>
          <w:iCs/>
          <w:lang w:val="en-US"/>
        </w:rPr>
        <w:t xml:space="preserve"> to read:</w:t>
      </w:r>
    </w:p>
    <w:p w:rsidR="001575C6" w:rsidRPr="00875B2E" w:rsidRDefault="001575C6" w:rsidP="001575C6">
      <w:pPr>
        <w:pStyle w:val="SingleTxtG"/>
        <w:rPr>
          <w:b/>
          <w:lang w:val="en-US"/>
        </w:rPr>
      </w:pPr>
      <w:r w:rsidRPr="00875B2E">
        <w:rPr>
          <w:lang w:val="en-US"/>
        </w:rPr>
        <w:t>“</w:t>
      </w:r>
      <w:r w:rsidRPr="00875B2E">
        <w:rPr>
          <w:b/>
          <w:lang w:val="en-US"/>
        </w:rPr>
        <w:t>5.3.9.</w:t>
      </w:r>
      <w:r w:rsidRPr="00875B2E">
        <w:rPr>
          <w:b/>
          <w:lang w:val="en-US"/>
        </w:rPr>
        <w:tab/>
        <w:t>Vehicles that use a reagent for the exhaust after-treatment system shall meet the requirements described in Appendix 6 to this Regulation.”</w:t>
      </w:r>
    </w:p>
    <w:p w:rsidR="001575C6" w:rsidRPr="00875B2E" w:rsidRDefault="001575C6" w:rsidP="001575C6">
      <w:pPr>
        <w:pStyle w:val="SingleTxtG"/>
        <w:rPr>
          <w:lang w:val="en-US"/>
        </w:rPr>
      </w:pPr>
      <w:r>
        <w:rPr>
          <w:i/>
          <w:iCs/>
          <w:lang w:val="en-US"/>
        </w:rPr>
        <w:t>P</w:t>
      </w:r>
      <w:r w:rsidRPr="00AB708F">
        <w:rPr>
          <w:i/>
          <w:iCs/>
          <w:lang w:val="en-US"/>
        </w:rPr>
        <w:t>aragraph 5.3.1.2.1.2.,</w:t>
      </w:r>
      <w:r w:rsidRPr="00875B2E">
        <w:rPr>
          <w:iCs/>
          <w:lang w:val="en-US"/>
        </w:rPr>
        <w:t xml:space="preserve"> amend to read:</w:t>
      </w:r>
    </w:p>
    <w:p w:rsidR="001575C6" w:rsidRPr="00875B2E" w:rsidRDefault="001575C6" w:rsidP="001575C6">
      <w:pPr>
        <w:pStyle w:val="SingleTxtG"/>
        <w:ind w:left="2268" w:hanging="1134"/>
        <w:rPr>
          <w:lang w:val="en-US"/>
        </w:rPr>
      </w:pPr>
      <w:r w:rsidRPr="00875B2E">
        <w:rPr>
          <w:lang w:val="en-US"/>
        </w:rPr>
        <w:t xml:space="preserve">“5.3.1.2.1.2. </w:t>
      </w:r>
      <w:r w:rsidRPr="00875B2E">
        <w:rPr>
          <w:lang w:val="en-US"/>
        </w:rPr>
        <w:tab/>
        <w:t xml:space="preserve">Notwithstanding the requirement of paragraph 5.3.1.2.1.1, </w:t>
      </w:r>
      <w:r w:rsidRPr="00875B2E">
        <w:rPr>
          <w:b/>
          <w:lang w:val="en-US"/>
        </w:rPr>
        <w:t>mono-fuel gas</w:t>
      </w:r>
      <w:r w:rsidRPr="00875B2E">
        <w:rPr>
          <w:lang w:val="en-US"/>
        </w:rPr>
        <w:t xml:space="preserve"> vehicles </w:t>
      </w:r>
      <w:r w:rsidRPr="00875B2E">
        <w:rPr>
          <w:strike/>
          <w:lang w:val="en-US"/>
        </w:rPr>
        <w:t xml:space="preserve">that can be </w:t>
      </w:r>
      <w:proofErr w:type="spellStart"/>
      <w:r w:rsidRPr="00875B2E">
        <w:rPr>
          <w:strike/>
          <w:lang w:val="en-US"/>
        </w:rPr>
        <w:t>fuelled</w:t>
      </w:r>
      <w:proofErr w:type="spellEnd"/>
      <w:r w:rsidRPr="00875B2E">
        <w:rPr>
          <w:strike/>
          <w:lang w:val="en-US"/>
        </w:rPr>
        <w:t xml:space="preserve"> with either petrol or a gaseous fuel, but where the petrol system is fitted for emergency purposes or starting only and which the petrol tank cannot contain more than 15 </w:t>
      </w:r>
      <w:proofErr w:type="spellStart"/>
      <w:r w:rsidRPr="00875B2E">
        <w:rPr>
          <w:strike/>
          <w:lang w:val="en-US"/>
        </w:rPr>
        <w:t>litres</w:t>
      </w:r>
      <w:proofErr w:type="spellEnd"/>
      <w:r w:rsidRPr="00875B2E">
        <w:rPr>
          <w:strike/>
          <w:lang w:val="en-US"/>
        </w:rPr>
        <w:t xml:space="preserve"> of petrol</w:t>
      </w:r>
      <w:r w:rsidRPr="00875B2E">
        <w:rPr>
          <w:lang w:val="en-US"/>
        </w:rPr>
        <w:t xml:space="preserve"> will be regarded for the Type I test as vehicles that can only run on a gaseous fuel.”</w:t>
      </w:r>
    </w:p>
    <w:p w:rsidR="001575C6" w:rsidRPr="00875B2E" w:rsidRDefault="001575C6" w:rsidP="001575C6">
      <w:pPr>
        <w:pStyle w:val="SingleTxtG"/>
        <w:rPr>
          <w:lang w:val="en-US"/>
        </w:rPr>
      </w:pPr>
      <w:r w:rsidRPr="00AB708F">
        <w:rPr>
          <w:i/>
          <w:iCs/>
          <w:lang w:val="en-US"/>
        </w:rPr>
        <w:t>Paragraph 5.3.2.1.2.,</w:t>
      </w:r>
      <w:r w:rsidRPr="00875B2E">
        <w:rPr>
          <w:iCs/>
          <w:lang w:val="en-US"/>
        </w:rPr>
        <w:t xml:space="preserve"> </w:t>
      </w:r>
      <w:r w:rsidRPr="00324225">
        <w:rPr>
          <w:iCs/>
          <w:lang w:val="en-US"/>
        </w:rPr>
        <w:t>amend</w:t>
      </w:r>
      <w:r w:rsidRPr="00875B2E">
        <w:rPr>
          <w:lang w:val="en-US"/>
        </w:rPr>
        <w:t xml:space="preserve"> </w:t>
      </w:r>
      <w:r w:rsidRPr="00875B2E">
        <w:rPr>
          <w:iCs/>
          <w:lang w:val="en-US"/>
        </w:rPr>
        <w:t>to read:</w:t>
      </w:r>
    </w:p>
    <w:p w:rsidR="001575C6" w:rsidRPr="00875B2E" w:rsidRDefault="001575C6" w:rsidP="001575C6">
      <w:pPr>
        <w:pStyle w:val="SingleTxtG"/>
        <w:ind w:left="2268" w:hanging="1134"/>
        <w:rPr>
          <w:lang w:val="en-US"/>
        </w:rPr>
      </w:pPr>
      <w:r w:rsidRPr="00875B2E">
        <w:rPr>
          <w:lang w:val="en-US"/>
        </w:rPr>
        <w:t xml:space="preserve">“5.3.2.1.2. </w:t>
      </w:r>
      <w:r w:rsidRPr="00875B2E">
        <w:rPr>
          <w:lang w:val="en-US"/>
        </w:rPr>
        <w:tab/>
        <w:t xml:space="preserve">Notwithstanding the requirement of paragraph 5.3.2.1.1, </w:t>
      </w:r>
      <w:r w:rsidRPr="00875B2E">
        <w:rPr>
          <w:b/>
          <w:lang w:val="en-US"/>
        </w:rPr>
        <w:t>mono-fuel gas</w:t>
      </w:r>
      <w:r w:rsidRPr="00875B2E">
        <w:rPr>
          <w:lang w:val="en-US"/>
        </w:rPr>
        <w:t xml:space="preserve"> vehicles </w:t>
      </w:r>
      <w:r w:rsidRPr="00875B2E">
        <w:rPr>
          <w:strike/>
          <w:lang w:val="en-US"/>
        </w:rPr>
        <w:t xml:space="preserve">that can be </w:t>
      </w:r>
      <w:proofErr w:type="spellStart"/>
      <w:r w:rsidRPr="00875B2E">
        <w:rPr>
          <w:strike/>
          <w:lang w:val="en-US"/>
        </w:rPr>
        <w:t>fuelled</w:t>
      </w:r>
      <w:proofErr w:type="spellEnd"/>
      <w:r w:rsidRPr="00875B2E">
        <w:rPr>
          <w:strike/>
          <w:lang w:val="en-US"/>
        </w:rPr>
        <w:t xml:space="preserve"> with either petrol or a gaseous fuel, but where the petrol system is fitted for emergency purposes or starting only and which the petrol tank cannot contain more than 15 </w:t>
      </w:r>
      <w:proofErr w:type="spellStart"/>
      <w:r w:rsidRPr="00875B2E">
        <w:rPr>
          <w:strike/>
          <w:lang w:val="en-US"/>
        </w:rPr>
        <w:t>litres</w:t>
      </w:r>
      <w:proofErr w:type="spellEnd"/>
      <w:r w:rsidRPr="00875B2E">
        <w:rPr>
          <w:strike/>
          <w:lang w:val="en-US"/>
        </w:rPr>
        <w:t xml:space="preserve"> of petrol </w:t>
      </w:r>
      <w:r w:rsidRPr="00875B2E">
        <w:rPr>
          <w:lang w:val="en-US"/>
        </w:rPr>
        <w:t xml:space="preserve">will be regarded for the Type II test as vehicles that can only run on a gaseous fuel.” </w:t>
      </w:r>
    </w:p>
    <w:p w:rsidR="001575C6" w:rsidRPr="00875B2E" w:rsidRDefault="001575C6" w:rsidP="001575C6">
      <w:pPr>
        <w:pStyle w:val="SingleTxtG"/>
        <w:rPr>
          <w:lang w:val="en-US"/>
        </w:rPr>
      </w:pPr>
      <w:r w:rsidRPr="00AB708F">
        <w:rPr>
          <w:i/>
          <w:iCs/>
          <w:lang w:val="en-US"/>
        </w:rPr>
        <w:t>Paragraph 5.3.3.1.2.,</w:t>
      </w:r>
      <w:r w:rsidRPr="00875B2E">
        <w:rPr>
          <w:lang w:val="en-US"/>
        </w:rPr>
        <w:t xml:space="preserve"> </w:t>
      </w:r>
      <w:r w:rsidRPr="00324225">
        <w:rPr>
          <w:iCs/>
          <w:lang w:val="en-US"/>
        </w:rPr>
        <w:t>amend to read:</w:t>
      </w:r>
    </w:p>
    <w:p w:rsidR="001575C6" w:rsidRPr="00875B2E" w:rsidRDefault="001575C6" w:rsidP="001575C6">
      <w:pPr>
        <w:pStyle w:val="SingleTxtG"/>
        <w:ind w:left="2268" w:hanging="1134"/>
        <w:rPr>
          <w:lang w:val="en-US"/>
        </w:rPr>
      </w:pPr>
      <w:r w:rsidRPr="00875B2E">
        <w:rPr>
          <w:lang w:val="en-US"/>
        </w:rPr>
        <w:t xml:space="preserve">“5.3.3.1.2. </w:t>
      </w:r>
      <w:r w:rsidRPr="00875B2E">
        <w:rPr>
          <w:lang w:val="en-US"/>
        </w:rPr>
        <w:tab/>
        <w:t xml:space="preserve">Notwithstanding the requirement of paragraph 5.3.3.1.1, </w:t>
      </w:r>
      <w:r w:rsidRPr="00875B2E">
        <w:rPr>
          <w:b/>
          <w:lang w:val="en-US"/>
        </w:rPr>
        <w:t>mono-fuel gas</w:t>
      </w:r>
      <w:r w:rsidRPr="00875B2E">
        <w:rPr>
          <w:lang w:val="en-US"/>
        </w:rPr>
        <w:t xml:space="preserve"> vehicles </w:t>
      </w:r>
      <w:r w:rsidRPr="00875B2E">
        <w:rPr>
          <w:strike/>
          <w:lang w:val="en-US"/>
        </w:rPr>
        <w:t xml:space="preserve">that can be </w:t>
      </w:r>
      <w:proofErr w:type="spellStart"/>
      <w:r w:rsidRPr="00875B2E">
        <w:rPr>
          <w:strike/>
          <w:lang w:val="en-US"/>
        </w:rPr>
        <w:t>fuelled</w:t>
      </w:r>
      <w:proofErr w:type="spellEnd"/>
      <w:r w:rsidRPr="00875B2E">
        <w:rPr>
          <w:strike/>
          <w:lang w:val="en-US"/>
        </w:rPr>
        <w:t xml:space="preserve"> with either petrol or a gaseous fuel, but where the petrol system is fitted for emergency purposes or starting only and which the petrol tank cannot contain more than 15 </w:t>
      </w:r>
      <w:proofErr w:type="spellStart"/>
      <w:r w:rsidRPr="00875B2E">
        <w:rPr>
          <w:strike/>
          <w:lang w:val="en-US"/>
        </w:rPr>
        <w:t>litres</w:t>
      </w:r>
      <w:proofErr w:type="spellEnd"/>
      <w:r w:rsidRPr="00875B2E">
        <w:rPr>
          <w:strike/>
          <w:lang w:val="en-US"/>
        </w:rPr>
        <w:t xml:space="preserve"> of petrol </w:t>
      </w:r>
      <w:r w:rsidRPr="00875B2E">
        <w:rPr>
          <w:lang w:val="en-US"/>
        </w:rPr>
        <w:t xml:space="preserve">will be regarded for the Type III test as vehicles that can only run on a gaseous fuel.” </w:t>
      </w:r>
    </w:p>
    <w:p w:rsidR="001575C6" w:rsidRPr="00875B2E" w:rsidRDefault="001575C6" w:rsidP="001575C6">
      <w:pPr>
        <w:pStyle w:val="SingleTxtG"/>
        <w:rPr>
          <w:lang w:val="en-US"/>
        </w:rPr>
      </w:pPr>
      <w:r w:rsidRPr="00875B2E">
        <w:rPr>
          <w:i/>
          <w:lang w:val="en-US"/>
        </w:rPr>
        <w:t xml:space="preserve">Annex 1, paragraph </w:t>
      </w:r>
      <w:r>
        <w:rPr>
          <w:i/>
          <w:lang w:val="en-US"/>
        </w:rPr>
        <w:t>3.2</w:t>
      </w:r>
      <w:r w:rsidRPr="00875B2E">
        <w:rPr>
          <w:i/>
          <w:lang w:val="en-US"/>
        </w:rPr>
        <w:t xml:space="preserve">.12.2.5.5., </w:t>
      </w:r>
      <w:r w:rsidRPr="00324225">
        <w:rPr>
          <w:lang w:val="en-US"/>
        </w:rPr>
        <w:t xml:space="preserve">amend </w:t>
      </w:r>
      <w:r w:rsidRPr="007D3BE9">
        <w:rPr>
          <w:lang w:val="en-US"/>
        </w:rPr>
        <w:t>to read:</w:t>
      </w:r>
    </w:p>
    <w:p w:rsidR="001575C6" w:rsidRDefault="001575C6" w:rsidP="001575C6">
      <w:pPr>
        <w:pStyle w:val="SingleTxtG"/>
        <w:ind w:left="2268" w:hanging="1134"/>
        <w:rPr>
          <w:lang w:val="en-US"/>
        </w:rPr>
      </w:pPr>
      <w:r w:rsidRPr="00875B2E">
        <w:rPr>
          <w:lang w:val="en-US"/>
        </w:rPr>
        <w:t xml:space="preserve">“3.2.12.2.5.5. Schematic drawing of the fuel tank with indication of </w:t>
      </w:r>
      <w:r w:rsidRPr="00875B2E">
        <w:rPr>
          <w:b/>
          <w:bCs/>
          <w:lang w:val="en-US"/>
        </w:rPr>
        <w:t>nominal</w:t>
      </w:r>
      <w:r w:rsidRPr="00875B2E">
        <w:rPr>
          <w:lang w:val="en-US"/>
        </w:rPr>
        <w:t xml:space="preserve"> capacity and material: .....................................” </w:t>
      </w:r>
    </w:p>
    <w:p w:rsidR="001575C6" w:rsidRPr="00875B2E" w:rsidRDefault="001575C6" w:rsidP="001575C6">
      <w:pPr>
        <w:pStyle w:val="SingleTxtG"/>
        <w:rPr>
          <w:lang w:val="en-US"/>
        </w:rPr>
      </w:pPr>
      <w:r w:rsidRPr="00875B2E">
        <w:rPr>
          <w:i/>
          <w:lang w:val="en-US"/>
        </w:rPr>
        <w:t xml:space="preserve">Annex 7, paragraph 4.7.2., </w:t>
      </w:r>
      <w:r w:rsidRPr="00324225">
        <w:rPr>
          <w:lang w:val="en-US"/>
        </w:rPr>
        <w:t xml:space="preserve">amend </w:t>
      </w:r>
      <w:r w:rsidRPr="007D3BE9">
        <w:rPr>
          <w:lang w:val="en-US"/>
        </w:rPr>
        <w:t>to read:</w:t>
      </w:r>
    </w:p>
    <w:p w:rsidR="001575C6" w:rsidRPr="00875B2E" w:rsidRDefault="001575C6" w:rsidP="001575C6">
      <w:pPr>
        <w:pStyle w:val="SingleTxtG"/>
        <w:ind w:left="2268" w:hanging="1134"/>
        <w:rPr>
          <w:lang w:val="en-US"/>
        </w:rPr>
      </w:pPr>
      <w:r w:rsidRPr="00875B2E">
        <w:rPr>
          <w:lang w:val="en-US"/>
        </w:rPr>
        <w:t>“4.7.2.</w:t>
      </w:r>
      <w:r w:rsidRPr="00875B2E">
        <w:rPr>
          <w:lang w:val="en-US"/>
        </w:rPr>
        <w:tab/>
        <w:t>The chamber shall have one or more fans or blowers of like capacity 0.1 to 0.5 </w:t>
      </w:r>
      <w:r w:rsidRPr="00875B2E">
        <w:rPr>
          <w:strike/>
          <w:lang w:val="en-US"/>
        </w:rPr>
        <w:t>m</w:t>
      </w:r>
      <w:r w:rsidRPr="00875B2E">
        <w:rPr>
          <w:strike/>
          <w:vertAlign w:val="superscript"/>
          <w:lang w:val="en-US"/>
        </w:rPr>
        <w:t>3</w:t>
      </w:r>
      <w:r w:rsidRPr="00875B2E">
        <w:rPr>
          <w:strike/>
          <w:lang w:val="en-US"/>
        </w:rPr>
        <w:t>/min</w:t>
      </w:r>
      <w:r w:rsidRPr="00875B2E">
        <w:rPr>
          <w:lang w:val="en-US"/>
        </w:rPr>
        <w:t xml:space="preserve"> </w:t>
      </w:r>
      <w:r w:rsidRPr="00875B2E">
        <w:rPr>
          <w:b/>
          <w:lang w:val="en-US"/>
        </w:rPr>
        <w:t>m</w:t>
      </w:r>
      <w:r w:rsidRPr="00875B2E">
        <w:rPr>
          <w:b/>
          <w:vertAlign w:val="superscript"/>
          <w:lang w:val="en-US"/>
        </w:rPr>
        <w:t>3</w:t>
      </w:r>
      <w:r w:rsidRPr="00875B2E">
        <w:rPr>
          <w:b/>
          <w:lang w:val="en-US"/>
        </w:rPr>
        <w:t>/sec</w:t>
      </w:r>
      <w:r w:rsidRPr="00875B2E">
        <w:rPr>
          <w:lang w:val="en-US"/>
        </w:rPr>
        <w:t xml:space="preserve"> with which to thoroughly mix the atmosphere in the enclosure. It shall be possible to attain an even temperature and hydrocarbon concentration in the chamber during measurements. The vehicle in the enclosure shall not be subjected to a direct stream of air from the fans or blowers”</w:t>
      </w:r>
    </w:p>
    <w:p w:rsidR="001575C6" w:rsidRPr="00875B2E" w:rsidRDefault="001575C6" w:rsidP="001575C6">
      <w:pPr>
        <w:pStyle w:val="SingleTxtG"/>
        <w:rPr>
          <w:lang w:val="en-US"/>
        </w:rPr>
      </w:pPr>
      <w:r w:rsidRPr="00875B2E">
        <w:rPr>
          <w:i/>
          <w:lang w:val="en-US"/>
        </w:rPr>
        <w:t xml:space="preserve">Annex 11, paragraph 3.1.1, </w:t>
      </w:r>
      <w:r w:rsidRPr="00324225">
        <w:rPr>
          <w:lang w:val="en-US"/>
        </w:rPr>
        <w:t xml:space="preserve">amend </w:t>
      </w:r>
      <w:r w:rsidRPr="007D3BE9">
        <w:rPr>
          <w:lang w:val="en-US"/>
        </w:rPr>
        <w:t>to read:</w:t>
      </w:r>
    </w:p>
    <w:p w:rsidR="001575C6" w:rsidRDefault="001575C6" w:rsidP="001575C6">
      <w:pPr>
        <w:pStyle w:val="SingleTxtG"/>
        <w:ind w:left="2268" w:hanging="1134"/>
      </w:pPr>
      <w:r w:rsidRPr="007610E8">
        <w:t>“3.1.1.</w:t>
      </w:r>
      <w:r w:rsidRPr="007610E8">
        <w:tab/>
      </w:r>
      <w:r w:rsidRPr="00197D02">
        <w:t xml:space="preserve">Access to the OBD system required for the inspection, diagnosis, servicing or repair of the vehicle shall be unrestricted and standardised. </w:t>
      </w:r>
      <w:r w:rsidRPr="00197D02">
        <w:lastRenderedPageBreak/>
        <w:t xml:space="preserve">All emission-related fault codes shall be consistent with </w:t>
      </w:r>
      <w:r w:rsidRPr="00197D02">
        <w:rPr>
          <w:strike/>
        </w:rPr>
        <w:t>paragraph 6.5.3.4.</w:t>
      </w:r>
      <w:r w:rsidRPr="00197D02">
        <w:t xml:space="preserve"> </w:t>
      </w:r>
      <w:r w:rsidRPr="00197D02">
        <w:rPr>
          <w:b/>
        </w:rPr>
        <w:t>paragraph 6.5.3.5.</w:t>
      </w:r>
      <w:r>
        <w:t xml:space="preserve"> </w:t>
      </w:r>
      <w:r w:rsidRPr="00197D02">
        <w:t>of Appendix 1 to this annex.</w:t>
      </w:r>
    </w:p>
    <w:p w:rsidR="001575C6" w:rsidRPr="00AB708F" w:rsidRDefault="001575C6" w:rsidP="001575C6">
      <w:pPr>
        <w:pStyle w:val="SingleTxtG"/>
        <w:rPr>
          <w:b/>
          <w:bCs/>
          <w:lang w:val="en-US"/>
        </w:rPr>
      </w:pPr>
      <w:r w:rsidRPr="00AB708F">
        <w:rPr>
          <w:b/>
          <w:bCs/>
          <w:lang w:val="en-US"/>
        </w:rPr>
        <w:t>In the 06 Series of Amendments only</w:t>
      </w:r>
    </w:p>
    <w:p w:rsidR="001575C6" w:rsidRPr="00875B2E" w:rsidRDefault="001575C6" w:rsidP="001575C6">
      <w:pPr>
        <w:pStyle w:val="SingleTxtG"/>
        <w:rPr>
          <w:iCs/>
          <w:lang w:val="en-US"/>
        </w:rPr>
      </w:pPr>
      <w:r w:rsidRPr="00AB708F">
        <w:rPr>
          <w:i/>
          <w:iCs/>
          <w:lang w:val="en-US"/>
        </w:rPr>
        <w:t>Paragraph 1. of Appendix 6,</w:t>
      </w:r>
      <w:r w:rsidRPr="00875B2E">
        <w:rPr>
          <w:lang w:val="en-US"/>
        </w:rPr>
        <w:t xml:space="preserve"> </w:t>
      </w:r>
      <w:r w:rsidRPr="00324225">
        <w:rPr>
          <w:iCs/>
          <w:lang w:val="en-US"/>
        </w:rPr>
        <w:t xml:space="preserve">amend </w:t>
      </w:r>
      <w:r w:rsidRPr="00875B2E">
        <w:rPr>
          <w:iCs/>
          <w:lang w:val="en-US"/>
        </w:rPr>
        <w:t>to read:</w:t>
      </w:r>
    </w:p>
    <w:p w:rsidR="001575C6" w:rsidRPr="00875B2E" w:rsidRDefault="001575C6" w:rsidP="001575C6">
      <w:pPr>
        <w:pStyle w:val="SingleTxtG"/>
        <w:rPr>
          <w:lang w:val="en-US"/>
        </w:rPr>
      </w:pPr>
      <w:r w:rsidRPr="00002065">
        <w:t>“</w:t>
      </w:r>
      <w:r w:rsidRPr="00875B2E">
        <w:rPr>
          <w:lang w:val="en-US"/>
        </w:rPr>
        <w:t>1.</w:t>
      </w:r>
      <w:r w:rsidRPr="00875B2E">
        <w:rPr>
          <w:lang w:val="en-US"/>
        </w:rPr>
        <w:tab/>
      </w:r>
      <w:r>
        <w:rPr>
          <w:lang w:val="en-US"/>
        </w:rPr>
        <w:tab/>
      </w:r>
      <w:r w:rsidRPr="00875B2E">
        <w:rPr>
          <w:lang w:val="en-US"/>
        </w:rPr>
        <w:t>Introduction</w:t>
      </w:r>
    </w:p>
    <w:p w:rsidR="001575C6" w:rsidRPr="00875B2E" w:rsidRDefault="001575C6" w:rsidP="001575C6">
      <w:pPr>
        <w:pStyle w:val="SingleTxtG"/>
        <w:ind w:left="2268"/>
        <w:rPr>
          <w:lang w:val="en-US"/>
        </w:rPr>
      </w:pPr>
      <w:r w:rsidRPr="00875B2E">
        <w:rPr>
          <w:lang w:val="en-US"/>
        </w:rPr>
        <w:t xml:space="preserve">This </w:t>
      </w:r>
      <w:r w:rsidRPr="00875B2E">
        <w:rPr>
          <w:strike/>
          <w:lang w:val="en-US"/>
        </w:rPr>
        <w:t>Annex</w:t>
      </w:r>
      <w:r w:rsidRPr="00875B2E">
        <w:rPr>
          <w:lang w:val="en-US"/>
        </w:rPr>
        <w:t xml:space="preserve"> </w:t>
      </w:r>
      <w:r w:rsidRPr="00875B2E">
        <w:rPr>
          <w:b/>
          <w:lang w:val="en-US"/>
        </w:rPr>
        <w:t>appendix</w:t>
      </w:r>
      <w:r w:rsidRPr="00875B2E">
        <w:rPr>
          <w:lang w:val="en-US"/>
        </w:rPr>
        <w:t xml:space="preserve"> sets out the requirements for vehicles that rely on the use of a reagent for the after-treatment system in order to reduce emissions. Every reference in this </w:t>
      </w:r>
      <w:r w:rsidRPr="00875B2E">
        <w:rPr>
          <w:strike/>
          <w:lang w:val="en-US"/>
        </w:rPr>
        <w:t xml:space="preserve">Annex </w:t>
      </w:r>
      <w:r w:rsidRPr="00875B2E">
        <w:rPr>
          <w:b/>
          <w:lang w:val="en-US"/>
        </w:rPr>
        <w:t xml:space="preserve">appendix </w:t>
      </w:r>
      <w:r w:rsidRPr="00875B2E">
        <w:rPr>
          <w:lang w:val="en-US"/>
        </w:rPr>
        <w:t>to 'reagent tank' shall be understood as also applying to other containers in which a reagent is stored</w:t>
      </w:r>
    </w:p>
    <w:p w:rsidR="001575C6" w:rsidRDefault="001575C6" w:rsidP="001575C6">
      <w:pPr>
        <w:pStyle w:val="SingleTxtG"/>
        <w:ind w:left="1701" w:firstLine="567"/>
        <w:rPr>
          <w:lang w:val="en-US"/>
        </w:rPr>
      </w:pPr>
      <w:r w:rsidRPr="00875B2E">
        <w:rPr>
          <w:lang w:val="en-US"/>
        </w:rPr>
        <w:t>…”</w:t>
      </w:r>
    </w:p>
    <w:p w:rsidR="001575C6" w:rsidRPr="00875B2E" w:rsidRDefault="001575C6" w:rsidP="001575C6">
      <w:pPr>
        <w:pStyle w:val="SingleTxtG"/>
        <w:rPr>
          <w:lang w:val="en-US"/>
        </w:rPr>
      </w:pPr>
      <w:r w:rsidRPr="00875B2E">
        <w:rPr>
          <w:i/>
          <w:lang w:val="en-US"/>
        </w:rPr>
        <w:t>Annex 1</w:t>
      </w:r>
      <w:r>
        <w:rPr>
          <w:i/>
          <w:lang w:val="en-US"/>
        </w:rPr>
        <w:t>,</w:t>
      </w:r>
      <w:r w:rsidRPr="00875B2E">
        <w:rPr>
          <w:i/>
          <w:lang w:val="en-US"/>
        </w:rPr>
        <w:t xml:space="preserve"> paragraph 3. footnote </w:t>
      </w:r>
      <w:r>
        <w:rPr>
          <w:i/>
          <w:lang w:val="en-US"/>
        </w:rPr>
        <w:t>**</w:t>
      </w:r>
      <w:r w:rsidRPr="007D3BE9">
        <w:rPr>
          <w:lang w:val="en-US"/>
        </w:rPr>
        <w:t xml:space="preserve">, </w:t>
      </w:r>
      <w:r w:rsidRPr="00324225">
        <w:rPr>
          <w:lang w:val="en-US"/>
        </w:rPr>
        <w:t xml:space="preserve">amend </w:t>
      </w:r>
      <w:r w:rsidRPr="007D3BE9">
        <w:rPr>
          <w:lang w:val="en-US"/>
        </w:rPr>
        <w:t>to read:</w:t>
      </w:r>
    </w:p>
    <w:p w:rsidR="001575C6" w:rsidRPr="00875B2E" w:rsidRDefault="001575C6" w:rsidP="001575C6">
      <w:pPr>
        <w:pStyle w:val="SingleTxtG"/>
        <w:ind w:left="2268" w:hanging="1134"/>
        <w:rPr>
          <w:lang w:val="en-US"/>
        </w:rPr>
      </w:pPr>
      <w:r>
        <w:rPr>
          <w:lang w:val="en-US"/>
        </w:rPr>
        <w:t>"</w:t>
      </w:r>
      <w:r w:rsidRPr="00875B2E">
        <w:rPr>
          <w:lang w:val="en-US"/>
        </w:rPr>
        <w:t>**</w:t>
      </w:r>
      <w:r w:rsidRPr="00875B2E">
        <w:rPr>
          <w:lang w:val="en-US"/>
        </w:rPr>
        <w:tab/>
      </w:r>
      <w:r w:rsidRPr="008729A5">
        <w:rPr>
          <w:lang w:val="en-US"/>
        </w:rPr>
        <w:t>Mono</w:t>
      </w:r>
      <w:r w:rsidRPr="00875B2E">
        <w:rPr>
          <w:b/>
          <w:bCs/>
          <w:lang w:val="en-US"/>
        </w:rPr>
        <w:t>-fuel gas</w:t>
      </w:r>
      <w:r w:rsidRPr="00875B2E">
        <w:rPr>
          <w:lang w:val="en-US"/>
        </w:rPr>
        <w:t xml:space="preserve"> </w:t>
      </w:r>
      <w:proofErr w:type="spellStart"/>
      <w:r w:rsidRPr="00875B2E">
        <w:rPr>
          <w:b/>
          <w:bCs/>
          <w:lang w:val="en-US"/>
        </w:rPr>
        <w:t>v</w:t>
      </w:r>
      <w:r w:rsidRPr="00875B2E">
        <w:rPr>
          <w:strike/>
          <w:lang w:val="en-US"/>
        </w:rPr>
        <w:t>V</w:t>
      </w:r>
      <w:r w:rsidRPr="00875B2E">
        <w:rPr>
          <w:lang w:val="en-US"/>
        </w:rPr>
        <w:t>ehicles</w:t>
      </w:r>
      <w:proofErr w:type="spellEnd"/>
      <w:r w:rsidRPr="00875B2E">
        <w:rPr>
          <w:lang w:val="en-US"/>
        </w:rPr>
        <w:t xml:space="preserve"> </w:t>
      </w:r>
      <w:r w:rsidRPr="00875B2E">
        <w:rPr>
          <w:strike/>
          <w:lang w:val="en-US"/>
        </w:rPr>
        <w:t xml:space="preserve">can be </w:t>
      </w:r>
      <w:proofErr w:type="spellStart"/>
      <w:r w:rsidRPr="00875B2E">
        <w:rPr>
          <w:strike/>
          <w:lang w:val="en-US"/>
        </w:rPr>
        <w:t>fuelled</w:t>
      </w:r>
      <w:proofErr w:type="spellEnd"/>
      <w:r w:rsidRPr="00875B2E">
        <w:rPr>
          <w:strike/>
          <w:lang w:val="en-US"/>
        </w:rPr>
        <w:t xml:space="preserve"> with both petrol and a gaseous fuel but if the petrol system is fitted for emergency purposes or starting only and the petrol tank cannot contain more than 15 </w:t>
      </w:r>
      <w:proofErr w:type="spellStart"/>
      <w:r w:rsidRPr="00875B2E">
        <w:rPr>
          <w:strike/>
          <w:lang w:val="en-US"/>
        </w:rPr>
        <w:t>litres</w:t>
      </w:r>
      <w:proofErr w:type="spellEnd"/>
      <w:r w:rsidRPr="00875B2E">
        <w:rPr>
          <w:strike/>
          <w:lang w:val="en-US"/>
        </w:rPr>
        <w:t xml:space="preserve"> of petrol, they</w:t>
      </w:r>
      <w:r w:rsidRPr="00875B2E">
        <w:rPr>
          <w:lang w:val="en-US"/>
        </w:rPr>
        <w:t xml:space="preserve"> will be regarded for the test as vehicles which can only run a gaseous fuel.”</w:t>
      </w:r>
    </w:p>
    <w:p w:rsidR="001575C6" w:rsidRDefault="001575C6" w:rsidP="001575C6">
      <w:pPr>
        <w:pStyle w:val="SingleTxtG"/>
        <w:rPr>
          <w:b/>
          <w:bCs/>
          <w:iCs/>
          <w:lang w:val="en-US"/>
        </w:rPr>
      </w:pPr>
      <w:r w:rsidRPr="00AB708F">
        <w:rPr>
          <w:b/>
          <w:bCs/>
          <w:iCs/>
          <w:lang w:val="en-US"/>
        </w:rPr>
        <w:t>In the 07 Series of Amendments only</w:t>
      </w:r>
    </w:p>
    <w:p w:rsidR="001575C6" w:rsidRPr="00875B2E" w:rsidRDefault="001575C6" w:rsidP="001575C6">
      <w:pPr>
        <w:pStyle w:val="SingleTxtG"/>
        <w:rPr>
          <w:i/>
          <w:lang w:val="en-US"/>
        </w:rPr>
      </w:pPr>
      <w:r>
        <w:rPr>
          <w:i/>
          <w:lang w:val="en-US"/>
        </w:rPr>
        <w:t>P</w:t>
      </w:r>
      <w:r w:rsidRPr="00875B2E">
        <w:rPr>
          <w:i/>
          <w:lang w:val="en-US"/>
        </w:rPr>
        <w:t>aragraph 1. of Appendix 6</w:t>
      </w:r>
      <w:r>
        <w:rPr>
          <w:i/>
          <w:lang w:val="en-US"/>
        </w:rPr>
        <w:t>,</w:t>
      </w:r>
      <w:r w:rsidRPr="00875B2E">
        <w:rPr>
          <w:i/>
          <w:lang w:val="en-US"/>
        </w:rPr>
        <w:t xml:space="preserve"> </w:t>
      </w:r>
      <w:r w:rsidRPr="00324225">
        <w:rPr>
          <w:lang w:val="en-US"/>
        </w:rPr>
        <w:t xml:space="preserve">amend </w:t>
      </w:r>
      <w:r w:rsidRPr="00875B2E">
        <w:rPr>
          <w:lang w:val="en-US"/>
        </w:rPr>
        <w:t>to read:</w:t>
      </w:r>
    </w:p>
    <w:p w:rsidR="001575C6" w:rsidRPr="00875B2E" w:rsidRDefault="001575C6" w:rsidP="001575C6">
      <w:pPr>
        <w:pStyle w:val="SingleTxtG"/>
        <w:rPr>
          <w:lang w:val="en-US"/>
        </w:rPr>
      </w:pPr>
      <w:r w:rsidRPr="00002065">
        <w:t>“</w:t>
      </w:r>
      <w:bookmarkStart w:id="1" w:name="_Toc392497037"/>
      <w:bookmarkStart w:id="2" w:name="_Toc407097362"/>
      <w:r w:rsidRPr="00875B2E">
        <w:rPr>
          <w:lang w:val="en-US"/>
        </w:rPr>
        <w:t>1.</w:t>
      </w:r>
      <w:r w:rsidRPr="00875B2E">
        <w:rPr>
          <w:lang w:val="en-US"/>
        </w:rPr>
        <w:tab/>
      </w:r>
      <w:r>
        <w:rPr>
          <w:lang w:val="en-US"/>
        </w:rPr>
        <w:tab/>
      </w:r>
      <w:r w:rsidRPr="00875B2E">
        <w:rPr>
          <w:lang w:val="en-US"/>
        </w:rPr>
        <w:t>Introduction</w:t>
      </w:r>
      <w:bookmarkEnd w:id="1"/>
      <w:bookmarkEnd w:id="2"/>
    </w:p>
    <w:p w:rsidR="001575C6" w:rsidRPr="00875B2E" w:rsidRDefault="001575C6" w:rsidP="001575C6">
      <w:pPr>
        <w:pStyle w:val="SingleTxtG"/>
        <w:ind w:left="2268"/>
        <w:rPr>
          <w:lang w:val="en-US"/>
        </w:rPr>
      </w:pPr>
      <w:bookmarkStart w:id="3" w:name="_Toc392497038"/>
      <w:bookmarkStart w:id="4" w:name="_Toc407097363"/>
      <w:r w:rsidRPr="00875B2E">
        <w:rPr>
          <w:lang w:val="en-US"/>
        </w:rPr>
        <w:t>This appendix sets out the requirements for vehicles that rely on the use of a reagent for the after-treatment system in order to reduce emissions.</w:t>
      </w:r>
      <w:bookmarkEnd w:id="3"/>
      <w:bookmarkEnd w:id="4"/>
      <w:r w:rsidRPr="00875B2E">
        <w:rPr>
          <w:lang w:val="en-US"/>
        </w:rPr>
        <w:t xml:space="preserve"> Every reference in this </w:t>
      </w:r>
      <w:r w:rsidRPr="00875B2E">
        <w:rPr>
          <w:strike/>
          <w:lang w:val="en-US"/>
        </w:rPr>
        <w:t xml:space="preserve">Annex </w:t>
      </w:r>
      <w:r w:rsidRPr="00875B2E">
        <w:rPr>
          <w:b/>
          <w:lang w:val="en-US"/>
        </w:rPr>
        <w:t xml:space="preserve">appendix </w:t>
      </w:r>
      <w:r w:rsidRPr="00875B2E">
        <w:rPr>
          <w:lang w:val="en-US"/>
        </w:rPr>
        <w:t>to 'reagent tank' shall be understood as also applying to other containers in which a reagent is stored</w:t>
      </w:r>
    </w:p>
    <w:p w:rsidR="001575C6" w:rsidRDefault="001575C6" w:rsidP="001575C6">
      <w:pPr>
        <w:pStyle w:val="SingleTxtG"/>
        <w:ind w:left="1701" w:firstLine="567"/>
        <w:rPr>
          <w:i/>
          <w:lang w:val="en-US"/>
        </w:rPr>
      </w:pPr>
      <w:r w:rsidRPr="00875B2E">
        <w:rPr>
          <w:lang w:val="en-US"/>
        </w:rPr>
        <w:t>…”</w:t>
      </w:r>
    </w:p>
    <w:p w:rsidR="001575C6" w:rsidRPr="00875B2E" w:rsidRDefault="001575C6" w:rsidP="001575C6">
      <w:pPr>
        <w:pStyle w:val="SingleTxtG"/>
        <w:rPr>
          <w:lang w:val="en-US"/>
        </w:rPr>
      </w:pPr>
      <w:r w:rsidRPr="00875B2E">
        <w:rPr>
          <w:i/>
          <w:lang w:val="en-US"/>
        </w:rPr>
        <w:t>Annex 1</w:t>
      </w:r>
      <w:r>
        <w:rPr>
          <w:i/>
          <w:lang w:val="en-US"/>
        </w:rPr>
        <w:t>,</w:t>
      </w:r>
      <w:r w:rsidRPr="00875B2E">
        <w:rPr>
          <w:i/>
          <w:lang w:val="en-US"/>
        </w:rPr>
        <w:t xml:space="preserve"> paragraph 3.</w:t>
      </w:r>
      <w:r>
        <w:rPr>
          <w:i/>
          <w:lang w:val="en-US"/>
        </w:rPr>
        <w:t>,</w:t>
      </w:r>
      <w:r w:rsidRPr="00875B2E">
        <w:rPr>
          <w:i/>
          <w:lang w:val="en-US"/>
        </w:rPr>
        <w:t xml:space="preserve"> footnote 8, </w:t>
      </w:r>
      <w:r w:rsidRPr="00324225">
        <w:rPr>
          <w:lang w:val="en-US"/>
        </w:rPr>
        <w:t xml:space="preserve">amend </w:t>
      </w:r>
      <w:r w:rsidRPr="007D3BE9">
        <w:rPr>
          <w:lang w:val="en-US"/>
        </w:rPr>
        <w:t>to read:</w:t>
      </w:r>
    </w:p>
    <w:p w:rsidR="001575C6" w:rsidRPr="00875B2E" w:rsidRDefault="001575C6" w:rsidP="001575C6">
      <w:pPr>
        <w:pStyle w:val="SingleTxtG"/>
        <w:ind w:left="2268" w:hanging="1134"/>
        <w:rPr>
          <w:lang w:val="en-US"/>
        </w:rPr>
      </w:pPr>
      <w:r w:rsidRPr="00875B2E">
        <w:rPr>
          <w:lang w:val="en-US"/>
        </w:rPr>
        <w:t>“(8)</w:t>
      </w:r>
      <w:r w:rsidRPr="00875B2E">
        <w:rPr>
          <w:lang w:val="en-US"/>
        </w:rPr>
        <w:tab/>
      </w:r>
      <w:r w:rsidRPr="008729A5">
        <w:rPr>
          <w:lang w:val="en-US"/>
        </w:rPr>
        <w:t>Mono</w:t>
      </w:r>
      <w:r w:rsidRPr="00875B2E">
        <w:rPr>
          <w:b/>
          <w:bCs/>
          <w:lang w:val="en-US"/>
        </w:rPr>
        <w:t>-fuel gas</w:t>
      </w:r>
      <w:r w:rsidRPr="00875B2E">
        <w:rPr>
          <w:lang w:val="en-US"/>
        </w:rPr>
        <w:t xml:space="preserve"> </w:t>
      </w:r>
      <w:proofErr w:type="spellStart"/>
      <w:r w:rsidRPr="00875B2E">
        <w:rPr>
          <w:b/>
          <w:bCs/>
          <w:lang w:val="en-US"/>
        </w:rPr>
        <w:t>v</w:t>
      </w:r>
      <w:r w:rsidRPr="00875B2E">
        <w:rPr>
          <w:strike/>
          <w:lang w:val="en-US"/>
        </w:rPr>
        <w:t>V</w:t>
      </w:r>
      <w:r w:rsidRPr="00875B2E">
        <w:rPr>
          <w:lang w:val="en-US"/>
        </w:rPr>
        <w:t>ehicles</w:t>
      </w:r>
      <w:proofErr w:type="spellEnd"/>
      <w:r w:rsidRPr="00875B2E">
        <w:rPr>
          <w:lang w:val="en-US"/>
        </w:rPr>
        <w:t xml:space="preserve"> </w:t>
      </w:r>
      <w:r w:rsidRPr="00875B2E">
        <w:rPr>
          <w:strike/>
          <w:lang w:val="en-US"/>
        </w:rPr>
        <w:t xml:space="preserve">can be </w:t>
      </w:r>
      <w:proofErr w:type="spellStart"/>
      <w:r w:rsidRPr="00875B2E">
        <w:rPr>
          <w:strike/>
          <w:lang w:val="en-US"/>
        </w:rPr>
        <w:t>fuelled</w:t>
      </w:r>
      <w:proofErr w:type="spellEnd"/>
      <w:r w:rsidRPr="00875B2E">
        <w:rPr>
          <w:strike/>
          <w:lang w:val="en-US"/>
        </w:rPr>
        <w:t xml:space="preserve"> with both petrol and a gaseous fuel but if the petrol system is fitted for emergency purposes or starting only and the petrol tank cannot contain more than 15 </w:t>
      </w:r>
      <w:proofErr w:type="spellStart"/>
      <w:r w:rsidRPr="00875B2E">
        <w:rPr>
          <w:strike/>
          <w:lang w:val="en-US"/>
        </w:rPr>
        <w:t>litres</w:t>
      </w:r>
      <w:proofErr w:type="spellEnd"/>
      <w:r w:rsidRPr="00875B2E">
        <w:rPr>
          <w:strike/>
          <w:lang w:val="en-US"/>
        </w:rPr>
        <w:t xml:space="preserve"> of petrol, they</w:t>
      </w:r>
      <w:r w:rsidRPr="00875B2E">
        <w:rPr>
          <w:lang w:val="en-US"/>
        </w:rPr>
        <w:t xml:space="preserve"> will be regarded for the test as vehicles which can only run a gaseous fuel.”</w:t>
      </w:r>
    </w:p>
    <w:p w:rsidR="001575C6" w:rsidRPr="00AE1337" w:rsidRDefault="001575C6" w:rsidP="001575C6">
      <w:pPr>
        <w:pStyle w:val="HChG"/>
      </w:pPr>
      <w:r>
        <w:rPr>
          <w:lang w:val="en-US"/>
        </w:rPr>
        <w:tab/>
      </w:r>
      <w:r w:rsidRPr="00697A82">
        <w:rPr>
          <w:lang w:val="en-US"/>
        </w:rPr>
        <w:t>II.</w:t>
      </w:r>
      <w:r w:rsidRPr="00697A82">
        <w:rPr>
          <w:lang w:val="en-US"/>
        </w:rPr>
        <w:tab/>
        <w:t>Justification</w:t>
      </w:r>
    </w:p>
    <w:p w:rsidR="001575C6" w:rsidRPr="00875B2E" w:rsidRDefault="001575C6" w:rsidP="001575C6">
      <w:pPr>
        <w:pStyle w:val="SingleTxtG"/>
        <w:rPr>
          <w:lang w:val="en-US"/>
        </w:rPr>
      </w:pPr>
      <w:r>
        <w:rPr>
          <w:lang w:val="en-US"/>
        </w:rPr>
        <w:t>1.</w:t>
      </w:r>
      <w:r>
        <w:rPr>
          <w:lang w:val="en-US"/>
        </w:rPr>
        <w:tab/>
      </w:r>
      <w:r w:rsidRPr="00875B2E">
        <w:rPr>
          <w:lang w:val="en-US"/>
        </w:rPr>
        <w:t>There is currently no reference to Appendix 6 in the ‘main body’ of UN</w:t>
      </w:r>
      <w:r>
        <w:rPr>
          <w:lang w:val="en-US"/>
        </w:rPr>
        <w:t xml:space="preserve"> </w:t>
      </w:r>
      <w:r w:rsidRPr="00875B2E">
        <w:rPr>
          <w:lang w:val="en-US"/>
        </w:rPr>
        <w:t>R</w:t>
      </w:r>
      <w:r>
        <w:rPr>
          <w:lang w:val="en-US"/>
        </w:rPr>
        <w:t>egulation No.</w:t>
      </w:r>
      <w:r w:rsidRPr="00875B2E">
        <w:rPr>
          <w:lang w:val="en-US"/>
        </w:rPr>
        <w:t xml:space="preserve"> 83 and therefore there is no way of knowing that the requirements of this appendix need to be followed when type approval testing such vehicles.</w:t>
      </w:r>
    </w:p>
    <w:p w:rsidR="001575C6" w:rsidRPr="00875B2E" w:rsidRDefault="001575C6" w:rsidP="001575C6">
      <w:pPr>
        <w:pStyle w:val="SingleTxtG"/>
        <w:rPr>
          <w:lang w:val="en-US"/>
        </w:rPr>
      </w:pPr>
      <w:r w:rsidRPr="00875B2E">
        <w:rPr>
          <w:lang w:val="en-US"/>
        </w:rPr>
        <w:t>2.</w:t>
      </w:r>
      <w:r w:rsidRPr="00875B2E">
        <w:rPr>
          <w:lang w:val="en-US"/>
        </w:rPr>
        <w:tab/>
        <w:t xml:space="preserve">The definition of “mono-fuel gas vehicle” was clarified in working paper </w:t>
      </w:r>
      <w:r>
        <w:rPr>
          <w:lang w:val="en-US"/>
        </w:rPr>
        <w:t>ECE/TRANS/WP.29/</w:t>
      </w:r>
      <w:r w:rsidRPr="00875B2E">
        <w:rPr>
          <w:lang w:val="en-US"/>
        </w:rPr>
        <w:t>GRPE/2018/13 and published in UN</w:t>
      </w:r>
      <w:r>
        <w:rPr>
          <w:lang w:val="en-US"/>
        </w:rPr>
        <w:t xml:space="preserve"> </w:t>
      </w:r>
      <w:r w:rsidRPr="00875B2E">
        <w:rPr>
          <w:lang w:val="en-US"/>
        </w:rPr>
        <w:t>R</w:t>
      </w:r>
      <w:r>
        <w:rPr>
          <w:lang w:val="en-US"/>
        </w:rPr>
        <w:t>egulation No.</w:t>
      </w:r>
      <w:r w:rsidRPr="00875B2E">
        <w:rPr>
          <w:lang w:val="en-US"/>
        </w:rPr>
        <w:t xml:space="preserve"> 83 Revision 4 Amendment 12 and UN</w:t>
      </w:r>
      <w:r>
        <w:rPr>
          <w:lang w:val="en-US"/>
        </w:rPr>
        <w:t xml:space="preserve"> </w:t>
      </w:r>
      <w:r w:rsidRPr="00875B2E">
        <w:rPr>
          <w:lang w:val="en-US"/>
        </w:rPr>
        <w:t>R</w:t>
      </w:r>
      <w:r>
        <w:rPr>
          <w:lang w:val="en-US"/>
        </w:rPr>
        <w:t>egulation No.</w:t>
      </w:r>
      <w:r w:rsidRPr="00875B2E">
        <w:rPr>
          <w:lang w:val="en-US"/>
        </w:rPr>
        <w:t xml:space="preserve"> 83 Revision 5 Amendment 8.</w:t>
      </w:r>
    </w:p>
    <w:p w:rsidR="001575C6" w:rsidRPr="00875B2E" w:rsidRDefault="001575C6" w:rsidP="001575C6">
      <w:pPr>
        <w:pStyle w:val="SingleTxtG"/>
        <w:rPr>
          <w:lang w:val="en-US"/>
        </w:rPr>
      </w:pPr>
      <w:r w:rsidRPr="00875B2E">
        <w:rPr>
          <w:lang w:val="en-US"/>
        </w:rPr>
        <w:t xml:space="preserve">3. </w:t>
      </w:r>
      <w:r w:rsidRPr="00875B2E">
        <w:rPr>
          <w:lang w:val="en-US"/>
        </w:rPr>
        <w:tab/>
        <w:t>A further reading of the Regulation however revealed that despite the existence of a definition, the content of this definition has been used in several places rather than using the defined term.</w:t>
      </w:r>
    </w:p>
    <w:p w:rsidR="001575C6" w:rsidRDefault="001575C6" w:rsidP="001575C6">
      <w:pPr>
        <w:pStyle w:val="SingleTxtG"/>
        <w:rPr>
          <w:lang w:val="en-US"/>
        </w:rPr>
      </w:pPr>
      <w:r w:rsidRPr="00875B2E">
        <w:rPr>
          <w:lang w:val="en-US"/>
        </w:rPr>
        <w:t>4.</w:t>
      </w:r>
      <w:r w:rsidRPr="00875B2E">
        <w:rPr>
          <w:lang w:val="en-US"/>
        </w:rPr>
        <w:tab/>
        <w:t>This proposal would replace those usages with the defined term.</w:t>
      </w:r>
    </w:p>
    <w:p w:rsidR="001575C6" w:rsidRPr="00875B2E" w:rsidRDefault="001575C6" w:rsidP="001575C6">
      <w:pPr>
        <w:pStyle w:val="SingleTxtG"/>
        <w:rPr>
          <w:lang w:val="en-US"/>
        </w:rPr>
      </w:pPr>
      <w:r>
        <w:rPr>
          <w:lang w:val="en-US"/>
        </w:rPr>
        <w:lastRenderedPageBreak/>
        <w:t>4a.</w:t>
      </w:r>
      <w:r>
        <w:rPr>
          <w:lang w:val="en-US"/>
        </w:rPr>
        <w:tab/>
        <w:t>On review of working document 2020/2 2 errors were identified.  In the title of the 5</w:t>
      </w:r>
      <w:r w:rsidRPr="00A9419A">
        <w:rPr>
          <w:vertAlign w:val="superscript"/>
          <w:lang w:val="en-US"/>
        </w:rPr>
        <w:t>th</w:t>
      </w:r>
      <w:r>
        <w:rPr>
          <w:lang w:val="en-US"/>
        </w:rPr>
        <w:t xml:space="preserve"> proposed amendment the paragraph number was incorrectly stated as 5</w:t>
      </w:r>
      <w:r w:rsidRPr="00A9419A">
        <w:rPr>
          <w:lang w:val="en-US"/>
        </w:rPr>
        <w:t>.</w:t>
      </w:r>
      <w:r>
        <w:rPr>
          <w:lang w:val="en-US"/>
        </w:rPr>
        <w:t>3</w:t>
      </w:r>
      <w:r w:rsidRPr="00A9419A">
        <w:rPr>
          <w:lang w:val="en-US"/>
        </w:rPr>
        <w:t>.12.2.5.5.</w:t>
      </w:r>
      <w:r>
        <w:rPr>
          <w:lang w:val="en-US"/>
        </w:rPr>
        <w:t xml:space="preserve"> where it should have been </w:t>
      </w:r>
      <w:r w:rsidRPr="00A9419A">
        <w:rPr>
          <w:lang w:val="en-US"/>
        </w:rPr>
        <w:t>3.2.12.2.5.5.</w:t>
      </w:r>
      <w:r>
        <w:rPr>
          <w:lang w:val="en-US"/>
        </w:rPr>
        <w:t xml:space="preserve">, this has been corrected.  The amendment to paragraph number 5.3.5.1. was included </w:t>
      </w:r>
      <w:proofErr w:type="gramStart"/>
      <w:r>
        <w:rPr>
          <w:lang w:val="en-US"/>
        </w:rPr>
        <w:t>on the basis of</w:t>
      </w:r>
      <w:proofErr w:type="gramEnd"/>
      <w:r>
        <w:rPr>
          <w:lang w:val="en-US"/>
        </w:rPr>
        <w:t xml:space="preserve"> incorrect information and has been removed from the paper.</w:t>
      </w:r>
    </w:p>
    <w:p w:rsidR="001575C6" w:rsidRDefault="001575C6" w:rsidP="001575C6">
      <w:pPr>
        <w:pStyle w:val="SingleTxtG"/>
        <w:rPr>
          <w:lang w:val="en-US"/>
        </w:rPr>
      </w:pPr>
      <w:r w:rsidRPr="00875B2E">
        <w:rPr>
          <w:lang w:val="en-US"/>
        </w:rPr>
        <w:t>5.</w:t>
      </w:r>
      <w:r w:rsidRPr="00875B2E">
        <w:rPr>
          <w:lang w:val="en-US"/>
        </w:rPr>
        <w:tab/>
        <w:t>3 references to “Annex” should refer to “Appendix”</w:t>
      </w:r>
    </w:p>
    <w:p w:rsidR="001575C6" w:rsidRPr="00875B2E" w:rsidRDefault="001575C6" w:rsidP="001575C6">
      <w:pPr>
        <w:pStyle w:val="SingleTxtG"/>
        <w:rPr>
          <w:lang w:val="en-US"/>
        </w:rPr>
      </w:pPr>
      <w:r w:rsidRPr="00875B2E">
        <w:rPr>
          <w:lang w:val="en-US"/>
        </w:rPr>
        <w:t>6.</w:t>
      </w:r>
      <w:r w:rsidRPr="00875B2E">
        <w:rPr>
          <w:lang w:val="en-US"/>
        </w:rPr>
        <w:tab/>
        <w:t xml:space="preserve">The specification of the blowers in a SHED facility have been incorrect for some considerable time.  This was noticed in the development of </w:t>
      </w:r>
      <w:r>
        <w:rPr>
          <w:lang w:val="en-US"/>
        </w:rPr>
        <w:t xml:space="preserve">UN </w:t>
      </w:r>
      <w:r w:rsidRPr="00875B2E">
        <w:rPr>
          <w:lang w:val="en-US"/>
        </w:rPr>
        <w:t xml:space="preserve">GTR </w:t>
      </w:r>
      <w:r>
        <w:rPr>
          <w:lang w:val="en-US"/>
        </w:rPr>
        <w:t xml:space="preserve">No. </w:t>
      </w:r>
      <w:r w:rsidRPr="00875B2E">
        <w:rPr>
          <w:lang w:val="en-US"/>
        </w:rPr>
        <w:t>15 and UN</w:t>
      </w:r>
      <w:r>
        <w:rPr>
          <w:lang w:val="en-US"/>
        </w:rPr>
        <w:t xml:space="preserve"> </w:t>
      </w:r>
      <w:r w:rsidRPr="00875B2E">
        <w:rPr>
          <w:lang w:val="en-US"/>
        </w:rPr>
        <w:t>R</w:t>
      </w:r>
      <w:r>
        <w:rPr>
          <w:lang w:val="en-US"/>
        </w:rPr>
        <w:t>egulation No.</w:t>
      </w:r>
      <w:r w:rsidRPr="00875B2E">
        <w:rPr>
          <w:lang w:val="en-US"/>
        </w:rPr>
        <w:t xml:space="preserve"> 83 should be consistent.</w:t>
      </w:r>
    </w:p>
    <w:p w:rsidR="001575C6" w:rsidRDefault="001575C6" w:rsidP="001575C6">
      <w:pPr>
        <w:pStyle w:val="SingleTxtG"/>
        <w:rPr>
          <w:lang w:val="en-US"/>
        </w:rPr>
      </w:pPr>
      <w:r w:rsidRPr="00875B2E">
        <w:rPr>
          <w:lang w:val="en-US"/>
        </w:rPr>
        <w:t>7.</w:t>
      </w:r>
      <w:r w:rsidRPr="00875B2E">
        <w:rPr>
          <w:lang w:val="en-US"/>
        </w:rPr>
        <w:tab/>
        <w:t>One reference in Annex 11 was found to be incorrect.</w:t>
      </w:r>
    </w:p>
    <w:p w:rsidR="00867D0E" w:rsidRPr="00875B2E" w:rsidRDefault="00867D0E" w:rsidP="001575C6">
      <w:pPr>
        <w:pStyle w:val="SingleTxtG"/>
        <w:rPr>
          <w:lang w:val="en-US"/>
        </w:rPr>
      </w:pPr>
      <w:r>
        <w:rPr>
          <w:lang w:val="en-US"/>
        </w:rPr>
        <w:t>8.</w:t>
      </w:r>
      <w:r>
        <w:rPr>
          <w:lang w:val="en-US"/>
        </w:rPr>
        <w:tab/>
      </w:r>
      <w:r w:rsidRPr="00867D0E">
        <w:rPr>
          <w:lang w:val="en-US"/>
        </w:rPr>
        <w:t xml:space="preserve">This document supersedes </w:t>
      </w:r>
      <w:bookmarkStart w:id="5" w:name="_Hlk28003525"/>
      <w:r w:rsidRPr="00867D0E">
        <w:rPr>
          <w:lang w:val="en-US"/>
        </w:rPr>
        <w:t>ECE/TRANS/WP.29/GRPE/2020/2</w:t>
      </w:r>
      <w:bookmarkEnd w:id="5"/>
      <w:r>
        <w:rPr>
          <w:lang w:val="en-US"/>
        </w:rPr>
        <w:t>.</w:t>
      </w:r>
    </w:p>
    <w:p w:rsidR="001F06EB" w:rsidRPr="00867D0E" w:rsidRDefault="00867D0E" w:rsidP="00867D0E">
      <w:pPr>
        <w:spacing w:before="240" w:after="0" w:line="240" w:lineRule="atLeast"/>
        <w:jc w:val="center"/>
        <w:rPr>
          <w:u w:val="single"/>
          <w:lang w:val="en-US"/>
        </w:rPr>
      </w:pPr>
      <w:r>
        <w:rPr>
          <w:u w:val="single"/>
          <w:lang w:val="en-US"/>
        </w:rPr>
        <w:tab/>
      </w:r>
      <w:r>
        <w:rPr>
          <w:u w:val="single"/>
          <w:lang w:val="en-US"/>
        </w:rPr>
        <w:tab/>
      </w:r>
      <w:r>
        <w:rPr>
          <w:u w:val="single"/>
          <w:lang w:val="en-US"/>
        </w:rPr>
        <w:tab/>
      </w:r>
    </w:p>
    <w:sectPr w:rsidR="001F06EB" w:rsidRPr="00867D0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465" w:rsidRDefault="00E42465" w:rsidP="00E42465">
      <w:pPr>
        <w:spacing w:after="0" w:line="240" w:lineRule="auto"/>
      </w:pPr>
      <w:r>
        <w:separator/>
      </w:r>
    </w:p>
  </w:endnote>
  <w:endnote w:type="continuationSeparator" w:id="0">
    <w:p w:rsidR="00E42465" w:rsidRDefault="00E42465" w:rsidP="00E42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465" w:rsidRDefault="00E42465" w:rsidP="00E42465">
      <w:pPr>
        <w:spacing w:after="0" w:line="240" w:lineRule="auto"/>
      </w:pPr>
      <w:r>
        <w:separator/>
      </w:r>
    </w:p>
  </w:footnote>
  <w:footnote w:type="continuationSeparator" w:id="0">
    <w:p w:rsidR="00E42465" w:rsidRDefault="00E42465" w:rsidP="00E42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4423"/>
      <w:gridCol w:w="4649"/>
    </w:tblGrid>
    <w:tr w:rsidR="00E42465" w:rsidRPr="00BD03B2" w:rsidTr="00B71387">
      <w:tc>
        <w:tcPr>
          <w:tcW w:w="4927" w:type="dxa"/>
          <w:tcBorders>
            <w:top w:val="nil"/>
            <w:left w:val="nil"/>
            <w:bottom w:val="nil"/>
            <w:right w:val="nil"/>
          </w:tcBorders>
        </w:tcPr>
        <w:p w:rsidR="00E42465" w:rsidRPr="00BD03B2" w:rsidRDefault="00E42465" w:rsidP="00E42465">
          <w:pPr>
            <w:pStyle w:val="Header"/>
            <w:rPr>
              <w:b/>
              <w:lang w:val="fr-CH"/>
            </w:rPr>
          </w:pPr>
          <w:r w:rsidRPr="00BD03B2">
            <w:rPr>
              <w:lang w:val="fr-CH"/>
            </w:rPr>
            <w:t xml:space="preserve">Note by the </w:t>
          </w:r>
          <w:r>
            <w:rPr>
              <w:lang w:val="fr-CH"/>
            </w:rPr>
            <w:t xml:space="preserve">expert </w:t>
          </w:r>
          <w:proofErr w:type="spellStart"/>
          <w:r>
            <w:rPr>
              <w:lang w:val="fr-CH"/>
            </w:rPr>
            <w:t>from</w:t>
          </w:r>
          <w:proofErr w:type="spellEnd"/>
          <w:r>
            <w:rPr>
              <w:lang w:val="fr-CH"/>
            </w:rPr>
            <w:t xml:space="preserve"> OICA</w:t>
          </w:r>
        </w:p>
      </w:tc>
      <w:tc>
        <w:tcPr>
          <w:tcW w:w="4928" w:type="dxa"/>
          <w:tcBorders>
            <w:top w:val="nil"/>
            <w:left w:val="nil"/>
            <w:bottom w:val="nil"/>
            <w:right w:val="nil"/>
          </w:tcBorders>
        </w:tcPr>
        <w:p w:rsidR="00E42465" w:rsidRPr="00BD03B2" w:rsidRDefault="00E42465" w:rsidP="00E42465">
          <w:pPr>
            <w:pStyle w:val="Header"/>
            <w:ind w:left="1691"/>
          </w:pPr>
          <w:r w:rsidRPr="00BD03B2">
            <w:rPr>
              <w:u w:val="single"/>
            </w:rPr>
            <w:t>Informal document</w:t>
          </w:r>
          <w:r>
            <w:t xml:space="preserve"> </w:t>
          </w:r>
          <w:r w:rsidRPr="00BD03B2">
            <w:t>GRPE-</w:t>
          </w:r>
          <w:r>
            <w:t>80</w:t>
          </w:r>
          <w:r w:rsidRPr="00BD03B2">
            <w:t>-</w:t>
          </w:r>
          <w:r>
            <w:t>07</w:t>
          </w:r>
        </w:p>
        <w:p w:rsidR="00E42465" w:rsidRPr="00376B2B" w:rsidRDefault="00E42465" w:rsidP="00E42465">
          <w:pPr>
            <w:pStyle w:val="Header"/>
            <w:ind w:left="1691"/>
            <w:rPr>
              <w:bCs/>
            </w:rPr>
          </w:pPr>
          <w:r w:rsidRPr="00376B2B">
            <w:rPr>
              <w:bCs/>
            </w:rPr>
            <w:t>80</w:t>
          </w:r>
          <w:r w:rsidRPr="00376B2B">
            <w:rPr>
              <w:bCs/>
              <w:vertAlign w:val="superscript"/>
            </w:rPr>
            <w:t>th</w:t>
          </w:r>
          <w:r w:rsidRPr="00376B2B">
            <w:rPr>
              <w:bCs/>
            </w:rPr>
            <w:t xml:space="preserve"> GRPE, 14-17 January 2020</w:t>
          </w:r>
        </w:p>
        <w:p w:rsidR="00E42465" w:rsidRPr="00BD03B2" w:rsidRDefault="00E42465" w:rsidP="00E42465">
          <w:pPr>
            <w:pStyle w:val="Header"/>
            <w:ind w:left="1691"/>
            <w:rPr>
              <w:b/>
            </w:rPr>
          </w:pPr>
          <w:r>
            <w:t>Agenda item 3(a)</w:t>
          </w:r>
        </w:p>
      </w:tc>
    </w:tr>
  </w:tbl>
  <w:p w:rsidR="00E42465" w:rsidRPr="00BD03B2" w:rsidRDefault="00E42465" w:rsidP="00E42465">
    <w:pPr>
      <w:pStyle w:val="Header"/>
      <w:pBdr>
        <w:bottom w:val="single" w:sz="4" w:space="1" w:color="auto"/>
      </w:pBdr>
      <w:rPr>
        <w:b/>
      </w:rPr>
    </w:pPr>
  </w:p>
  <w:p w:rsidR="00E42465" w:rsidRDefault="00E42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456B8"/>
    <w:multiLevelType w:val="hybridMultilevel"/>
    <w:tmpl w:val="8A042FD6"/>
    <w:lvl w:ilvl="0" w:tplc="FDC2BBD0">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D94"/>
    <w:rsid w:val="000F4D94"/>
    <w:rsid w:val="001575C6"/>
    <w:rsid w:val="001871A9"/>
    <w:rsid w:val="001F06EB"/>
    <w:rsid w:val="00376B2B"/>
    <w:rsid w:val="00867D0E"/>
    <w:rsid w:val="008A506C"/>
    <w:rsid w:val="009B6918"/>
    <w:rsid w:val="00C80775"/>
    <w:rsid w:val="00E4246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5181C62-4AD8-43CA-B86D-4AC5A4BE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575C6"/>
    <w:pPr>
      <w:suppressAutoHyphens/>
      <w:spacing w:after="120" w:line="240" w:lineRule="atLeast"/>
      <w:ind w:left="1134" w:right="1134"/>
      <w:jc w:val="both"/>
    </w:pPr>
    <w:rPr>
      <w:rFonts w:ascii="Times New Roman" w:eastAsia="Times New Roman" w:hAnsi="Times New Roman" w:cs="Times New Roman"/>
      <w:sz w:val="20"/>
      <w:szCs w:val="20"/>
      <w:lang w:val="en-GB" w:eastAsia="fr-FR"/>
    </w:rPr>
  </w:style>
  <w:style w:type="paragraph" w:customStyle="1" w:styleId="HChG">
    <w:name w:val="_ H _Ch_G"/>
    <w:basedOn w:val="Normal"/>
    <w:next w:val="Normal"/>
    <w:link w:val="HChGChar"/>
    <w:qFormat/>
    <w:rsid w:val="001575C6"/>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fr-FR"/>
    </w:rPr>
  </w:style>
  <w:style w:type="character" w:customStyle="1" w:styleId="SingleTxtGChar">
    <w:name w:val="_ Single Txt_G Char"/>
    <w:link w:val="SingleTxtG"/>
    <w:qFormat/>
    <w:rsid w:val="001575C6"/>
    <w:rPr>
      <w:rFonts w:ascii="Times New Roman" w:eastAsia="Times New Roman" w:hAnsi="Times New Roman" w:cs="Times New Roman"/>
      <w:sz w:val="20"/>
      <w:szCs w:val="20"/>
      <w:lang w:val="en-GB" w:eastAsia="fr-FR"/>
    </w:rPr>
  </w:style>
  <w:style w:type="character" w:customStyle="1" w:styleId="HChGChar">
    <w:name w:val="_ H _Ch_G Char"/>
    <w:link w:val="HChG"/>
    <w:rsid w:val="001575C6"/>
    <w:rPr>
      <w:rFonts w:ascii="Times New Roman" w:eastAsia="Times New Roman" w:hAnsi="Times New Roman" w:cs="Times New Roman"/>
      <w:b/>
      <w:sz w:val="28"/>
      <w:szCs w:val="20"/>
      <w:lang w:val="en-GB" w:eastAsia="fr-FR"/>
    </w:rPr>
  </w:style>
  <w:style w:type="paragraph" w:styleId="Header">
    <w:name w:val="header"/>
    <w:aliases w:val="6_G"/>
    <w:basedOn w:val="Normal"/>
    <w:link w:val="HeaderChar"/>
    <w:unhideWhenUsed/>
    <w:rsid w:val="00E42465"/>
    <w:pPr>
      <w:tabs>
        <w:tab w:val="center" w:pos="4513"/>
        <w:tab w:val="right" w:pos="9026"/>
      </w:tabs>
      <w:spacing w:after="0" w:line="240" w:lineRule="auto"/>
    </w:pPr>
  </w:style>
  <w:style w:type="character" w:customStyle="1" w:styleId="HeaderChar">
    <w:name w:val="Header Char"/>
    <w:aliases w:val="6_G Char"/>
    <w:basedOn w:val="DefaultParagraphFont"/>
    <w:link w:val="Header"/>
    <w:rsid w:val="00E42465"/>
  </w:style>
  <w:style w:type="paragraph" w:styleId="Footer">
    <w:name w:val="footer"/>
    <w:basedOn w:val="Normal"/>
    <w:link w:val="FooterChar"/>
    <w:uiPriority w:val="99"/>
    <w:unhideWhenUsed/>
    <w:rsid w:val="00E42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465"/>
  </w:style>
  <w:style w:type="table" w:styleId="TableGrid">
    <w:name w:val="Table Grid"/>
    <w:basedOn w:val="TableNormal"/>
    <w:rsid w:val="00E42465"/>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832</Words>
  <Characters>4749</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Prigent</dc:creator>
  <cp:keywords/>
  <dc:description/>
  <cp:lastModifiedBy>Francois Cuenot</cp:lastModifiedBy>
  <cp:revision>7</cp:revision>
  <dcterms:created xsi:type="dcterms:W3CDTF">2019-11-21T09:17:00Z</dcterms:created>
  <dcterms:modified xsi:type="dcterms:W3CDTF">2019-12-23T14:30:00Z</dcterms:modified>
</cp:coreProperties>
</file>