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20EA" w14:textId="2489A579" w:rsidR="00604269" w:rsidRPr="002B009C" w:rsidRDefault="00604269" w:rsidP="00604269">
      <w:pPr>
        <w:pStyle w:val="HChG"/>
        <w:spacing w:before="120"/>
        <w:ind w:left="567" w:firstLine="0"/>
        <w:jc w:val="both"/>
      </w:pPr>
      <w:r w:rsidRPr="002B009C">
        <w:t xml:space="preserve">Proposal for amendments to </w:t>
      </w:r>
      <w:r w:rsidR="0085003D" w:rsidRPr="002B009C">
        <w:t xml:space="preserve">Supplement </w:t>
      </w:r>
      <w:r w:rsidR="00A51E81" w:rsidRPr="002B009C">
        <w:t xml:space="preserve">5 </w:t>
      </w:r>
      <w:r w:rsidR="0085003D" w:rsidRPr="002B009C">
        <w:t>to the 03 series of amendments to UN Regulation No. 24 (Visible pollutants, measurement of power of Compression Ignition engine (Diesel smoke))</w:t>
      </w:r>
    </w:p>
    <w:p w14:paraId="4CEFDBE2" w14:textId="1E117EEF" w:rsidR="00604269" w:rsidRPr="002B009C" w:rsidRDefault="00604269" w:rsidP="00BD34F1">
      <w:pPr>
        <w:pStyle w:val="SingleTxtG"/>
        <w:ind w:left="0"/>
        <w:rPr>
          <w:lang w:val="en-GB"/>
        </w:rPr>
      </w:pPr>
      <w:r w:rsidRPr="002B009C">
        <w:rPr>
          <w:lang w:val="en-GB"/>
        </w:rPr>
        <w:t xml:space="preserve">The text reproduced below was prepared by the expert from CITA proposing to amend the </w:t>
      </w:r>
      <w:r w:rsidR="0085003D" w:rsidRPr="002B009C">
        <w:rPr>
          <w:lang w:val="en-GB"/>
        </w:rPr>
        <w:t xml:space="preserve">Supplement </w:t>
      </w:r>
      <w:r w:rsidR="00C47489" w:rsidRPr="002B009C">
        <w:rPr>
          <w:lang w:val="en-GB"/>
        </w:rPr>
        <w:t>5</w:t>
      </w:r>
      <w:r w:rsidR="0085003D" w:rsidRPr="002B009C">
        <w:rPr>
          <w:lang w:val="en-GB"/>
        </w:rPr>
        <w:t xml:space="preserve"> to the 03 series of amendments to UN Regulation No. 24 </w:t>
      </w:r>
      <w:r w:rsidR="001A4200" w:rsidRPr="002B009C">
        <w:rPr>
          <w:lang w:val="en-GB"/>
        </w:rPr>
        <w:t>(</w:t>
      </w:r>
      <w:r w:rsidR="0085003D" w:rsidRPr="002B009C">
        <w:rPr>
          <w:lang w:val="en-GB"/>
        </w:rPr>
        <w:t>ECE/TRANS/WP.29/2018/143</w:t>
      </w:r>
      <w:r w:rsidR="001A4200" w:rsidRPr="002B009C">
        <w:rPr>
          <w:lang w:val="en-GB"/>
        </w:rPr>
        <w:t>)</w:t>
      </w:r>
      <w:r w:rsidRPr="002B009C">
        <w:rPr>
          <w:lang w:val="en-GB"/>
        </w:rPr>
        <w:t xml:space="preserve">, </w:t>
      </w:r>
      <w:r w:rsidR="00BD34F1" w:rsidRPr="002B009C">
        <w:rPr>
          <w:lang w:val="en-GB"/>
        </w:rPr>
        <w:t>to include provisions to define a reference value for particle number.</w:t>
      </w:r>
    </w:p>
    <w:p w14:paraId="28D34538" w14:textId="77777777" w:rsidR="0085003D" w:rsidRPr="002B009C" w:rsidRDefault="0085003D" w:rsidP="00604269">
      <w:pPr>
        <w:pStyle w:val="SingleTxtG"/>
        <w:rPr>
          <w:lang w:val="en-GB"/>
        </w:rPr>
      </w:pPr>
    </w:p>
    <w:p w14:paraId="4C134032" w14:textId="77777777" w:rsidR="00604269" w:rsidRPr="002B009C" w:rsidRDefault="00604269" w:rsidP="00604269">
      <w:pPr>
        <w:pStyle w:val="HChG"/>
        <w:tabs>
          <w:tab w:val="clear" w:pos="851"/>
        </w:tabs>
        <w:spacing w:before="240"/>
        <w:ind w:hanging="567"/>
      </w:pPr>
      <w:r w:rsidRPr="002B009C">
        <w:t>I.</w:t>
      </w:r>
      <w:r w:rsidRPr="002B009C">
        <w:tab/>
        <w:t>Proposal</w:t>
      </w:r>
    </w:p>
    <w:p w14:paraId="156E5413" w14:textId="69DE1BF8" w:rsidR="00BD34F1" w:rsidRPr="002B009C" w:rsidRDefault="00BD34F1" w:rsidP="00BD34F1">
      <w:pPr>
        <w:pStyle w:val="SingleTxtG"/>
        <w:ind w:left="0"/>
        <w:rPr>
          <w:lang w:val="en-GB"/>
        </w:rPr>
      </w:pPr>
      <w:r w:rsidRPr="002B009C">
        <w:rPr>
          <w:lang w:val="en-GB"/>
        </w:rPr>
        <w:t>Paragraph 4.1.4, amend to read:</w:t>
      </w:r>
    </w:p>
    <w:p w14:paraId="7E837D64" w14:textId="77777777" w:rsidR="00BD34F1" w:rsidRPr="002B009C" w:rsidRDefault="00BD34F1" w:rsidP="00BD34F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  <w:lang w:val="en-GB" w:eastAsia="zh-CN"/>
        </w:rPr>
      </w:pPr>
    </w:p>
    <w:p w14:paraId="6BD0E246" w14:textId="097D936D" w:rsidR="00BD34F1" w:rsidRPr="002B009C" w:rsidRDefault="00BD34F1" w:rsidP="00341895">
      <w:pPr>
        <w:pStyle w:val="SingleTxtG"/>
        <w:ind w:left="0" w:right="4"/>
        <w:rPr>
          <w:lang w:val="en-GB"/>
        </w:rPr>
      </w:pPr>
      <w:r w:rsidRPr="002B009C">
        <w:rPr>
          <w:lang w:val="en-GB"/>
        </w:rPr>
        <w:t>“4.1.4</w:t>
      </w:r>
      <w:r w:rsidRPr="002B009C">
        <w:rPr>
          <w:lang w:val="en-GB"/>
        </w:rPr>
        <w:tab/>
        <w:t xml:space="preserve">When determining the emission of visible pollutants, the measurements shall be made by the two methods described in annexes 4 and 5 to this Regulation relating </w:t>
      </w:r>
      <w:r w:rsidRPr="002B009C">
        <w:rPr>
          <w:strike/>
          <w:lang w:val="en-GB"/>
        </w:rPr>
        <w:t>respectively</w:t>
      </w:r>
      <w:r w:rsidRPr="002B009C">
        <w:rPr>
          <w:lang w:val="en-GB"/>
        </w:rPr>
        <w:t xml:space="preserve"> to tests at steady speeds and to </w:t>
      </w:r>
      <w:r w:rsidR="00A24A7C" w:rsidRPr="002C7BA2">
        <w:rPr>
          <w:b/>
          <w:lang w:val="en-GB"/>
        </w:rPr>
        <w:t>reference</w:t>
      </w:r>
      <w:r w:rsidR="00A24A7C">
        <w:rPr>
          <w:lang w:val="en-GB"/>
        </w:rPr>
        <w:t xml:space="preserve"> </w:t>
      </w:r>
      <w:r w:rsidRPr="002B009C">
        <w:rPr>
          <w:lang w:val="en-GB"/>
        </w:rPr>
        <w:t xml:space="preserve">tests </w:t>
      </w:r>
      <w:r w:rsidRPr="00A24A7C">
        <w:rPr>
          <w:strike/>
          <w:lang w:val="en-GB"/>
        </w:rPr>
        <w:t>under free acceleration</w:t>
      </w:r>
      <w:r w:rsidRPr="002B009C">
        <w:rPr>
          <w:lang w:val="en-GB"/>
        </w:rPr>
        <w:t>.”</w:t>
      </w:r>
    </w:p>
    <w:p w14:paraId="671D6161" w14:textId="77777777" w:rsidR="00BD34F1" w:rsidRPr="002B009C" w:rsidRDefault="00BD34F1" w:rsidP="001A2DF7">
      <w:pPr>
        <w:pStyle w:val="SingleTxtG"/>
        <w:rPr>
          <w:i/>
          <w:iCs/>
          <w:lang w:val="en-GB"/>
        </w:rPr>
      </w:pPr>
    </w:p>
    <w:p w14:paraId="1992A99D" w14:textId="08E3E718" w:rsidR="001A2DF7" w:rsidRPr="002B009C" w:rsidRDefault="00D10EF5" w:rsidP="00BD34F1">
      <w:pPr>
        <w:pStyle w:val="SingleTxtG"/>
        <w:ind w:left="0"/>
        <w:rPr>
          <w:lang w:val="en-GB"/>
        </w:rPr>
      </w:pPr>
      <w:r w:rsidRPr="002B009C">
        <w:rPr>
          <w:lang w:val="en-GB"/>
        </w:rPr>
        <w:t xml:space="preserve">Paragraph </w:t>
      </w:r>
      <w:r w:rsidR="009634A1" w:rsidRPr="002B009C">
        <w:rPr>
          <w:lang w:val="en-GB"/>
        </w:rPr>
        <w:t>5.</w:t>
      </w:r>
      <w:r w:rsidR="00BD34F1" w:rsidRPr="002B009C">
        <w:rPr>
          <w:lang w:val="en-GB"/>
        </w:rPr>
        <w:t>4.3</w:t>
      </w:r>
      <w:r w:rsidRPr="002B009C">
        <w:rPr>
          <w:lang w:val="en-GB"/>
        </w:rPr>
        <w:t>, amend to read:</w:t>
      </w:r>
    </w:p>
    <w:p w14:paraId="4C88D6F7" w14:textId="45E58E25" w:rsidR="002D794F" w:rsidRPr="002C7BA2" w:rsidRDefault="001A2DF7" w:rsidP="00341895">
      <w:pPr>
        <w:pStyle w:val="SingleTxtG"/>
        <w:ind w:left="0" w:right="4"/>
        <w:rPr>
          <w:b/>
          <w:lang w:val="en-GB"/>
        </w:rPr>
      </w:pPr>
      <w:r w:rsidRPr="002B009C">
        <w:rPr>
          <w:lang w:val="en-GB"/>
        </w:rPr>
        <w:t>“</w:t>
      </w:r>
      <w:r w:rsidR="009634A1" w:rsidRPr="002B009C">
        <w:rPr>
          <w:lang w:val="en-GB"/>
        </w:rPr>
        <w:t>5.</w:t>
      </w:r>
      <w:r w:rsidR="00BD34F1" w:rsidRPr="002B009C">
        <w:rPr>
          <w:lang w:val="en-GB"/>
        </w:rPr>
        <w:t>4.3.</w:t>
      </w:r>
      <w:r w:rsidR="009634A1" w:rsidRPr="002B009C">
        <w:rPr>
          <w:lang w:val="en-GB"/>
        </w:rPr>
        <w:t xml:space="preserve"> </w:t>
      </w:r>
      <w:r w:rsidR="009634A1" w:rsidRPr="002B009C">
        <w:rPr>
          <w:lang w:val="en-GB"/>
        </w:rPr>
        <w:tab/>
      </w:r>
      <w:r w:rsidR="00BD34F1" w:rsidRPr="002B009C">
        <w:rPr>
          <w:lang w:val="en-GB"/>
        </w:rPr>
        <w:t>The followin</w:t>
      </w:r>
      <w:bookmarkStart w:id="0" w:name="_GoBack"/>
      <w:bookmarkEnd w:id="0"/>
      <w:r w:rsidR="00BD34F1" w:rsidRPr="002B009C">
        <w:rPr>
          <w:lang w:val="en-GB"/>
        </w:rPr>
        <w:t xml:space="preserve">g additional symbols, a rectangle surrounding a figure expressing in m-1 the absorption coefficient obtained during the tests under free acceleration; </w:t>
      </w:r>
      <w:r w:rsidR="00BD34F1" w:rsidRPr="002C7BA2">
        <w:rPr>
          <w:b/>
          <w:lang w:val="en-GB"/>
        </w:rPr>
        <w:t xml:space="preserve">and an oval surrounding a figure expressing in </w:t>
      </w:r>
      <w:r w:rsidR="00A24A7C" w:rsidRPr="002C7BA2">
        <w:rPr>
          <w:b/>
          <w:lang w:val="en-GB"/>
        </w:rPr>
        <w:t>cm</w:t>
      </w:r>
      <w:r w:rsidR="00A24A7C" w:rsidRPr="002C7BA2">
        <w:rPr>
          <w:b/>
          <w:vertAlign w:val="superscript"/>
          <w:lang w:val="en-GB"/>
        </w:rPr>
        <w:t>-3</w:t>
      </w:r>
      <w:r w:rsidR="00BD34F1" w:rsidRPr="002C7BA2">
        <w:rPr>
          <w:b/>
          <w:lang w:val="en-GB"/>
        </w:rPr>
        <w:t xml:space="preserve"> the particular number measurement, both of them determined at the time of approval by the procedure described in annex 5 of this Regulation.</w:t>
      </w:r>
    </w:p>
    <w:p w14:paraId="146BA669" w14:textId="77777777" w:rsidR="00EF668B" w:rsidRPr="002B009C" w:rsidRDefault="00EF668B" w:rsidP="00EF668B">
      <w:pPr>
        <w:pStyle w:val="SingleTxtG"/>
        <w:ind w:left="0"/>
        <w:rPr>
          <w:lang w:val="en-GB"/>
        </w:rPr>
      </w:pPr>
    </w:p>
    <w:p w14:paraId="6DBD1639" w14:textId="1F1E1416" w:rsidR="002B009C" w:rsidRPr="002B009C" w:rsidRDefault="002B009C" w:rsidP="002B009C">
      <w:pPr>
        <w:pStyle w:val="SingleTxtG"/>
        <w:ind w:left="0"/>
        <w:rPr>
          <w:lang w:val="en-GB"/>
        </w:rPr>
      </w:pPr>
      <w:r w:rsidRPr="002B009C">
        <w:rPr>
          <w:lang w:val="en-GB"/>
        </w:rPr>
        <w:t>Paragraph 8.3.1, amend to read:</w:t>
      </w:r>
    </w:p>
    <w:p w14:paraId="068B3DA7" w14:textId="6878F6E7" w:rsidR="002B009C" w:rsidRPr="002B009C" w:rsidRDefault="002B009C" w:rsidP="00341895">
      <w:pPr>
        <w:pStyle w:val="SingleTxtG"/>
        <w:ind w:left="0" w:right="4"/>
        <w:rPr>
          <w:lang w:val="en-GB"/>
        </w:rPr>
      </w:pPr>
      <w:r w:rsidRPr="002B009C">
        <w:rPr>
          <w:lang w:val="en-GB"/>
        </w:rPr>
        <w:t>“8.3.1</w:t>
      </w:r>
      <w:r w:rsidRPr="002B009C">
        <w:rPr>
          <w:lang w:val="en-GB"/>
        </w:rPr>
        <w:tab/>
        <w:t xml:space="preserve">An engine which has not been run in shall be subjected to the test under free acceleration prescribed in annex 5 to this Regulation. The engine shall be deemed to conform to the approved type if the absorption coefficient determined does not exceed by more than 0.5m-1 the figure shown in the approval mark or document for that engine (see paragraph 8.1 above). </w:t>
      </w:r>
      <w:r w:rsidRPr="002C7BA2">
        <w:rPr>
          <w:b/>
          <w:lang w:val="en-GB"/>
        </w:rPr>
        <w:t xml:space="preserve">Furthermore, the engine will be submitted </w:t>
      </w:r>
      <w:r w:rsidR="00A24A7C" w:rsidRPr="002C7BA2">
        <w:rPr>
          <w:b/>
          <w:lang w:val="en-GB"/>
        </w:rPr>
        <w:t>to</w:t>
      </w:r>
      <w:r w:rsidRPr="002C7BA2">
        <w:rPr>
          <w:b/>
          <w:lang w:val="en-GB"/>
        </w:rPr>
        <w:t xml:space="preserve"> the particle number reference test prescribed in annex 5 to this Regulation. The engine shall be deemed to conform to the approved type if the particle number determined does not exceed by more than [</w:t>
      </w:r>
      <w:r w:rsidR="00A24A7C" w:rsidRPr="002C7BA2">
        <w:rPr>
          <w:b/>
          <w:lang w:val="en-GB"/>
        </w:rPr>
        <w:t>50.000 cm</w:t>
      </w:r>
      <w:r w:rsidR="00A24A7C" w:rsidRPr="002C7BA2">
        <w:rPr>
          <w:b/>
          <w:vertAlign w:val="superscript"/>
          <w:lang w:val="en-GB"/>
        </w:rPr>
        <w:t>-3</w:t>
      </w:r>
      <w:r w:rsidRPr="002C7BA2">
        <w:rPr>
          <w:b/>
          <w:lang w:val="en-GB"/>
        </w:rPr>
        <w:t>] the figure shown in the approval mark or document for that engine (see paragraph 8.1 above)</w:t>
      </w:r>
      <w:r w:rsidRPr="002B009C">
        <w:rPr>
          <w:lang w:val="en-GB"/>
        </w:rPr>
        <w:t>. On the request of the manufacturer, commercially available fuel may be used rather than the reference fuel.”</w:t>
      </w:r>
    </w:p>
    <w:p w14:paraId="35082E21" w14:textId="77777777" w:rsidR="00244292" w:rsidRDefault="00244292" w:rsidP="002B009C">
      <w:pPr>
        <w:pStyle w:val="SingleTxtG"/>
        <w:ind w:left="0"/>
        <w:rPr>
          <w:lang w:val="en-GB"/>
        </w:rPr>
      </w:pPr>
    </w:p>
    <w:p w14:paraId="7B0D398D" w14:textId="499A06EA" w:rsidR="002B009C" w:rsidRPr="002B009C" w:rsidRDefault="002B009C" w:rsidP="002B009C">
      <w:pPr>
        <w:pStyle w:val="SingleTxtG"/>
        <w:ind w:left="0"/>
        <w:rPr>
          <w:lang w:val="en-GB"/>
        </w:rPr>
      </w:pPr>
      <w:r w:rsidRPr="002B009C">
        <w:rPr>
          <w:lang w:val="en-GB"/>
        </w:rPr>
        <w:t>Paragraph 8.3.2, amend to read:</w:t>
      </w:r>
    </w:p>
    <w:p w14:paraId="2C85273A" w14:textId="50B65FF7" w:rsidR="002B009C" w:rsidRDefault="002B009C" w:rsidP="0034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2B009C">
        <w:rPr>
          <w:rFonts w:ascii="Times New Roman" w:eastAsia="Times New Roman" w:hAnsi="Times New Roman"/>
          <w:sz w:val="20"/>
          <w:szCs w:val="20"/>
          <w:lang w:val="en-GB"/>
        </w:rPr>
        <w:t>“8.3.2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ab/>
        <w:t>If the figure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s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 xml:space="preserve"> determined in the test referred to in paragraph 8.3.1 above exceeds by more than 0.5m-l 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for opacity or [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50.000 cm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vertAlign w:val="superscript"/>
          <w:lang w:val="en-GB"/>
        </w:rPr>
        <w:t>-3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] for particle number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>the figure</w:t>
      </w:r>
      <w:r>
        <w:rPr>
          <w:rFonts w:ascii="Times New Roman" w:eastAsia="Times New Roman" w:hAnsi="Times New Roman"/>
          <w:sz w:val="20"/>
          <w:szCs w:val="20"/>
          <w:lang w:val="en-GB"/>
        </w:rPr>
        <w:t>s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 xml:space="preserve"> shown in the approval document for that engine, the engine shall be subjected to the test at steady speeds over the full load curve as prescribed in annex 4 to this Regulation. The emission levels shall not exceed the limits prescribed in annex 7 to this </w:t>
      </w:r>
      <w:r w:rsidRPr="002B009C">
        <w:rPr>
          <w:rFonts w:ascii="Times New Roman" w:hAnsi="Times New Roman"/>
          <w:sz w:val="20"/>
          <w:szCs w:val="20"/>
          <w:lang w:val="en-GB"/>
        </w:rPr>
        <w:t>Regulation.”</w:t>
      </w:r>
    </w:p>
    <w:p w14:paraId="510545A9" w14:textId="19151804" w:rsidR="002B009C" w:rsidRDefault="002B009C" w:rsidP="002B0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59470D52" w14:textId="465A64C8" w:rsidR="00537F27" w:rsidRDefault="00537F27" w:rsidP="00537F27">
      <w:pPr>
        <w:pStyle w:val="SingleTxtG"/>
        <w:ind w:left="0"/>
        <w:rPr>
          <w:lang w:val="en-GB"/>
        </w:rPr>
      </w:pPr>
      <w:r>
        <w:rPr>
          <w:lang w:val="en-GB"/>
        </w:rPr>
        <w:t>Add a new paragraph 14.4.4 to read:</w:t>
      </w:r>
    </w:p>
    <w:p w14:paraId="35F16C3F" w14:textId="079083E4" w:rsidR="00537F27" w:rsidRPr="00537F27" w:rsidRDefault="00537F27" w:rsidP="0034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“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14.4.4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ab/>
        <w:t xml:space="preserve">The following additional symbol an oval surrounding a figure expressing in 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cm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vertAlign w:val="superscript"/>
          <w:lang w:val="en-GB"/>
        </w:rPr>
        <w:t>-3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the particle number determined during the reference, in annex 5 of this Regulation.”</w:t>
      </w:r>
    </w:p>
    <w:p w14:paraId="6D8173FD" w14:textId="4FB827FB" w:rsidR="00537F27" w:rsidRDefault="00537F27" w:rsidP="002B0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66E29F66" w14:textId="1F09F661" w:rsidR="00341895" w:rsidRDefault="00341895" w:rsidP="002B0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5C3DB769" w14:textId="77777777" w:rsidR="00341895" w:rsidRDefault="00341895" w:rsidP="002B00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0D32485C" w14:textId="33E3164B" w:rsidR="00537F27" w:rsidRPr="002B009C" w:rsidRDefault="00537F27" w:rsidP="00537F27">
      <w:pPr>
        <w:pStyle w:val="SingleTxtG"/>
        <w:ind w:left="0"/>
        <w:rPr>
          <w:lang w:val="en-GB"/>
        </w:rPr>
      </w:pPr>
      <w:r w:rsidRPr="002B009C">
        <w:rPr>
          <w:lang w:val="en-GB"/>
        </w:rPr>
        <w:lastRenderedPageBreak/>
        <w:t xml:space="preserve">Paragraph </w:t>
      </w:r>
      <w:r>
        <w:rPr>
          <w:lang w:val="en-GB"/>
        </w:rPr>
        <w:t>17</w:t>
      </w:r>
      <w:r w:rsidRPr="002B009C">
        <w:rPr>
          <w:lang w:val="en-GB"/>
        </w:rPr>
        <w:t>.3.</w:t>
      </w:r>
      <w:r>
        <w:rPr>
          <w:lang w:val="en-GB"/>
        </w:rPr>
        <w:t>1</w:t>
      </w:r>
      <w:r w:rsidRPr="002B009C">
        <w:rPr>
          <w:lang w:val="en-GB"/>
        </w:rPr>
        <w:t>, amend to read:</w:t>
      </w:r>
    </w:p>
    <w:p w14:paraId="2BB80837" w14:textId="0F322CF7" w:rsidR="00537F27" w:rsidRDefault="00537F27" w:rsidP="0034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r w:rsidRPr="00537F27">
        <w:rPr>
          <w:rFonts w:ascii="Times New Roman" w:eastAsia="Times New Roman" w:hAnsi="Times New Roman"/>
          <w:sz w:val="20"/>
          <w:szCs w:val="20"/>
          <w:lang w:val="en-GB"/>
        </w:rPr>
        <w:t>17.3.1 A vehicle with an engine which has not been run-in shall be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>subjected to the test under free acceleration prescribed in annex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>5 to this Regulation. The vehicle shall be deemed to conform to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>the vehicle type approved if the absorption coefficient determined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>does not exceed by more than 0.5 m-l the figure shown in the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 xml:space="preserve">approval mark or document (see paragraph 17.1 </w:t>
      </w:r>
      <w:r w:rsidRPr="00AD152C">
        <w:rPr>
          <w:rFonts w:ascii="Times New Roman" w:eastAsia="Times New Roman" w:hAnsi="Times New Roman"/>
          <w:sz w:val="20"/>
          <w:szCs w:val="20"/>
          <w:lang w:val="en-GB"/>
        </w:rPr>
        <w:t xml:space="preserve">above). 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Furthermore, the engine will be submitted </w:t>
      </w:r>
      <w:r w:rsidR="00966B1D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to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the particle number reference test prescribed in annex 5 to this Regulation. The engine shall be deemed to conform to the approved type if the particle number determined does not exceed by more than [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50.000 cm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vertAlign w:val="superscript"/>
          <w:lang w:val="en-GB"/>
        </w:rPr>
        <w:t>-3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] the figure shown in the approval mark or document for that engine (see paragraph 17.1 above). </w:t>
      </w:r>
      <w:r w:rsidRPr="00AD152C">
        <w:rPr>
          <w:rFonts w:ascii="Times New Roman" w:eastAsia="Times New Roman" w:hAnsi="Times New Roman"/>
          <w:sz w:val="20"/>
          <w:szCs w:val="20"/>
          <w:lang w:val="en-GB"/>
        </w:rPr>
        <w:t>On the request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 xml:space="preserve"> of the manufacturer commercially available fuel may be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>used rather than the reference fuel. In the case of dispute,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 xml:space="preserve">reference fuel </w:t>
      </w:r>
      <w:proofErr w:type="gramStart"/>
      <w:r w:rsidRPr="00537F27">
        <w:rPr>
          <w:rFonts w:ascii="Times New Roman" w:eastAsia="Times New Roman" w:hAnsi="Times New Roman"/>
          <w:sz w:val="20"/>
          <w:szCs w:val="20"/>
          <w:lang w:val="en-GB"/>
        </w:rPr>
        <w:t>has to</w:t>
      </w:r>
      <w:proofErr w:type="gramEnd"/>
      <w:r w:rsidRPr="00537F27">
        <w:rPr>
          <w:rFonts w:ascii="Times New Roman" w:eastAsia="Times New Roman" w:hAnsi="Times New Roman"/>
          <w:sz w:val="20"/>
          <w:szCs w:val="20"/>
          <w:lang w:val="en-GB"/>
        </w:rPr>
        <w:t xml:space="preserve"> be used.</w:t>
      </w:r>
    </w:p>
    <w:p w14:paraId="1C007CDB" w14:textId="29DB08F3" w:rsidR="00537F27" w:rsidRDefault="00537F27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757F44AA" w14:textId="34C09606" w:rsidR="00537F27" w:rsidRPr="002B009C" w:rsidRDefault="00537F27" w:rsidP="00537F27">
      <w:pPr>
        <w:pStyle w:val="SingleTxtG"/>
        <w:ind w:left="0"/>
        <w:rPr>
          <w:lang w:val="en-GB"/>
        </w:rPr>
      </w:pPr>
      <w:r w:rsidRPr="002B009C">
        <w:rPr>
          <w:lang w:val="en-GB"/>
        </w:rPr>
        <w:t xml:space="preserve">Paragraph </w:t>
      </w:r>
      <w:r>
        <w:rPr>
          <w:lang w:val="en-GB"/>
        </w:rPr>
        <w:t>17</w:t>
      </w:r>
      <w:r w:rsidRPr="002B009C">
        <w:rPr>
          <w:lang w:val="en-GB"/>
        </w:rPr>
        <w:t>.3.2, amend to read:</w:t>
      </w:r>
    </w:p>
    <w:p w14:paraId="2E7A2C03" w14:textId="5CF9BB6F" w:rsidR="00537F27" w:rsidRDefault="00537F27" w:rsidP="0034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2B009C">
        <w:rPr>
          <w:rFonts w:ascii="Times New Roman" w:eastAsia="Times New Roman" w:hAnsi="Times New Roman"/>
          <w:sz w:val="20"/>
          <w:szCs w:val="20"/>
          <w:lang w:val="en-GB"/>
        </w:rPr>
        <w:t>“</w:t>
      </w:r>
      <w:r>
        <w:rPr>
          <w:rFonts w:ascii="Times New Roman" w:eastAsia="Times New Roman" w:hAnsi="Times New Roman"/>
          <w:sz w:val="20"/>
          <w:szCs w:val="20"/>
          <w:lang w:val="en-GB"/>
        </w:rPr>
        <w:t>17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>.3.2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ab/>
        <w:t>If the figure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s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 xml:space="preserve"> determined in the test referred to in paragraph </w:t>
      </w:r>
      <w:r>
        <w:rPr>
          <w:rFonts w:ascii="Times New Roman" w:eastAsia="Times New Roman" w:hAnsi="Times New Roman"/>
          <w:sz w:val="20"/>
          <w:szCs w:val="20"/>
          <w:lang w:val="en-GB"/>
        </w:rPr>
        <w:t>17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 xml:space="preserve">.3.1 above exceeds by more than 0.5m-l 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for opacity or [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50.000 cm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vertAlign w:val="superscript"/>
          <w:lang w:val="en-GB"/>
        </w:rPr>
        <w:t>-3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] for particle number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>the figure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s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 xml:space="preserve"> shown in the approval 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mark or 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>document for that engine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(see paragraph 17.1 above)</w:t>
      </w:r>
      <w:r w:rsidRPr="002B009C">
        <w:rPr>
          <w:rFonts w:ascii="Times New Roman" w:eastAsia="Times New Roman" w:hAnsi="Times New Roman"/>
          <w:sz w:val="20"/>
          <w:szCs w:val="20"/>
          <w:lang w:val="en-GB"/>
        </w:rPr>
        <w:t xml:space="preserve"> the engine shall be subjected to the test at steady speeds over the full load curve as prescribed in annex 4 to this Regulation. The emission levels shall not exceed the limits prescribed in annex 7 to this </w:t>
      </w:r>
      <w:r w:rsidRPr="002B009C">
        <w:rPr>
          <w:rFonts w:ascii="Times New Roman" w:hAnsi="Times New Roman"/>
          <w:sz w:val="20"/>
          <w:szCs w:val="20"/>
          <w:lang w:val="en-GB"/>
        </w:rPr>
        <w:t>Regulation.”</w:t>
      </w:r>
    </w:p>
    <w:p w14:paraId="52F3139D" w14:textId="7281969F" w:rsidR="00537F27" w:rsidRDefault="00537F27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07D10163" w14:textId="6F56A209" w:rsidR="00537F27" w:rsidRDefault="00537F27" w:rsidP="00537F27">
      <w:pPr>
        <w:pStyle w:val="SingleTxtG"/>
        <w:ind w:left="0"/>
        <w:rPr>
          <w:lang w:val="en-GB"/>
        </w:rPr>
      </w:pPr>
      <w:r>
        <w:rPr>
          <w:lang w:val="en-GB"/>
        </w:rPr>
        <w:t>Add a new paragraph 23.4.4 to read:</w:t>
      </w:r>
    </w:p>
    <w:p w14:paraId="782EDFEB" w14:textId="7D8CFC0A" w:rsidR="00537F27" w:rsidRPr="00537F27" w:rsidRDefault="00537F27" w:rsidP="0034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“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23.4.4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ab/>
        <w:t xml:space="preserve">The following additional symbol an oval surrounding a figure expressing in 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cm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vertAlign w:val="superscript"/>
          <w:lang w:val="en-GB"/>
        </w:rPr>
        <w:t>-3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the particle number determined during the reference, in annex 5 of this Regulation.”</w:t>
      </w:r>
    </w:p>
    <w:p w14:paraId="707C441A" w14:textId="3B577C92" w:rsidR="00537F27" w:rsidRDefault="00537F27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4F62C552" w14:textId="2C3B0261" w:rsidR="00537F27" w:rsidRPr="002B009C" w:rsidRDefault="00537F27" w:rsidP="00537F27">
      <w:pPr>
        <w:pStyle w:val="SingleTxtG"/>
        <w:ind w:left="0"/>
        <w:rPr>
          <w:lang w:val="en-GB"/>
        </w:rPr>
      </w:pPr>
      <w:r w:rsidRPr="002B009C">
        <w:rPr>
          <w:lang w:val="en-GB"/>
        </w:rPr>
        <w:t xml:space="preserve">Paragraph </w:t>
      </w:r>
      <w:r>
        <w:rPr>
          <w:lang w:val="en-GB"/>
        </w:rPr>
        <w:t>24</w:t>
      </w:r>
      <w:r w:rsidRPr="002B009C">
        <w:rPr>
          <w:lang w:val="en-GB"/>
        </w:rPr>
        <w:t>.3.</w:t>
      </w:r>
      <w:r>
        <w:rPr>
          <w:lang w:val="en-GB"/>
        </w:rPr>
        <w:t>1</w:t>
      </w:r>
      <w:r w:rsidRPr="002B009C">
        <w:rPr>
          <w:lang w:val="en-GB"/>
        </w:rPr>
        <w:t>, amend to read:</w:t>
      </w:r>
    </w:p>
    <w:p w14:paraId="2652B02D" w14:textId="4D3D7E98" w:rsidR="00537F27" w:rsidRDefault="00537F27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4B2E7BAA" w14:textId="4458FA47" w:rsidR="00537F27" w:rsidRDefault="00537F27" w:rsidP="0034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“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>24.3.1</w:t>
      </w:r>
      <w:r w:rsidR="00AD152C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>The emission of visible pollutants by the vehicle type submitted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>for approval shall be measured by the two methods described in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 xml:space="preserve">annexes 4 and 5 to this Regulation, relating </w:t>
      </w:r>
      <w:r w:rsidRPr="00537F27">
        <w:rPr>
          <w:rFonts w:ascii="Times New Roman" w:eastAsia="Times New Roman" w:hAnsi="Times New Roman"/>
          <w:strike/>
          <w:sz w:val="20"/>
          <w:szCs w:val="20"/>
          <w:lang w:val="en-GB"/>
        </w:rPr>
        <w:t>respectively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 xml:space="preserve"> to tests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537F27">
        <w:rPr>
          <w:rFonts w:ascii="Times New Roman" w:eastAsia="Times New Roman" w:hAnsi="Times New Roman"/>
          <w:sz w:val="20"/>
          <w:szCs w:val="20"/>
          <w:lang w:val="en-GB"/>
        </w:rPr>
        <w:t>at steady speeds and to tests under free acceleration.</w:t>
      </w:r>
      <w:r>
        <w:rPr>
          <w:rFonts w:ascii="Times New Roman" w:eastAsia="Times New Roman" w:hAnsi="Times New Roman"/>
          <w:sz w:val="20"/>
          <w:szCs w:val="20"/>
          <w:lang w:val="en-GB"/>
        </w:rPr>
        <w:t>”</w:t>
      </w:r>
    </w:p>
    <w:p w14:paraId="54FE872C" w14:textId="21DF3C04" w:rsidR="00537F27" w:rsidRDefault="00537F27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21B8753F" w14:textId="319B30F6" w:rsidR="00AD152C" w:rsidRPr="002B009C" w:rsidRDefault="00AD152C" w:rsidP="00AD152C">
      <w:pPr>
        <w:pStyle w:val="SingleTxtG"/>
        <w:ind w:left="0"/>
        <w:rPr>
          <w:lang w:val="en-GB"/>
        </w:rPr>
      </w:pPr>
      <w:r w:rsidRPr="002B009C">
        <w:rPr>
          <w:lang w:val="en-GB"/>
        </w:rPr>
        <w:t xml:space="preserve">Paragraph </w:t>
      </w:r>
      <w:r>
        <w:rPr>
          <w:lang w:val="en-GB"/>
        </w:rPr>
        <w:t>26</w:t>
      </w:r>
      <w:r w:rsidRPr="002B009C">
        <w:rPr>
          <w:lang w:val="en-GB"/>
        </w:rPr>
        <w:t>.3.</w:t>
      </w:r>
      <w:r>
        <w:rPr>
          <w:lang w:val="en-GB"/>
        </w:rPr>
        <w:t>1</w:t>
      </w:r>
      <w:r w:rsidRPr="002B009C">
        <w:rPr>
          <w:lang w:val="en-GB"/>
        </w:rPr>
        <w:t>, amend to read:</w:t>
      </w:r>
    </w:p>
    <w:p w14:paraId="06406F7E" w14:textId="20EC9D59" w:rsidR="00537F27" w:rsidRDefault="00AD152C" w:rsidP="0034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r w:rsidRPr="00AD152C">
        <w:rPr>
          <w:rFonts w:ascii="Times New Roman" w:eastAsia="Times New Roman" w:hAnsi="Times New Roman"/>
          <w:sz w:val="20"/>
          <w:szCs w:val="20"/>
          <w:lang w:val="en-GB"/>
        </w:rPr>
        <w:t>“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26.3.1</w:t>
      </w:r>
      <w:r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A vehicle which has not been run in shall be subjected to the test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under free acceleration prescribed in annex 5 to this Regulation.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The vehicle shall be deemed to conform to the type approved if the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absorption coefficient determined does not exceed by more than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0.5 m-1 the figure shown in the approval mark (see paragraph 26.1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above).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Furthermore, the engine will be submitted </w:t>
      </w:r>
      <w:r w:rsidR="00ED4CE5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to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the particle number reference test prescribed in annex 5 to this Regulation. The engine shall be deemed to conform to the approved type if the particle number determined does not exceed by more than [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50.000 cm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vertAlign w:val="superscript"/>
          <w:lang w:val="en-GB"/>
        </w:rPr>
        <w:t>-3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] the figure shown in the approval mark or document for that engine (see paragraph 16.1 above).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 xml:space="preserve"> On the request of the manufacturer, commercially available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fuel may be used rather than the reference fuel. In the case of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dispute, reference fuel has to be used.</w:t>
      </w:r>
      <w:r>
        <w:rPr>
          <w:rFonts w:ascii="Times New Roman" w:eastAsia="Times New Roman" w:hAnsi="Times New Roman"/>
          <w:sz w:val="20"/>
          <w:szCs w:val="20"/>
          <w:lang w:val="en-GB"/>
        </w:rPr>
        <w:t>”</w:t>
      </w:r>
    </w:p>
    <w:p w14:paraId="783885C3" w14:textId="2B707391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1E92D8E9" w14:textId="1F5ED765" w:rsidR="00AD152C" w:rsidRPr="002B009C" w:rsidRDefault="00AD152C" w:rsidP="00AD152C">
      <w:pPr>
        <w:pStyle w:val="SingleTxtG"/>
        <w:ind w:left="0"/>
        <w:rPr>
          <w:lang w:val="en-GB"/>
        </w:rPr>
      </w:pPr>
      <w:r w:rsidRPr="002B009C">
        <w:rPr>
          <w:lang w:val="en-GB"/>
        </w:rPr>
        <w:t xml:space="preserve">Paragraph </w:t>
      </w:r>
      <w:r>
        <w:rPr>
          <w:lang w:val="en-GB"/>
        </w:rPr>
        <w:t>26</w:t>
      </w:r>
      <w:r w:rsidRPr="002B009C">
        <w:rPr>
          <w:lang w:val="en-GB"/>
        </w:rPr>
        <w:t>.3.</w:t>
      </w:r>
      <w:r>
        <w:rPr>
          <w:lang w:val="en-GB"/>
        </w:rPr>
        <w:t>2</w:t>
      </w:r>
      <w:r w:rsidRPr="002B009C">
        <w:rPr>
          <w:lang w:val="en-GB"/>
        </w:rPr>
        <w:t>, amend to read:</w:t>
      </w:r>
    </w:p>
    <w:p w14:paraId="31B0C5E5" w14:textId="00B8A500" w:rsidR="00537F27" w:rsidRDefault="00AD152C" w:rsidP="00341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“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26.3.2</w:t>
      </w:r>
      <w:r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If the figure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s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 xml:space="preserve"> determined in the test referred to in paragraph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26.3.1 above exceeds by more than 0.5 m- 1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for opacity or [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50.000 cm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vertAlign w:val="superscript"/>
          <w:lang w:val="en-GB"/>
        </w:rPr>
        <w:t>-3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] for particle number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 xml:space="preserve"> the figure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s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 xml:space="preserve"> shown in the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approval mark, the engine of the vehicle shall be subjected to the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test at steady speeds over the full-load curve, as prescribed in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annex 4 to this Regulation. The visible emission levels shall not</w:t>
      </w:r>
      <w:r w:rsidR="00C210E3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537F27" w:rsidRPr="00AD152C">
        <w:rPr>
          <w:rFonts w:ascii="Times New Roman" w:eastAsia="Times New Roman" w:hAnsi="Times New Roman"/>
          <w:sz w:val="20"/>
          <w:szCs w:val="20"/>
          <w:lang w:val="en-GB"/>
        </w:rPr>
        <w:t>exceed the limits prescribed in annex 7 to this Regulation.</w:t>
      </w:r>
      <w:r>
        <w:rPr>
          <w:rFonts w:ascii="Times New Roman" w:eastAsia="Times New Roman" w:hAnsi="Times New Roman"/>
          <w:sz w:val="20"/>
          <w:szCs w:val="20"/>
          <w:lang w:val="en-GB"/>
        </w:rPr>
        <w:t>”</w:t>
      </w:r>
    </w:p>
    <w:p w14:paraId="1976862A" w14:textId="7305B9D8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3DB78356" w14:textId="6E47864E" w:rsidR="00AD152C" w:rsidRDefault="00AD152C" w:rsidP="00AD152C">
      <w:pPr>
        <w:pStyle w:val="SingleTxtG"/>
        <w:ind w:left="0"/>
        <w:rPr>
          <w:lang w:val="en-GB"/>
        </w:rPr>
      </w:pPr>
      <w:r>
        <w:rPr>
          <w:lang w:val="en-GB"/>
        </w:rPr>
        <w:t>Annex 2, paragraph 11.1.2, amend to read:</w:t>
      </w:r>
    </w:p>
    <w:p w14:paraId="48F85CE4" w14:textId="499AD494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“</w:t>
      </w:r>
      <w:r w:rsidRPr="00AD152C">
        <w:rPr>
          <w:rFonts w:ascii="Times New Roman" w:eastAsia="Times New Roman" w:hAnsi="Times New Roman"/>
          <w:sz w:val="20"/>
          <w:szCs w:val="20"/>
          <w:lang w:val="en-GB"/>
        </w:rPr>
        <w:t>11.1.2</w:t>
      </w:r>
      <w:r w:rsidRPr="00AD152C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AD152C">
        <w:rPr>
          <w:rFonts w:ascii="Times New Roman" w:eastAsia="Times New Roman" w:hAnsi="Times New Roman"/>
          <w:strike/>
          <w:sz w:val="20"/>
          <w:szCs w:val="20"/>
          <w:lang w:val="en-GB"/>
        </w:rPr>
        <w:t>Free acceleration tests</w:t>
      </w:r>
      <w:r>
        <w:rPr>
          <w:rFonts w:ascii="Times New Roman" w:eastAsia="Times New Roman" w:hAnsi="Times New Roman"/>
          <w:strike/>
          <w:sz w:val="20"/>
          <w:szCs w:val="20"/>
          <w:lang w:val="en-GB"/>
        </w:rPr>
        <w:t xml:space="preserve"> 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Reference tests</w:t>
      </w:r>
      <w:r w:rsidRPr="00AD152C">
        <w:rPr>
          <w:rFonts w:ascii="Times New Roman" w:eastAsia="Times New Roman" w:hAnsi="Times New Roman"/>
          <w:sz w:val="20"/>
          <w:szCs w:val="20"/>
          <w:lang w:val="en-GB"/>
        </w:rPr>
        <w:t>”</w:t>
      </w:r>
    </w:p>
    <w:p w14:paraId="53DA0589" w14:textId="6E133574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321CA20E" w14:textId="0049612A" w:rsidR="00AD152C" w:rsidRDefault="00AD152C" w:rsidP="00AD152C">
      <w:pPr>
        <w:pStyle w:val="SingleTxtG"/>
        <w:ind w:left="0"/>
        <w:rPr>
          <w:lang w:val="en-GB"/>
        </w:rPr>
      </w:pPr>
      <w:r>
        <w:rPr>
          <w:lang w:val="en-GB"/>
        </w:rPr>
        <w:t>Annex 2, paragraph 11.1.2.1, amend to read:</w:t>
      </w:r>
    </w:p>
    <w:p w14:paraId="3F8E6F80" w14:textId="3543211A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“</w:t>
      </w:r>
      <w:r w:rsidRPr="00AD152C">
        <w:rPr>
          <w:rFonts w:ascii="Times New Roman" w:eastAsia="Times New Roman" w:hAnsi="Times New Roman"/>
          <w:sz w:val="20"/>
          <w:szCs w:val="20"/>
          <w:lang w:val="en-GB"/>
        </w:rPr>
        <w:t>11.1.2.1</w:t>
      </w:r>
      <w:r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AD152C">
        <w:rPr>
          <w:rFonts w:ascii="Times New Roman" w:eastAsia="Times New Roman" w:hAnsi="Times New Roman"/>
          <w:sz w:val="20"/>
          <w:szCs w:val="20"/>
          <w:lang w:val="en-GB"/>
        </w:rPr>
        <w:t>Engine test in accordance with annex 5</w:t>
      </w:r>
      <w:r>
        <w:rPr>
          <w:rFonts w:ascii="Times New Roman" w:eastAsia="Times New Roman" w:hAnsi="Times New Roman"/>
          <w:sz w:val="20"/>
          <w:szCs w:val="20"/>
          <w:lang w:val="en-GB"/>
        </w:rPr>
        <w:t>, paragraph 2”</w:t>
      </w:r>
    </w:p>
    <w:p w14:paraId="33447E4B" w14:textId="5932B03C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745E8E06" w14:textId="643D8E9D" w:rsidR="00AD152C" w:rsidRDefault="00AD152C" w:rsidP="00AD152C">
      <w:pPr>
        <w:pStyle w:val="SingleTxtG"/>
        <w:ind w:left="0"/>
        <w:rPr>
          <w:lang w:val="en-GB"/>
        </w:rPr>
      </w:pPr>
      <w:r>
        <w:rPr>
          <w:lang w:val="en-GB"/>
        </w:rPr>
        <w:t>Annex 2, add a new paragraph 11.1.2.3 to read:</w:t>
      </w:r>
    </w:p>
    <w:p w14:paraId="45AA35E6" w14:textId="1AF2C3BB" w:rsidR="00AD152C" w:rsidRDefault="00AD152C" w:rsidP="00AD1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“</w:t>
      </w:r>
      <w:r w:rsidRPr="00AD152C">
        <w:rPr>
          <w:rFonts w:ascii="Times New Roman" w:eastAsia="Times New Roman" w:hAnsi="Times New Roman"/>
          <w:sz w:val="20"/>
          <w:szCs w:val="20"/>
          <w:lang w:val="en-GB"/>
        </w:rPr>
        <w:t>11.1.2.</w:t>
      </w:r>
      <w:r>
        <w:rPr>
          <w:rFonts w:ascii="Times New Roman" w:eastAsia="Times New Roman" w:hAnsi="Times New Roman"/>
          <w:sz w:val="20"/>
          <w:szCs w:val="20"/>
          <w:lang w:val="en-GB"/>
        </w:rPr>
        <w:t>3</w:t>
      </w:r>
      <w:r>
        <w:rPr>
          <w:rFonts w:ascii="Times New Roman" w:eastAsia="Times New Roman" w:hAnsi="Times New Roman"/>
          <w:sz w:val="20"/>
          <w:szCs w:val="20"/>
          <w:lang w:val="en-GB"/>
        </w:rPr>
        <w:tab/>
        <w:t xml:space="preserve">Particle number measurement in accordance with annex 5, paragraph 4: …………….. </w:t>
      </w:r>
      <w:r w:rsidR="00C210E3">
        <w:rPr>
          <w:rFonts w:ascii="Times New Roman" w:eastAsia="Times New Roman" w:hAnsi="Times New Roman"/>
          <w:sz w:val="20"/>
          <w:szCs w:val="20"/>
          <w:lang w:val="en-GB"/>
        </w:rPr>
        <w:t>cm</w:t>
      </w:r>
      <w:r w:rsidR="00C210E3" w:rsidRPr="00C210E3">
        <w:rPr>
          <w:rFonts w:ascii="Times New Roman" w:eastAsia="Times New Roman" w:hAnsi="Times New Roman"/>
          <w:sz w:val="20"/>
          <w:szCs w:val="20"/>
          <w:vertAlign w:val="superscript"/>
          <w:lang w:val="en-GB"/>
        </w:rPr>
        <w:t>-3</w:t>
      </w:r>
      <w:r>
        <w:rPr>
          <w:rFonts w:ascii="Times New Roman" w:eastAsia="Times New Roman" w:hAnsi="Times New Roman"/>
          <w:sz w:val="20"/>
          <w:szCs w:val="20"/>
          <w:lang w:val="en-GB"/>
        </w:rPr>
        <w:t>”</w:t>
      </w:r>
    </w:p>
    <w:p w14:paraId="089FC53E" w14:textId="22A33B25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64856AF3" w14:textId="7E823BE4" w:rsidR="00AD152C" w:rsidRDefault="00AD152C" w:rsidP="00AD152C">
      <w:pPr>
        <w:pStyle w:val="SingleTxtG"/>
        <w:ind w:left="0"/>
        <w:rPr>
          <w:lang w:val="en-GB"/>
        </w:rPr>
      </w:pPr>
      <w:r>
        <w:rPr>
          <w:lang w:val="en-GB"/>
        </w:rPr>
        <w:t>Annex 2, add a new paragraph 19 to read:</w:t>
      </w:r>
    </w:p>
    <w:p w14:paraId="6B20CDD6" w14:textId="71B5CC63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“19.</w:t>
      </w:r>
      <w:r>
        <w:rPr>
          <w:rFonts w:ascii="Times New Roman" w:eastAsia="Times New Roman" w:hAnsi="Times New Roman"/>
          <w:sz w:val="20"/>
          <w:szCs w:val="20"/>
          <w:lang w:val="en-GB"/>
        </w:rPr>
        <w:tab/>
        <w:t>Make and type of the particle counter: …………………”</w:t>
      </w:r>
    </w:p>
    <w:p w14:paraId="666EF935" w14:textId="4A5B6136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2EAD313B" w14:textId="5724CBAA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 w:rsidRPr="00AD152C">
        <w:rPr>
          <w:rFonts w:ascii="Times New Roman" w:eastAsia="Times New Roman" w:hAnsi="Times New Roman"/>
          <w:sz w:val="20"/>
          <w:szCs w:val="20"/>
          <w:lang w:val="en-GB"/>
        </w:rPr>
        <w:t>Annex 2: renumber former paragraph 19 to 2</w:t>
      </w:r>
      <w:r>
        <w:rPr>
          <w:rFonts w:ascii="Times New Roman" w:eastAsia="Times New Roman" w:hAnsi="Times New Roman"/>
          <w:sz w:val="20"/>
          <w:szCs w:val="20"/>
          <w:lang w:val="en-GB"/>
        </w:rPr>
        <w:t>4 accordingly.</w:t>
      </w:r>
    </w:p>
    <w:p w14:paraId="4C16C6DF" w14:textId="0C08662C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2231DAB6" w14:textId="387F7BFD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45012" wp14:editId="27BD5212">
                <wp:simplePos x="0" y="0"/>
                <wp:positionH relativeFrom="column">
                  <wp:posOffset>11430</wp:posOffset>
                </wp:positionH>
                <wp:positionV relativeFrom="paragraph">
                  <wp:posOffset>269240</wp:posOffset>
                </wp:positionV>
                <wp:extent cx="1287780" cy="586740"/>
                <wp:effectExtent l="19050" t="19050" r="26670" b="22860"/>
                <wp:wrapTopAndBottom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58674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0B570" w14:textId="541397A1" w:rsidR="00AD152C" w:rsidRPr="00AD152C" w:rsidRDefault="00C210E3" w:rsidP="00AD152C">
                            <w:pPr>
                              <w:jc w:val="center"/>
                              <w:rPr>
                                <w:color w:val="000000" w:themeColor="text1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lang w:val="ca-ES"/>
                              </w:rPr>
                              <w:t>5.000</w:t>
                            </w:r>
                            <w:r w:rsidR="00AD152C" w:rsidRPr="00C210E3">
                              <w:rPr>
                                <w:color w:val="000000" w:themeColor="text1"/>
                                <w:lang w:val="ca-ES"/>
                              </w:rPr>
                              <w:t xml:space="preserve"> </w:t>
                            </w:r>
                            <w:r w:rsidRPr="00C210E3">
                              <w:rPr>
                                <w:color w:val="000000" w:themeColor="text1"/>
                                <w:lang w:val="ca-ES"/>
                              </w:rPr>
                              <w:t>cm</w:t>
                            </w:r>
                            <w:r w:rsidRPr="00C210E3">
                              <w:rPr>
                                <w:color w:val="000000" w:themeColor="text1"/>
                                <w:vertAlign w:val="superscript"/>
                                <w:lang w:val="ca-ES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45012" id="Oval 1" o:spid="_x0000_s1026" style="position:absolute;margin-left:.9pt;margin-top:21.2pt;width:101.4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" filled="f" strokecolor="black [3213]" strokeweight="3.5pt">
                <v:stroke joinstyle="miter"/>
                <v:textbox>
                  <w:txbxContent>
                    <w:p w14:paraId="1F80B570" w14:textId="541397A1" w:rsidR="00AD152C" w:rsidRPr="00AD152C" w:rsidRDefault="00C210E3" w:rsidP="00AD152C">
                      <w:pPr>
                        <w:jc w:val="center"/>
                        <w:rPr>
                          <w:color w:val="000000" w:themeColor="text1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lang w:val="ca-ES"/>
                        </w:rPr>
                        <w:t>5.000</w:t>
                      </w:r>
                      <w:r w:rsidR="00AD152C" w:rsidRPr="00C210E3">
                        <w:rPr>
                          <w:color w:val="000000" w:themeColor="text1"/>
                          <w:lang w:val="ca-ES"/>
                        </w:rPr>
                        <w:t xml:space="preserve"> </w:t>
                      </w:r>
                      <w:r w:rsidRPr="00C210E3">
                        <w:rPr>
                          <w:color w:val="000000" w:themeColor="text1"/>
                          <w:lang w:val="ca-ES"/>
                        </w:rPr>
                        <w:t>cm</w:t>
                      </w:r>
                      <w:r w:rsidRPr="00C210E3">
                        <w:rPr>
                          <w:color w:val="000000" w:themeColor="text1"/>
                          <w:vertAlign w:val="superscript"/>
                          <w:lang w:val="ca-ES"/>
                        </w:rPr>
                        <w:t>-3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val="en-GB"/>
        </w:rPr>
        <w:t>Annex 3, model A, add the following figure:</w:t>
      </w:r>
    </w:p>
    <w:p w14:paraId="125F95B7" w14:textId="387F7BFD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3C244FA6" w14:textId="56C5BE64" w:rsidR="00AD152C" w:rsidRDefault="00AD152C" w:rsidP="00AD1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Annex 3, model A, add the following text at the end of the paragraph:</w:t>
      </w:r>
    </w:p>
    <w:p w14:paraId="173ABF5E" w14:textId="7B25DF50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76F4E9DC" w14:textId="0EACE00C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 xml:space="preserve">“… and de reference particle number is </w:t>
      </w:r>
      <w:r w:rsidR="00C210E3">
        <w:rPr>
          <w:rFonts w:ascii="Times New Roman" w:eastAsia="Times New Roman" w:hAnsi="Times New Roman"/>
          <w:sz w:val="20"/>
          <w:szCs w:val="20"/>
          <w:lang w:val="en-GB"/>
        </w:rPr>
        <w:t>5.000</w:t>
      </w:r>
      <w:r w:rsidRPr="00C210E3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="00C210E3" w:rsidRPr="00C210E3">
        <w:rPr>
          <w:rFonts w:ascii="Times New Roman" w:eastAsia="Times New Roman" w:hAnsi="Times New Roman"/>
          <w:sz w:val="20"/>
          <w:szCs w:val="20"/>
          <w:lang w:val="en-GB"/>
        </w:rPr>
        <w:t>cm</w:t>
      </w:r>
      <w:r w:rsidR="00C210E3" w:rsidRPr="00C210E3">
        <w:rPr>
          <w:rFonts w:ascii="Times New Roman" w:eastAsia="Times New Roman" w:hAnsi="Times New Roman"/>
          <w:sz w:val="20"/>
          <w:szCs w:val="20"/>
          <w:vertAlign w:val="superscript"/>
          <w:lang w:val="en-GB"/>
        </w:rPr>
        <w:t>-3</w:t>
      </w:r>
      <w:r>
        <w:rPr>
          <w:rFonts w:ascii="Times New Roman" w:eastAsia="Times New Roman" w:hAnsi="Times New Roman"/>
          <w:sz w:val="20"/>
          <w:szCs w:val="20"/>
          <w:lang w:val="en-GB"/>
        </w:rPr>
        <w:t>”</w:t>
      </w:r>
    </w:p>
    <w:p w14:paraId="6A5295DB" w14:textId="7D4BF29C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62BE63E0" w14:textId="2E68C53B" w:rsidR="00AD152C" w:rsidRDefault="00AD152C" w:rsidP="00AD152C">
      <w:pPr>
        <w:pStyle w:val="SingleTxtG"/>
        <w:ind w:left="0"/>
        <w:rPr>
          <w:lang w:val="en-GB"/>
        </w:rPr>
      </w:pPr>
      <w:r>
        <w:rPr>
          <w:lang w:val="en-GB"/>
        </w:rPr>
        <w:t>Annex 5, title, amend to read:</w:t>
      </w:r>
    </w:p>
    <w:p w14:paraId="65A734C5" w14:textId="68B2E2C2" w:rsidR="00AD152C" w:rsidRPr="002C7BA2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“</w:t>
      </w:r>
      <w:r w:rsidRPr="00AD152C">
        <w:rPr>
          <w:rFonts w:ascii="Times New Roman" w:eastAsia="Times New Roman" w:hAnsi="Times New Roman"/>
          <w:strike/>
          <w:sz w:val="20"/>
          <w:szCs w:val="20"/>
          <w:lang w:val="en-GB"/>
        </w:rPr>
        <w:t>TEST UNDER FREE ACCELERATION</w:t>
      </w:r>
      <w:r>
        <w:rPr>
          <w:rFonts w:ascii="Times New Roman" w:eastAsia="Times New Roman" w:hAnsi="Times New Roman"/>
          <w:strike/>
          <w:sz w:val="20"/>
          <w:szCs w:val="20"/>
          <w:lang w:val="en-GB"/>
        </w:rPr>
        <w:t xml:space="preserve"> 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REFERENCE TESTS”</w:t>
      </w:r>
    </w:p>
    <w:p w14:paraId="31B21ED1" w14:textId="195518D0" w:rsidR="00AD152C" w:rsidRPr="002C7BA2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27FA044" w14:textId="72B6866C" w:rsidR="00AD152C" w:rsidRDefault="00AD152C" w:rsidP="00AD152C">
      <w:pPr>
        <w:pStyle w:val="SingleTxtG"/>
        <w:ind w:left="0"/>
        <w:rPr>
          <w:lang w:val="en-GB"/>
        </w:rPr>
      </w:pPr>
      <w:r>
        <w:rPr>
          <w:lang w:val="en-GB"/>
        </w:rPr>
        <w:t>Annex 5, paragraph 2, amend to read:</w:t>
      </w:r>
    </w:p>
    <w:p w14:paraId="70A591B7" w14:textId="5380FF95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“2</w:t>
      </w:r>
      <w:r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AD152C">
        <w:rPr>
          <w:rFonts w:ascii="Times New Roman" w:eastAsia="Times New Roman" w:hAnsi="Times New Roman"/>
          <w:strike/>
          <w:sz w:val="20"/>
          <w:szCs w:val="20"/>
          <w:lang w:val="en-GB"/>
        </w:rPr>
        <w:t>TEST METHODS</w:t>
      </w:r>
      <w:r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FREE ACCELERATION METHOD</w:t>
      </w:r>
      <w:r>
        <w:rPr>
          <w:rFonts w:ascii="Times New Roman" w:eastAsia="Times New Roman" w:hAnsi="Times New Roman"/>
          <w:sz w:val="20"/>
          <w:szCs w:val="20"/>
          <w:lang w:val="en-GB"/>
        </w:rPr>
        <w:t>”</w:t>
      </w:r>
    </w:p>
    <w:p w14:paraId="16D9DDDC" w14:textId="3F20F586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6E77DCC9" w14:textId="757B1BA7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Annex 5, add a new paragraph 4:</w:t>
      </w:r>
    </w:p>
    <w:p w14:paraId="0EE0BA00" w14:textId="5E4C4DDE" w:rsid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4729C939" w14:textId="6C02BDA1" w:rsidR="00AD152C" w:rsidRPr="002C7BA2" w:rsidRDefault="00AD152C" w:rsidP="00AD152C">
      <w:pPr>
        <w:ind w:left="851" w:hanging="851"/>
        <w:rPr>
          <w:rFonts w:ascii="Times New Roman" w:eastAsia="Times New Roman" w:hAnsi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/>
          <w:sz w:val="20"/>
          <w:szCs w:val="20"/>
          <w:lang w:val="en-GB"/>
        </w:rPr>
        <w:t>“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4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ab/>
        <w:t>PARTICLE NUMBER EMISSION TEST AT IDLING SPEED</w:t>
      </w:r>
    </w:p>
    <w:p w14:paraId="4DA2A0A9" w14:textId="5DEA1BF6" w:rsidR="00AD152C" w:rsidRPr="002C7BA2" w:rsidRDefault="00AD152C" w:rsidP="00AD152C">
      <w:pPr>
        <w:ind w:left="851" w:hanging="851"/>
        <w:rPr>
          <w:rFonts w:ascii="Times New Roman" w:eastAsia="Times New Roman" w:hAnsi="Times New Roman"/>
          <w:b/>
          <w:sz w:val="20"/>
          <w:szCs w:val="20"/>
          <w:lang w:val="en-GB"/>
        </w:rPr>
      </w:pP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4.1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ab/>
        <w:t>ensure that the EGR system is not switched off during the entire test by suitable means</w:t>
      </w:r>
    </w:p>
    <w:p w14:paraId="72FA6296" w14:textId="77777777" w:rsidR="00AD152C" w:rsidRPr="002C7BA2" w:rsidRDefault="00AD152C" w:rsidP="00AD152C">
      <w:pPr>
        <w:ind w:left="851" w:hanging="851"/>
        <w:rPr>
          <w:rFonts w:ascii="Times New Roman" w:eastAsia="Times New Roman" w:hAnsi="Times New Roman"/>
          <w:b/>
          <w:sz w:val="20"/>
          <w:szCs w:val="20"/>
          <w:lang w:val="en-GB"/>
        </w:rPr>
      </w:pP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4.1.1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ab/>
        <w:t>If not possible or available: increase the engine speed from idling speed by 1000 rpm or more within 5 seconds</w:t>
      </w:r>
    </w:p>
    <w:p w14:paraId="0AA5039D" w14:textId="2E6297BE" w:rsidR="00AD152C" w:rsidRPr="002C7BA2" w:rsidRDefault="00AD152C" w:rsidP="00AD152C">
      <w:pPr>
        <w:ind w:left="851" w:hanging="851"/>
        <w:rPr>
          <w:rFonts w:ascii="Times New Roman" w:eastAsia="Times New Roman" w:hAnsi="Times New Roman"/>
          <w:b/>
          <w:sz w:val="20"/>
          <w:szCs w:val="20"/>
          <w:lang w:val="en-GB"/>
        </w:rPr>
      </w:pP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4.2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ab/>
        <w:t xml:space="preserve">Run the engine at idle speed </w:t>
      </w:r>
      <w:r w:rsidR="00B63B2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at least 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for </w:t>
      </w:r>
      <w:r w:rsidR="00B63B2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15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seconds </w:t>
      </w:r>
    </w:p>
    <w:p w14:paraId="77885FE5" w14:textId="198FFCF0" w:rsidR="00AD152C" w:rsidRPr="002C7BA2" w:rsidRDefault="00AD152C" w:rsidP="00AD152C">
      <w:pPr>
        <w:ind w:left="851" w:hanging="851"/>
        <w:rPr>
          <w:rFonts w:ascii="Times New Roman" w:eastAsia="Times New Roman" w:hAnsi="Times New Roman"/>
          <w:b/>
          <w:sz w:val="20"/>
          <w:szCs w:val="20"/>
          <w:lang w:val="en-GB"/>
        </w:rPr>
      </w:pP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4.2.1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ab/>
        <w:t>Insert the sampling probe into the exhaust pipe</w:t>
      </w:r>
    </w:p>
    <w:p w14:paraId="45D3C76E" w14:textId="38C03ABF" w:rsidR="00AD152C" w:rsidRPr="002C7BA2" w:rsidRDefault="00AD152C" w:rsidP="00AD152C">
      <w:pPr>
        <w:ind w:left="851" w:hanging="851"/>
        <w:rPr>
          <w:rFonts w:ascii="Times New Roman" w:eastAsia="Times New Roman" w:hAnsi="Times New Roman"/>
          <w:b/>
          <w:sz w:val="20"/>
          <w:szCs w:val="20"/>
          <w:lang w:val="en-GB"/>
        </w:rPr>
      </w:pP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4.2.2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ab/>
        <w:t>Measurement of the number of particles over</w:t>
      </w:r>
      <w:r w:rsidR="00B63B2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at least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</w:t>
      </w:r>
      <w:r w:rsidR="00B63B2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15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seconds and averaging</w:t>
      </w:r>
    </w:p>
    <w:p w14:paraId="6896AEE2" w14:textId="43F056AF" w:rsidR="00AD152C" w:rsidRPr="002C7BA2" w:rsidRDefault="00AD152C" w:rsidP="00AD152C">
      <w:pPr>
        <w:ind w:left="851" w:hanging="851"/>
        <w:rPr>
          <w:rFonts w:ascii="Times New Roman" w:eastAsia="Times New Roman" w:hAnsi="Times New Roman"/>
          <w:b/>
          <w:sz w:val="20"/>
          <w:szCs w:val="20"/>
          <w:lang w:val="en-GB"/>
        </w:rPr>
      </w:pP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4.2.3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ab/>
        <w:t>repeat number 4.</w:t>
      </w:r>
      <w:r w:rsidR="00A338B8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2</w:t>
      </w:r>
      <w:r w:rsidR="007A1795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.2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two more times without removing the sampling probe from </w:t>
      </w:r>
      <w:r w:rsidR="00B63B2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the 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exhaust pipe</w:t>
      </w:r>
    </w:p>
    <w:p w14:paraId="77C011D4" w14:textId="35E0F6B5" w:rsidR="00AD152C" w:rsidRPr="002C7BA2" w:rsidRDefault="00AD152C" w:rsidP="00AD152C">
      <w:pPr>
        <w:ind w:left="851" w:hanging="851"/>
        <w:rPr>
          <w:rFonts w:ascii="Times New Roman" w:eastAsia="Times New Roman" w:hAnsi="Times New Roman"/>
          <w:b/>
          <w:sz w:val="20"/>
          <w:szCs w:val="20"/>
          <w:lang w:val="en-GB"/>
        </w:rPr>
      </w:pP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4.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2.4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ab/>
        <w:t xml:space="preserve">The final result is </w:t>
      </w:r>
      <w:r w:rsidR="00B63B2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t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he average value of the three measures of </w:t>
      </w:r>
      <w:r w:rsidR="00B63B2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paragraph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4.</w:t>
      </w:r>
      <w:r w:rsidR="00A338B8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2.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3</w:t>
      </w:r>
      <w:r w:rsidR="00C210E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. Any tolerance shall be considered, if necessary, by the user of </w:t>
      </w:r>
      <w:proofErr w:type="gramStart"/>
      <w:r w:rsidR="00C210E3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the </w:t>
      </w:r>
      <w:r w:rsidR="00341895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final result</w:t>
      </w:r>
      <w:proofErr w:type="gramEnd"/>
      <w:r w:rsidR="00341895"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.</w:t>
      </w:r>
      <w:r w:rsidRPr="002C7BA2">
        <w:rPr>
          <w:rFonts w:ascii="Times New Roman" w:eastAsia="Times New Roman" w:hAnsi="Times New Roman"/>
          <w:b/>
          <w:sz w:val="20"/>
          <w:szCs w:val="20"/>
          <w:lang w:val="en-GB"/>
        </w:rPr>
        <w:t>”</w:t>
      </w:r>
    </w:p>
    <w:p w14:paraId="0D4F0D1D" w14:textId="77777777" w:rsidR="006452E1" w:rsidRDefault="006452E1" w:rsidP="006452E1">
      <w:pPr>
        <w:pStyle w:val="HChG"/>
        <w:tabs>
          <w:tab w:val="clear" w:pos="851"/>
        </w:tabs>
        <w:spacing w:before="240"/>
        <w:ind w:hanging="567"/>
      </w:pPr>
    </w:p>
    <w:p w14:paraId="30B10F7B" w14:textId="767BFABD" w:rsidR="006452E1" w:rsidRPr="002B009C" w:rsidRDefault="006452E1" w:rsidP="006452E1">
      <w:pPr>
        <w:pStyle w:val="HChG"/>
        <w:tabs>
          <w:tab w:val="clear" w:pos="851"/>
        </w:tabs>
        <w:spacing w:before="240"/>
        <w:ind w:hanging="567"/>
      </w:pPr>
      <w:r w:rsidRPr="002B009C">
        <w:t>I</w:t>
      </w:r>
      <w:r>
        <w:t>I</w:t>
      </w:r>
      <w:r w:rsidRPr="002B009C">
        <w:t>.</w:t>
      </w:r>
      <w:r w:rsidRPr="002B009C">
        <w:tab/>
      </w:r>
      <w:r>
        <w:t>Justification</w:t>
      </w:r>
    </w:p>
    <w:p w14:paraId="13964DD0" w14:textId="77777777" w:rsidR="006452E1" w:rsidRDefault="006452E1" w:rsidP="006452E1">
      <w:pPr>
        <w:pStyle w:val="SingleTxtG"/>
        <w:ind w:left="0"/>
        <w:rPr>
          <w:lang w:val="en-GB"/>
        </w:rPr>
      </w:pPr>
      <w:r>
        <w:rPr>
          <w:lang w:val="en-GB"/>
        </w:rPr>
        <w:t>It is already possible to measure PN during periodical and road-side inspection. Some countries are in the last stages of developing their national legal requirements in that direction.</w:t>
      </w:r>
    </w:p>
    <w:p w14:paraId="7BE747CB" w14:textId="645CB7D2" w:rsidR="006452E1" w:rsidRPr="002B009C" w:rsidRDefault="006452E1" w:rsidP="006452E1">
      <w:pPr>
        <w:pStyle w:val="SingleTxtG"/>
        <w:ind w:left="0"/>
        <w:rPr>
          <w:lang w:val="en-GB"/>
        </w:rPr>
      </w:pPr>
      <w:r>
        <w:rPr>
          <w:lang w:val="en-GB"/>
        </w:rPr>
        <w:t>This proposal aims to adapt vehicle approval to that status quo by defining a reference value for PN. That reference facilitates to maintain the benefits of new cleaner vehicles during their life cycle.</w:t>
      </w:r>
    </w:p>
    <w:p w14:paraId="30541C82" w14:textId="77777777" w:rsidR="00AD152C" w:rsidRPr="00AD152C" w:rsidRDefault="00AD152C" w:rsidP="00537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GB"/>
        </w:rPr>
      </w:pPr>
    </w:p>
    <w:p w14:paraId="01BE8670" w14:textId="2F1B690E" w:rsidR="000E6538" w:rsidRPr="00AD152C" w:rsidRDefault="00216B60" w:rsidP="00216B60">
      <w:pPr>
        <w:pStyle w:val="SingleTxtG"/>
        <w:tabs>
          <w:tab w:val="left" w:pos="709"/>
        </w:tabs>
        <w:spacing w:after="0"/>
        <w:ind w:left="0"/>
        <w:jc w:val="center"/>
        <w:rPr>
          <w:sz w:val="24"/>
          <w:szCs w:val="24"/>
          <w:lang w:val="en-GB"/>
        </w:rPr>
      </w:pPr>
      <w:r w:rsidRPr="00AD152C">
        <w:rPr>
          <w:sz w:val="24"/>
          <w:szCs w:val="24"/>
          <w:lang w:val="en-GB"/>
        </w:rPr>
        <w:lastRenderedPageBreak/>
        <w:t>________</w:t>
      </w:r>
    </w:p>
    <w:sectPr w:rsidR="000E6538" w:rsidRPr="00AD152C" w:rsidSect="00C11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40" w:bottom="1440" w:left="1440" w:header="72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43DBA" w14:textId="77777777" w:rsidR="002E177C" w:rsidRDefault="002E177C" w:rsidP="00F03B82">
      <w:pPr>
        <w:spacing w:after="0" w:line="240" w:lineRule="auto"/>
      </w:pPr>
      <w:r>
        <w:separator/>
      </w:r>
    </w:p>
  </w:endnote>
  <w:endnote w:type="continuationSeparator" w:id="0">
    <w:p w14:paraId="222AE3E2" w14:textId="77777777" w:rsidR="002E177C" w:rsidRDefault="002E177C" w:rsidP="00F0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108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E833A" w14:textId="3FD81FEA" w:rsidR="00C11B47" w:rsidRDefault="00C11B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36E7A" w14:textId="77777777" w:rsidR="00C11B47" w:rsidRDefault="00C11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43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D3EFD" w14:textId="1284377F" w:rsidR="00C11B47" w:rsidRDefault="00C11B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78DFE" w14:textId="77777777" w:rsidR="003D5775" w:rsidRDefault="003D5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1268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941AD" w14:textId="11259B91" w:rsidR="00C11B47" w:rsidRDefault="00C11B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84AC5" w14:textId="1C1A8E5C" w:rsidR="003D5775" w:rsidRDefault="003D5775" w:rsidP="00E71A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C244" w14:textId="77777777" w:rsidR="002E177C" w:rsidRDefault="002E177C" w:rsidP="00F03B82">
      <w:pPr>
        <w:spacing w:after="0" w:line="240" w:lineRule="auto"/>
      </w:pPr>
      <w:r>
        <w:separator/>
      </w:r>
    </w:p>
  </w:footnote>
  <w:footnote w:type="continuationSeparator" w:id="0">
    <w:p w14:paraId="6E7B4C66" w14:textId="77777777" w:rsidR="002E177C" w:rsidRDefault="002E177C" w:rsidP="00F0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502C" w14:textId="159133D5" w:rsidR="00C11B47" w:rsidRDefault="00C11B47" w:rsidP="00C11B47">
    <w:pPr>
      <w:pStyle w:val="Header"/>
      <w:pBdr>
        <w:bottom w:val="single" w:sz="4" w:space="1" w:color="auto"/>
      </w:pBdr>
    </w:pPr>
    <w:r w:rsidRPr="00C11B47">
      <w:rPr>
        <w:rFonts w:asciiTheme="majorBidi" w:hAnsiTheme="majorBidi" w:cstheme="majorBidi"/>
        <w:b/>
        <w:bCs/>
        <w:sz w:val="20"/>
        <w:szCs w:val="20"/>
      </w:rPr>
      <w:t>GRPE-81-18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D507" w14:textId="5FD232BC" w:rsidR="00C11B47" w:rsidRPr="00C11B47" w:rsidRDefault="00C11B47" w:rsidP="00C11B47">
    <w:pPr>
      <w:pStyle w:val="Header"/>
      <w:pBdr>
        <w:bottom w:val="single" w:sz="4" w:space="1" w:color="auto"/>
      </w:pBdr>
      <w:jc w:val="right"/>
      <w:rPr>
        <w:rFonts w:asciiTheme="majorBidi" w:hAnsiTheme="majorBidi" w:cstheme="majorBidi"/>
        <w:b/>
        <w:bCs/>
        <w:sz w:val="20"/>
        <w:szCs w:val="20"/>
      </w:rPr>
    </w:pPr>
    <w:bookmarkStart w:id="1" w:name="_Hlk42376315"/>
    <w:r w:rsidRPr="00C11B47">
      <w:rPr>
        <w:rFonts w:asciiTheme="majorBidi" w:hAnsiTheme="majorBidi" w:cstheme="majorBidi"/>
        <w:b/>
        <w:bCs/>
        <w:sz w:val="20"/>
        <w:szCs w:val="20"/>
      </w:rPr>
      <w:t>GRPE-81-18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118"/>
    </w:tblGrid>
    <w:tr w:rsidR="0076431C" w:rsidRPr="0076431C" w14:paraId="6F22A472" w14:textId="77777777" w:rsidTr="00C11B47">
      <w:tc>
        <w:tcPr>
          <w:tcW w:w="5670" w:type="dxa"/>
        </w:tcPr>
        <w:p w14:paraId="3BDC1C7B" w14:textId="77777777" w:rsidR="0076431C" w:rsidRPr="00A70975" w:rsidRDefault="0076431C" w:rsidP="0076431C">
          <w:pPr>
            <w:pStyle w:val="Header"/>
            <w:suppressAutoHyphens w:val="0"/>
            <w:rPr>
              <w:sz w:val="18"/>
              <w:szCs w:val="18"/>
              <w:lang w:val="en-GB"/>
            </w:rPr>
          </w:pPr>
          <w:r w:rsidRPr="00A70975">
            <w:rPr>
              <w:sz w:val="18"/>
              <w:szCs w:val="18"/>
              <w:lang w:val="en-GB"/>
            </w:rPr>
            <w:t>Note by the expert from CITA</w:t>
          </w:r>
        </w:p>
      </w:tc>
      <w:tc>
        <w:tcPr>
          <w:tcW w:w="3118" w:type="dxa"/>
        </w:tcPr>
        <w:p w14:paraId="063D755A" w14:textId="7B5C9E88" w:rsidR="0076431C" w:rsidRPr="00425990" w:rsidRDefault="0076431C" w:rsidP="0076431C">
          <w:pPr>
            <w:pStyle w:val="Header"/>
            <w:suppressAutoHyphens w:val="0"/>
            <w:rPr>
              <w:b/>
              <w:sz w:val="18"/>
              <w:szCs w:val="18"/>
              <w:lang w:val="en-GB"/>
            </w:rPr>
          </w:pPr>
          <w:r w:rsidRPr="002C7BA2">
            <w:rPr>
              <w:b/>
              <w:sz w:val="18"/>
              <w:szCs w:val="18"/>
              <w:lang w:val="en-GB"/>
            </w:rPr>
            <w:t>Informal document</w:t>
          </w:r>
          <w:r w:rsidRPr="00425990">
            <w:rPr>
              <w:sz w:val="18"/>
              <w:szCs w:val="18"/>
              <w:lang w:val="en-GB"/>
            </w:rPr>
            <w:t xml:space="preserve"> </w:t>
          </w:r>
          <w:r w:rsidRPr="00425990">
            <w:rPr>
              <w:b/>
              <w:sz w:val="18"/>
              <w:szCs w:val="18"/>
              <w:lang w:val="en-GB"/>
            </w:rPr>
            <w:t>GRPE-</w:t>
          </w:r>
          <w:r w:rsidR="00A70975" w:rsidRPr="00425990">
            <w:rPr>
              <w:b/>
              <w:sz w:val="18"/>
              <w:szCs w:val="18"/>
              <w:lang w:val="en-GB"/>
            </w:rPr>
            <w:t>8</w:t>
          </w:r>
          <w:r w:rsidR="00BD34F1">
            <w:rPr>
              <w:b/>
              <w:sz w:val="18"/>
              <w:szCs w:val="18"/>
              <w:lang w:val="en-GB"/>
            </w:rPr>
            <w:t>1</w:t>
          </w:r>
          <w:r w:rsidRPr="00425990">
            <w:rPr>
              <w:b/>
              <w:sz w:val="18"/>
              <w:szCs w:val="18"/>
              <w:lang w:val="en-GB"/>
            </w:rPr>
            <w:t>-</w:t>
          </w:r>
          <w:r w:rsidR="00C11B47">
            <w:rPr>
              <w:b/>
              <w:sz w:val="18"/>
              <w:szCs w:val="18"/>
              <w:lang w:val="en-GB"/>
            </w:rPr>
            <w:t>18</w:t>
          </w:r>
        </w:p>
        <w:p w14:paraId="7ECBA8ED" w14:textId="537A11BF" w:rsidR="0076431C" w:rsidRPr="00425990" w:rsidRDefault="00A70975" w:rsidP="0076431C">
          <w:pPr>
            <w:pStyle w:val="Header"/>
            <w:suppressAutoHyphens w:val="0"/>
            <w:rPr>
              <w:sz w:val="18"/>
              <w:szCs w:val="18"/>
              <w:lang w:val="en-GB"/>
            </w:rPr>
          </w:pPr>
          <w:r w:rsidRPr="00425990">
            <w:rPr>
              <w:sz w:val="18"/>
              <w:szCs w:val="18"/>
              <w:lang w:val="en-GB"/>
            </w:rPr>
            <w:t>8</w:t>
          </w:r>
          <w:r w:rsidR="00C11B47">
            <w:rPr>
              <w:sz w:val="18"/>
              <w:szCs w:val="18"/>
              <w:lang w:val="en-GB"/>
            </w:rPr>
            <w:t>1st</w:t>
          </w:r>
          <w:r w:rsidRPr="00425990">
            <w:rPr>
              <w:sz w:val="18"/>
              <w:szCs w:val="18"/>
              <w:lang w:val="en-GB"/>
            </w:rPr>
            <w:t xml:space="preserve"> </w:t>
          </w:r>
          <w:r w:rsidR="0076431C" w:rsidRPr="00425990">
            <w:rPr>
              <w:sz w:val="18"/>
              <w:szCs w:val="18"/>
              <w:lang w:val="en-GB"/>
            </w:rPr>
            <w:t xml:space="preserve">GRPE, </w:t>
          </w:r>
          <w:r w:rsidR="00BD34F1">
            <w:rPr>
              <w:sz w:val="18"/>
              <w:szCs w:val="18"/>
              <w:lang w:val="en-GB"/>
            </w:rPr>
            <w:t>9</w:t>
          </w:r>
          <w:r w:rsidRPr="00425990">
            <w:rPr>
              <w:sz w:val="18"/>
              <w:szCs w:val="18"/>
              <w:lang w:val="en-GB"/>
            </w:rPr>
            <w:t>-1</w:t>
          </w:r>
          <w:r w:rsidR="00C11B47">
            <w:rPr>
              <w:sz w:val="18"/>
              <w:szCs w:val="18"/>
              <w:lang w:val="en-GB"/>
            </w:rPr>
            <w:t>1</w:t>
          </w:r>
          <w:r w:rsidRPr="00425990">
            <w:rPr>
              <w:sz w:val="18"/>
              <w:szCs w:val="18"/>
              <w:lang w:val="en-GB"/>
            </w:rPr>
            <w:t xml:space="preserve"> </w:t>
          </w:r>
          <w:r w:rsidR="0046554B">
            <w:rPr>
              <w:sz w:val="18"/>
              <w:szCs w:val="18"/>
              <w:lang w:val="en-GB"/>
            </w:rPr>
            <w:t>June</w:t>
          </w:r>
          <w:r w:rsidRPr="00425990">
            <w:rPr>
              <w:sz w:val="18"/>
              <w:szCs w:val="18"/>
              <w:lang w:val="en-GB"/>
            </w:rPr>
            <w:t xml:space="preserve"> 2020</w:t>
          </w:r>
        </w:p>
        <w:p w14:paraId="661C84E1" w14:textId="01F1DE87" w:rsidR="0076431C" w:rsidRPr="0076431C" w:rsidRDefault="0076431C" w:rsidP="0076431C">
          <w:pPr>
            <w:pStyle w:val="Header"/>
            <w:suppressAutoHyphens w:val="0"/>
            <w:rPr>
              <w:sz w:val="18"/>
              <w:szCs w:val="18"/>
              <w:lang w:val="en-GB"/>
            </w:rPr>
          </w:pPr>
          <w:r w:rsidRPr="00425990">
            <w:rPr>
              <w:sz w:val="18"/>
              <w:szCs w:val="18"/>
              <w:lang w:val="en-GB"/>
            </w:rPr>
            <w:t xml:space="preserve">Agenda item </w:t>
          </w:r>
          <w:r w:rsidR="00C11B47">
            <w:rPr>
              <w:sz w:val="18"/>
              <w:szCs w:val="18"/>
              <w:lang w:val="en-GB"/>
            </w:rPr>
            <w:t>5</w:t>
          </w:r>
        </w:p>
      </w:tc>
    </w:tr>
  </w:tbl>
  <w:p w14:paraId="1F0B9B28" w14:textId="77777777" w:rsidR="003D5775" w:rsidRPr="0076431C" w:rsidRDefault="003D5775">
    <w:pPr>
      <w:pStyle w:val="Head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0D04"/>
    <w:multiLevelType w:val="hybridMultilevel"/>
    <w:tmpl w:val="1688AA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319"/>
    <w:multiLevelType w:val="hybridMultilevel"/>
    <w:tmpl w:val="CC883A72"/>
    <w:lvl w:ilvl="0" w:tplc="351CE0B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3914FD"/>
    <w:multiLevelType w:val="hybridMultilevel"/>
    <w:tmpl w:val="B826191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29E42E6"/>
    <w:multiLevelType w:val="hybridMultilevel"/>
    <w:tmpl w:val="C752078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57C43C3"/>
    <w:multiLevelType w:val="hybridMultilevel"/>
    <w:tmpl w:val="C13C9AC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8672593"/>
    <w:multiLevelType w:val="multilevel"/>
    <w:tmpl w:val="4AA8A2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E14D80"/>
    <w:multiLevelType w:val="hybridMultilevel"/>
    <w:tmpl w:val="D00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3538"/>
    <w:multiLevelType w:val="hybridMultilevel"/>
    <w:tmpl w:val="92C403D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5AB1ABA"/>
    <w:multiLevelType w:val="hybridMultilevel"/>
    <w:tmpl w:val="19B6999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14438"/>
    <w:multiLevelType w:val="hybridMultilevel"/>
    <w:tmpl w:val="C9B2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E3BCC"/>
    <w:multiLevelType w:val="hybridMultilevel"/>
    <w:tmpl w:val="8590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08B"/>
    <w:multiLevelType w:val="hybridMultilevel"/>
    <w:tmpl w:val="E4D67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6757D"/>
    <w:multiLevelType w:val="multilevel"/>
    <w:tmpl w:val="18F6F38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3" w15:restartNumberingAfterBreak="0">
    <w:nsid w:val="439F7973"/>
    <w:multiLevelType w:val="multilevel"/>
    <w:tmpl w:val="0E04143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color w:val="4C4845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4C4845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4C4845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4C4845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4C4845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4C4845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4C4845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4C4845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4C4845"/>
      </w:rPr>
    </w:lvl>
  </w:abstractNum>
  <w:abstractNum w:abstractNumId="14" w15:restartNumberingAfterBreak="0">
    <w:nsid w:val="5D4C09D8"/>
    <w:multiLevelType w:val="hybridMultilevel"/>
    <w:tmpl w:val="A1BAD5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E7E622B"/>
    <w:multiLevelType w:val="multilevel"/>
    <w:tmpl w:val="B9B8759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6" w15:restartNumberingAfterBreak="0">
    <w:nsid w:val="689B6039"/>
    <w:multiLevelType w:val="multilevel"/>
    <w:tmpl w:val="4BC6420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72FC0A83"/>
    <w:multiLevelType w:val="hybridMultilevel"/>
    <w:tmpl w:val="E734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10"/>
  </w:num>
  <w:num w:numId="14">
    <w:abstractNumId w:val="9"/>
  </w:num>
  <w:num w:numId="15">
    <w:abstractNumId w:val="17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sDCyNDeyNDI2NTNQ0lEKTi0uzszPAykwNK8FACvui0ItAAAA"/>
  </w:docVars>
  <w:rsids>
    <w:rsidRoot w:val="00A677DC"/>
    <w:rsid w:val="000028B3"/>
    <w:rsid w:val="00005A2F"/>
    <w:rsid w:val="00016BEA"/>
    <w:rsid w:val="00024B1C"/>
    <w:rsid w:val="00041ADD"/>
    <w:rsid w:val="00050E21"/>
    <w:rsid w:val="00051324"/>
    <w:rsid w:val="000525A4"/>
    <w:rsid w:val="00053BB4"/>
    <w:rsid w:val="000734E7"/>
    <w:rsid w:val="00096565"/>
    <w:rsid w:val="000973E6"/>
    <w:rsid w:val="000A4D8F"/>
    <w:rsid w:val="000C1FFC"/>
    <w:rsid w:val="000D0D62"/>
    <w:rsid w:val="000E6407"/>
    <w:rsid w:val="000E6538"/>
    <w:rsid w:val="000F4A71"/>
    <w:rsid w:val="000F60C2"/>
    <w:rsid w:val="00107131"/>
    <w:rsid w:val="0013021B"/>
    <w:rsid w:val="00131107"/>
    <w:rsid w:val="00141787"/>
    <w:rsid w:val="00161C46"/>
    <w:rsid w:val="001702CE"/>
    <w:rsid w:val="001840AC"/>
    <w:rsid w:val="001A2DF7"/>
    <w:rsid w:val="001A4200"/>
    <w:rsid w:val="001B5A30"/>
    <w:rsid w:val="001B5C5D"/>
    <w:rsid w:val="001C2E41"/>
    <w:rsid w:val="001C3B64"/>
    <w:rsid w:val="001F029F"/>
    <w:rsid w:val="0020440F"/>
    <w:rsid w:val="00204E2F"/>
    <w:rsid w:val="00213231"/>
    <w:rsid w:val="0021613F"/>
    <w:rsid w:val="00216B60"/>
    <w:rsid w:val="0022091B"/>
    <w:rsid w:val="00244292"/>
    <w:rsid w:val="002467E7"/>
    <w:rsid w:val="00254BA5"/>
    <w:rsid w:val="002839CA"/>
    <w:rsid w:val="00292154"/>
    <w:rsid w:val="002930A4"/>
    <w:rsid w:val="002A1A77"/>
    <w:rsid w:val="002A2CB5"/>
    <w:rsid w:val="002A465D"/>
    <w:rsid w:val="002A77B0"/>
    <w:rsid w:val="002B009C"/>
    <w:rsid w:val="002C7923"/>
    <w:rsid w:val="002C7BA2"/>
    <w:rsid w:val="002D794F"/>
    <w:rsid w:val="002E116F"/>
    <w:rsid w:val="002E177C"/>
    <w:rsid w:val="002E6C13"/>
    <w:rsid w:val="002F37C2"/>
    <w:rsid w:val="003210BA"/>
    <w:rsid w:val="00324EF2"/>
    <w:rsid w:val="0033110F"/>
    <w:rsid w:val="00337D12"/>
    <w:rsid w:val="00341895"/>
    <w:rsid w:val="003424B1"/>
    <w:rsid w:val="0034322B"/>
    <w:rsid w:val="00346355"/>
    <w:rsid w:val="00347502"/>
    <w:rsid w:val="003568EB"/>
    <w:rsid w:val="00357870"/>
    <w:rsid w:val="00371BBC"/>
    <w:rsid w:val="0037314A"/>
    <w:rsid w:val="0039198C"/>
    <w:rsid w:val="00391C0E"/>
    <w:rsid w:val="003A0694"/>
    <w:rsid w:val="003B1FC9"/>
    <w:rsid w:val="003B2AAF"/>
    <w:rsid w:val="003B7988"/>
    <w:rsid w:val="003D271D"/>
    <w:rsid w:val="003D3278"/>
    <w:rsid w:val="003D5775"/>
    <w:rsid w:val="003D6B11"/>
    <w:rsid w:val="003D786F"/>
    <w:rsid w:val="003E13CE"/>
    <w:rsid w:val="003E6093"/>
    <w:rsid w:val="003F07F3"/>
    <w:rsid w:val="003F2FF1"/>
    <w:rsid w:val="004003FA"/>
    <w:rsid w:val="00402B0A"/>
    <w:rsid w:val="00406DD6"/>
    <w:rsid w:val="00412DAF"/>
    <w:rsid w:val="00417695"/>
    <w:rsid w:val="00425990"/>
    <w:rsid w:val="00434D8F"/>
    <w:rsid w:val="004543E4"/>
    <w:rsid w:val="00457B3E"/>
    <w:rsid w:val="0046554B"/>
    <w:rsid w:val="00466A8A"/>
    <w:rsid w:val="00475286"/>
    <w:rsid w:val="0047640E"/>
    <w:rsid w:val="0048087A"/>
    <w:rsid w:val="0048276F"/>
    <w:rsid w:val="004831F2"/>
    <w:rsid w:val="00486174"/>
    <w:rsid w:val="004C5746"/>
    <w:rsid w:val="004C6440"/>
    <w:rsid w:val="0050464F"/>
    <w:rsid w:val="00537F27"/>
    <w:rsid w:val="00544E91"/>
    <w:rsid w:val="00547F19"/>
    <w:rsid w:val="00552696"/>
    <w:rsid w:val="00553153"/>
    <w:rsid w:val="005753B7"/>
    <w:rsid w:val="00592C37"/>
    <w:rsid w:val="005A0E04"/>
    <w:rsid w:val="005B1F7B"/>
    <w:rsid w:val="005B2B97"/>
    <w:rsid w:val="005B5120"/>
    <w:rsid w:val="005C4C11"/>
    <w:rsid w:val="005C6D9F"/>
    <w:rsid w:val="005D52C6"/>
    <w:rsid w:val="005D5952"/>
    <w:rsid w:val="005D7F9C"/>
    <w:rsid w:val="005F49E5"/>
    <w:rsid w:val="00600034"/>
    <w:rsid w:val="00604269"/>
    <w:rsid w:val="00606C31"/>
    <w:rsid w:val="0062260E"/>
    <w:rsid w:val="00644CC0"/>
    <w:rsid w:val="006452E1"/>
    <w:rsid w:val="00647C62"/>
    <w:rsid w:val="006508EC"/>
    <w:rsid w:val="00666841"/>
    <w:rsid w:val="00677236"/>
    <w:rsid w:val="00692FA8"/>
    <w:rsid w:val="006A2C31"/>
    <w:rsid w:val="006B00C7"/>
    <w:rsid w:val="006C2573"/>
    <w:rsid w:val="006C36C2"/>
    <w:rsid w:val="006D4839"/>
    <w:rsid w:val="006F0DAA"/>
    <w:rsid w:val="00704562"/>
    <w:rsid w:val="0071190C"/>
    <w:rsid w:val="00724A61"/>
    <w:rsid w:val="0074063A"/>
    <w:rsid w:val="00740CA8"/>
    <w:rsid w:val="00742323"/>
    <w:rsid w:val="007429EE"/>
    <w:rsid w:val="00747994"/>
    <w:rsid w:val="0075701F"/>
    <w:rsid w:val="0076431C"/>
    <w:rsid w:val="00783FAE"/>
    <w:rsid w:val="007A1795"/>
    <w:rsid w:val="007B63F1"/>
    <w:rsid w:val="007C3F99"/>
    <w:rsid w:val="007C498D"/>
    <w:rsid w:val="00811859"/>
    <w:rsid w:val="00813F7A"/>
    <w:rsid w:val="008219F0"/>
    <w:rsid w:val="008271DB"/>
    <w:rsid w:val="00840262"/>
    <w:rsid w:val="0084059C"/>
    <w:rsid w:val="0085003D"/>
    <w:rsid w:val="008509C8"/>
    <w:rsid w:val="00877A07"/>
    <w:rsid w:val="008838E9"/>
    <w:rsid w:val="00890F0E"/>
    <w:rsid w:val="008B531D"/>
    <w:rsid w:val="008C2FFA"/>
    <w:rsid w:val="008C6BD9"/>
    <w:rsid w:val="008F7670"/>
    <w:rsid w:val="00910B80"/>
    <w:rsid w:val="009117F2"/>
    <w:rsid w:val="00913783"/>
    <w:rsid w:val="009159CD"/>
    <w:rsid w:val="00931FDA"/>
    <w:rsid w:val="00937714"/>
    <w:rsid w:val="0095032B"/>
    <w:rsid w:val="009634A1"/>
    <w:rsid w:val="00966B1D"/>
    <w:rsid w:val="00970660"/>
    <w:rsid w:val="009745A9"/>
    <w:rsid w:val="009956E8"/>
    <w:rsid w:val="009A0F52"/>
    <w:rsid w:val="009A52D0"/>
    <w:rsid w:val="009A5DDD"/>
    <w:rsid w:val="009B62FD"/>
    <w:rsid w:val="009D2EB4"/>
    <w:rsid w:val="009D504E"/>
    <w:rsid w:val="009E1611"/>
    <w:rsid w:val="009F1270"/>
    <w:rsid w:val="009F51FD"/>
    <w:rsid w:val="00A05958"/>
    <w:rsid w:val="00A17E0A"/>
    <w:rsid w:val="00A23575"/>
    <w:rsid w:val="00A23824"/>
    <w:rsid w:val="00A24A7C"/>
    <w:rsid w:val="00A26A1B"/>
    <w:rsid w:val="00A338B8"/>
    <w:rsid w:val="00A46362"/>
    <w:rsid w:val="00A51E81"/>
    <w:rsid w:val="00A60474"/>
    <w:rsid w:val="00A677DC"/>
    <w:rsid w:val="00A70975"/>
    <w:rsid w:val="00A749E7"/>
    <w:rsid w:val="00AA29B3"/>
    <w:rsid w:val="00AB303A"/>
    <w:rsid w:val="00AD152C"/>
    <w:rsid w:val="00AE0B63"/>
    <w:rsid w:val="00AF23D7"/>
    <w:rsid w:val="00AF3D7D"/>
    <w:rsid w:val="00B00D51"/>
    <w:rsid w:val="00B216FA"/>
    <w:rsid w:val="00B36E09"/>
    <w:rsid w:val="00B418E8"/>
    <w:rsid w:val="00B54748"/>
    <w:rsid w:val="00B63B23"/>
    <w:rsid w:val="00B7040D"/>
    <w:rsid w:val="00B74E07"/>
    <w:rsid w:val="00B81EE9"/>
    <w:rsid w:val="00BA4394"/>
    <w:rsid w:val="00BB0A99"/>
    <w:rsid w:val="00BB4626"/>
    <w:rsid w:val="00BD34F1"/>
    <w:rsid w:val="00C11B47"/>
    <w:rsid w:val="00C210E3"/>
    <w:rsid w:val="00C317E8"/>
    <w:rsid w:val="00C32BD6"/>
    <w:rsid w:val="00C33A30"/>
    <w:rsid w:val="00C36D74"/>
    <w:rsid w:val="00C47489"/>
    <w:rsid w:val="00C53D0D"/>
    <w:rsid w:val="00C73EFF"/>
    <w:rsid w:val="00C83548"/>
    <w:rsid w:val="00C92976"/>
    <w:rsid w:val="00CB3043"/>
    <w:rsid w:val="00CC2A76"/>
    <w:rsid w:val="00CD4850"/>
    <w:rsid w:val="00CE373B"/>
    <w:rsid w:val="00CE3B1D"/>
    <w:rsid w:val="00CE4D42"/>
    <w:rsid w:val="00CE616A"/>
    <w:rsid w:val="00CF15FA"/>
    <w:rsid w:val="00CF2634"/>
    <w:rsid w:val="00CF5B54"/>
    <w:rsid w:val="00D02123"/>
    <w:rsid w:val="00D10EF5"/>
    <w:rsid w:val="00D13F91"/>
    <w:rsid w:val="00D26AE1"/>
    <w:rsid w:val="00D44916"/>
    <w:rsid w:val="00D74702"/>
    <w:rsid w:val="00D8022B"/>
    <w:rsid w:val="00D86C2E"/>
    <w:rsid w:val="00D90D59"/>
    <w:rsid w:val="00D95D8C"/>
    <w:rsid w:val="00DA0FF8"/>
    <w:rsid w:val="00DA6D8A"/>
    <w:rsid w:val="00DB40E1"/>
    <w:rsid w:val="00DC0977"/>
    <w:rsid w:val="00DC09C6"/>
    <w:rsid w:val="00DC32E2"/>
    <w:rsid w:val="00DC551C"/>
    <w:rsid w:val="00DD53FA"/>
    <w:rsid w:val="00DD5AA8"/>
    <w:rsid w:val="00DD5D50"/>
    <w:rsid w:val="00DF1BB3"/>
    <w:rsid w:val="00DF7DAF"/>
    <w:rsid w:val="00E02A4F"/>
    <w:rsid w:val="00E25118"/>
    <w:rsid w:val="00E3100C"/>
    <w:rsid w:val="00E34382"/>
    <w:rsid w:val="00E351D0"/>
    <w:rsid w:val="00E36D2B"/>
    <w:rsid w:val="00E40234"/>
    <w:rsid w:val="00E42FB3"/>
    <w:rsid w:val="00E5024D"/>
    <w:rsid w:val="00E5056A"/>
    <w:rsid w:val="00E51FBD"/>
    <w:rsid w:val="00E571BA"/>
    <w:rsid w:val="00E574F6"/>
    <w:rsid w:val="00E71A31"/>
    <w:rsid w:val="00E71EB0"/>
    <w:rsid w:val="00EA5637"/>
    <w:rsid w:val="00EA7856"/>
    <w:rsid w:val="00EB7C4E"/>
    <w:rsid w:val="00EC07A4"/>
    <w:rsid w:val="00ED3003"/>
    <w:rsid w:val="00ED4CE5"/>
    <w:rsid w:val="00EE7FB0"/>
    <w:rsid w:val="00EF3920"/>
    <w:rsid w:val="00EF6510"/>
    <w:rsid w:val="00EF668B"/>
    <w:rsid w:val="00F00EF0"/>
    <w:rsid w:val="00F03B82"/>
    <w:rsid w:val="00F07858"/>
    <w:rsid w:val="00F07A3B"/>
    <w:rsid w:val="00F10E0A"/>
    <w:rsid w:val="00F14438"/>
    <w:rsid w:val="00F16644"/>
    <w:rsid w:val="00F36641"/>
    <w:rsid w:val="00F36D81"/>
    <w:rsid w:val="00F400DF"/>
    <w:rsid w:val="00F42BFE"/>
    <w:rsid w:val="00F53006"/>
    <w:rsid w:val="00F64BE8"/>
    <w:rsid w:val="00F713A0"/>
    <w:rsid w:val="00F7197B"/>
    <w:rsid w:val="00F93F04"/>
    <w:rsid w:val="00FA6701"/>
    <w:rsid w:val="00FD1C8B"/>
    <w:rsid w:val="00FF6237"/>
    <w:rsid w:val="00FF70A8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4A0AD"/>
  <w15:chartTrackingRefBased/>
  <w15:docId w15:val="{39F8C86B-61A8-45BB-8254-E6B7B705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A677D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H23G">
    <w:name w:val="_ H_2/3_G"/>
    <w:basedOn w:val="Normal"/>
    <w:next w:val="Normal"/>
    <w:rsid w:val="00A677DC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styleId="Hyperlink">
    <w:name w:val="Hyperlink"/>
    <w:uiPriority w:val="99"/>
    <w:rsid w:val="00A677DC"/>
    <w:rPr>
      <w:color w:val="auto"/>
      <w:u w:val="none"/>
    </w:rPr>
  </w:style>
  <w:style w:type="character" w:customStyle="1" w:styleId="SingleTxtGChar">
    <w:name w:val="_ Single Txt_G Char"/>
    <w:link w:val="SingleTxtG"/>
    <w:rsid w:val="00A677D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HChG">
    <w:name w:val="_ H _Ch_G"/>
    <w:basedOn w:val="Normal"/>
    <w:next w:val="Normal"/>
    <w:link w:val="HChGChar"/>
    <w:qFormat/>
    <w:rsid w:val="00A677D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A677D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B82"/>
  </w:style>
  <w:style w:type="paragraph" w:styleId="Footer">
    <w:name w:val="footer"/>
    <w:basedOn w:val="Normal"/>
    <w:link w:val="FooterChar"/>
    <w:uiPriority w:val="99"/>
    <w:unhideWhenUsed/>
    <w:rsid w:val="00F0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B82"/>
  </w:style>
  <w:style w:type="paragraph" w:styleId="ListParagraph">
    <w:name w:val="List Paragraph"/>
    <w:basedOn w:val="Normal"/>
    <w:uiPriority w:val="34"/>
    <w:qFormat/>
    <w:rsid w:val="00913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551C"/>
    <w:rPr>
      <w:rFonts w:ascii="Segoe UI" w:hAnsi="Segoe UI" w:cs="Segoe UI"/>
      <w:sz w:val="18"/>
      <w:szCs w:val="18"/>
    </w:rPr>
  </w:style>
  <w:style w:type="character" w:customStyle="1" w:styleId="SingleTxtGCharChar">
    <w:name w:val="_ Single Txt_G Char Char"/>
    <w:rsid w:val="0071190C"/>
    <w:rPr>
      <w:lang w:val="en-US" w:eastAsia="en-US"/>
    </w:rPr>
  </w:style>
  <w:style w:type="paragraph" w:customStyle="1" w:styleId="Default">
    <w:name w:val="Default"/>
    <w:rsid w:val="007119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semiHidden/>
    <w:rsid w:val="00A05958"/>
    <w:pPr>
      <w:spacing w:after="0" w:line="240" w:lineRule="auto"/>
      <w:jc w:val="center"/>
    </w:pPr>
    <w:rPr>
      <w:rFonts w:ascii="Univers" w:eastAsia="Times New Roman" w:hAnsi="Univers"/>
      <w:b/>
      <w:caps/>
      <w:sz w:val="20"/>
      <w:szCs w:val="20"/>
      <w:lang w:val="en-GB"/>
    </w:rPr>
  </w:style>
  <w:style w:type="character" w:customStyle="1" w:styleId="BodyText2Char">
    <w:name w:val="Body Text 2 Char"/>
    <w:link w:val="BodyText2"/>
    <w:semiHidden/>
    <w:rsid w:val="00A05958"/>
    <w:rPr>
      <w:rFonts w:ascii="Univers" w:eastAsia="Times New Roman" w:hAnsi="Univers"/>
      <w:b/>
      <w:caps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A0595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A05958"/>
    <w:rPr>
      <w:rFonts w:ascii="Times New Roman" w:eastAsia="Times New Roman" w:hAnsi="Times New Roman"/>
      <w:b/>
      <w:sz w:val="24"/>
      <w:lang w:val="en-GB" w:eastAsia="en-US"/>
    </w:rPr>
  </w:style>
  <w:style w:type="character" w:customStyle="1" w:styleId="h-block">
    <w:name w:val="h-block"/>
    <w:rsid w:val="001B5C5D"/>
  </w:style>
  <w:style w:type="character" w:styleId="CommentReference">
    <w:name w:val="annotation reference"/>
    <w:uiPriority w:val="99"/>
    <w:semiHidden/>
    <w:unhideWhenUsed/>
    <w:rsid w:val="00EC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7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07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07A4"/>
    <w:rPr>
      <w:b/>
      <w:bCs/>
      <w:lang w:val="en-US" w:eastAsia="en-US"/>
    </w:rPr>
  </w:style>
  <w:style w:type="table" w:styleId="TableGrid">
    <w:name w:val="Table Grid"/>
    <w:basedOn w:val="TableNormal"/>
    <w:rsid w:val="0076431C"/>
    <w:pPr>
      <w:suppressAutoHyphens/>
      <w:spacing w:line="240" w:lineRule="atLeast"/>
    </w:pPr>
    <w:rPr>
      <w:rFonts w:ascii="Times New Roman" w:eastAsiaTheme="minorEastAsia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E. Guichard</dc:creator>
  <cp:keywords/>
  <cp:lastModifiedBy>Francois Cuenot</cp:lastModifiedBy>
  <cp:revision>9</cp:revision>
  <cp:lastPrinted>2019-05-07T12:51:00Z</cp:lastPrinted>
  <dcterms:created xsi:type="dcterms:W3CDTF">2020-05-29T06:10:00Z</dcterms:created>
  <dcterms:modified xsi:type="dcterms:W3CDTF">2020-06-06T21:23:00Z</dcterms:modified>
</cp:coreProperties>
</file>