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CFC9" w14:textId="77777777" w:rsidR="00BD544F" w:rsidRDefault="008225BC" w:rsidP="00BD544F">
      <w:pPr>
        <w:pStyle w:val="HChG"/>
        <w:tabs>
          <w:tab w:val="clear" w:pos="851"/>
        </w:tabs>
        <w:spacing w:before="0" w:after="0"/>
        <w:ind w:firstLine="0"/>
        <w:jc w:val="center"/>
        <w:rPr>
          <w:color w:val="000000" w:themeColor="text1"/>
          <w:lang w:val="en-US"/>
        </w:rPr>
      </w:pPr>
      <w:r w:rsidRPr="00B6567D">
        <w:rPr>
          <w:lang w:val="en-US"/>
        </w:rPr>
        <w:t xml:space="preserve">Proposal for </w:t>
      </w:r>
      <w:r>
        <w:rPr>
          <w:lang w:val="en-US"/>
        </w:rPr>
        <w:t xml:space="preserve">amendments to the </w:t>
      </w:r>
      <w:r w:rsidR="00BD544F">
        <w:rPr>
          <w:lang w:val="en-US"/>
        </w:rPr>
        <w:t xml:space="preserve">05, </w:t>
      </w:r>
      <w:r>
        <w:rPr>
          <w:lang w:val="en-US"/>
        </w:rPr>
        <w:t xml:space="preserve">06 and </w:t>
      </w:r>
      <w:r w:rsidRPr="00BE1AC2">
        <w:rPr>
          <w:color w:val="000000" w:themeColor="text1"/>
        </w:rPr>
        <w:t xml:space="preserve">07 series </w:t>
      </w:r>
      <w:r w:rsidRPr="00BE1AC2">
        <w:rPr>
          <w:color w:val="000000" w:themeColor="text1"/>
          <w:lang w:val="en-US"/>
        </w:rPr>
        <w:t>of amendments to UN Regulation No. 83</w:t>
      </w:r>
      <w:r>
        <w:rPr>
          <w:color w:val="000000" w:themeColor="text1"/>
          <w:lang w:val="en-US"/>
        </w:rPr>
        <w:t xml:space="preserve"> </w:t>
      </w:r>
      <w:bookmarkStart w:id="0" w:name="_GoBack"/>
      <w:bookmarkEnd w:id="0"/>
    </w:p>
    <w:p w14:paraId="199C5CFC" w14:textId="14B1C4E2" w:rsidR="008225BC" w:rsidRDefault="008225BC" w:rsidP="00BD544F">
      <w:pPr>
        <w:pStyle w:val="HChG"/>
        <w:tabs>
          <w:tab w:val="clear" w:pos="851"/>
        </w:tabs>
        <w:spacing w:before="0" w:after="0"/>
        <w:ind w:firstLine="0"/>
        <w:jc w:val="center"/>
        <w:rPr>
          <w:lang w:val="en-US"/>
        </w:rPr>
      </w:pPr>
      <w:r>
        <w:rPr>
          <w:lang w:val="en-US"/>
        </w:rPr>
        <w:t xml:space="preserve">superseding </w:t>
      </w:r>
      <w:r w:rsidRPr="00867D0E">
        <w:rPr>
          <w:lang w:val="en-US"/>
        </w:rPr>
        <w:t>ECE/TRANS/WP.29/GRPE/2020/</w:t>
      </w:r>
      <w:r w:rsidR="004218DF">
        <w:rPr>
          <w:lang w:val="en-US"/>
        </w:rPr>
        <w:t>10</w:t>
      </w:r>
    </w:p>
    <w:p w14:paraId="1EA7FBD4" w14:textId="77777777" w:rsidR="000F4D94" w:rsidRDefault="000F4D94" w:rsidP="000F4D94">
      <w:pPr>
        <w:pStyle w:val="HChG"/>
        <w:tabs>
          <w:tab w:val="clear" w:pos="851"/>
        </w:tabs>
        <w:ind w:hanging="567"/>
      </w:pPr>
      <w:r w:rsidRPr="00FD4196">
        <w:t>I.</w:t>
      </w:r>
      <w:r w:rsidRPr="00FD4196">
        <w:tab/>
      </w:r>
      <w:r>
        <w:t>Proposal</w:t>
      </w:r>
    </w:p>
    <w:p w14:paraId="3C0215CE" w14:textId="77777777" w:rsidR="004218DF" w:rsidRPr="007E2877" w:rsidRDefault="004218DF" w:rsidP="004218DF">
      <w:pPr>
        <w:spacing w:after="120"/>
        <w:ind w:left="1134" w:right="1134"/>
        <w:jc w:val="both"/>
        <w:rPr>
          <w:i/>
          <w:lang w:eastAsia="ja-JP"/>
        </w:rPr>
      </w:pPr>
      <w:r w:rsidRPr="007E2877">
        <w:rPr>
          <w:i/>
          <w:lang w:val="en-US" w:eastAsia="en-US"/>
        </w:rPr>
        <w:t>In the 05, 06 &amp; 07 series of amendments,</w:t>
      </w:r>
      <w:r w:rsidRPr="007E2877">
        <w:rPr>
          <w:lang w:eastAsia="en-US"/>
        </w:rPr>
        <w:t xml:space="preserve"> </w:t>
      </w:r>
      <w:r w:rsidRPr="007E2877">
        <w:rPr>
          <w:i/>
          <w:lang w:val="en-US" w:eastAsia="en-US"/>
        </w:rPr>
        <w:t>Annex 4A, Appendix 3, Paragraph 2.</w:t>
      </w:r>
      <w:r w:rsidRPr="007E2877">
        <w:rPr>
          <w:rFonts w:hint="eastAsia"/>
          <w:i/>
          <w:lang w:eastAsia="ja-JP"/>
        </w:rPr>
        <w:t>,</w:t>
      </w:r>
      <w:r w:rsidRPr="007E2877">
        <w:rPr>
          <w:rFonts w:hint="eastAsia"/>
          <w:lang w:eastAsia="ja-JP"/>
        </w:rPr>
        <w:t xml:space="preserve"> amend </w:t>
      </w:r>
      <w:r w:rsidRPr="007E2877">
        <w:rPr>
          <w:lang w:eastAsia="ja-JP"/>
        </w:rPr>
        <w:t>to read</w:t>
      </w:r>
      <w:r w:rsidRPr="007E2877">
        <w:rPr>
          <w:rFonts w:hint="eastAsia"/>
          <w:lang w:eastAsia="ja-JP"/>
        </w:rPr>
        <w:t>:</w:t>
      </w:r>
    </w:p>
    <w:p w14:paraId="370B4A2A" w14:textId="77777777" w:rsidR="004218DF" w:rsidRPr="007E2877" w:rsidRDefault="004218DF" w:rsidP="004218DF">
      <w:pPr>
        <w:spacing w:after="120"/>
        <w:ind w:left="2268" w:right="1134" w:hanging="1134"/>
        <w:jc w:val="both"/>
        <w:rPr>
          <w:lang w:eastAsia="en-US"/>
        </w:rPr>
      </w:pPr>
      <w:r w:rsidRPr="007E2877">
        <w:rPr>
          <w:lang w:eastAsia="en-US"/>
        </w:rPr>
        <w:t xml:space="preserve">"2. </w:t>
      </w:r>
      <w:r w:rsidRPr="007E2877">
        <w:rPr>
          <w:lang w:eastAsia="en-US"/>
        </w:rPr>
        <w:tab/>
        <w:t>Calibration procedures</w:t>
      </w:r>
    </w:p>
    <w:p w14:paraId="47290E4A" w14:textId="77777777" w:rsidR="004218DF" w:rsidRDefault="004218DF" w:rsidP="004218DF">
      <w:pPr>
        <w:spacing w:after="120"/>
        <w:ind w:left="2300" w:right="1134" w:hanging="32"/>
        <w:jc w:val="both"/>
        <w:rPr>
          <w:lang w:eastAsia="en-US"/>
        </w:rPr>
      </w:pPr>
      <w:r w:rsidRPr="007E2877">
        <w:rPr>
          <w:b/>
          <w:bCs/>
          <w:lang w:eastAsia="en-US"/>
        </w:rPr>
        <w:t>For test and measurement equipment that is compliant with the technical requirements of UN GTR No. 15, the maintenance and calibration requirements described in that UN GTR may be followed, in all other cases the following requirements shall apply:</w:t>
      </w:r>
      <w:r w:rsidRPr="007E2877">
        <w:rPr>
          <w:lang w:eastAsia="en-US"/>
        </w:rPr>
        <w:t>"</w:t>
      </w:r>
    </w:p>
    <w:p w14:paraId="0D160F58" w14:textId="13C10A75" w:rsidR="004218DF" w:rsidRPr="00CC2925" w:rsidRDefault="004218DF" w:rsidP="004218DF">
      <w:pPr>
        <w:spacing w:after="120"/>
        <w:ind w:left="1134" w:right="1134"/>
        <w:jc w:val="both"/>
        <w:rPr>
          <w:rFonts w:eastAsia="MS Mincho"/>
          <w:i/>
        </w:rPr>
      </w:pPr>
      <w:r w:rsidRPr="007E2877">
        <w:rPr>
          <w:i/>
          <w:lang w:val="en-US" w:eastAsia="en-US"/>
        </w:rPr>
        <w:t>In the 07 series of amendments,</w:t>
      </w:r>
      <w:r w:rsidRPr="00FF1675">
        <w:rPr>
          <w:rFonts w:eastAsia="MS Mincho"/>
          <w:i/>
        </w:rPr>
        <w:t xml:space="preserve"> </w:t>
      </w:r>
      <w:r w:rsidRPr="00CC2925">
        <w:rPr>
          <w:rFonts w:eastAsia="MS Mincho"/>
          <w:i/>
        </w:rPr>
        <w:t>Annex 11</w:t>
      </w:r>
      <w:r>
        <w:rPr>
          <w:rFonts w:eastAsia="MS Mincho"/>
          <w:i/>
        </w:rPr>
        <w:t xml:space="preserve">, </w:t>
      </w:r>
      <w:r w:rsidRPr="00CC2925">
        <w:rPr>
          <w:rFonts w:eastAsia="MS Mincho"/>
          <w:i/>
        </w:rPr>
        <w:t xml:space="preserve">Paragraph 4.4 </w:t>
      </w:r>
      <w:r w:rsidRPr="00CC2925">
        <w:rPr>
          <w:rFonts w:eastAsia="MS Mincho"/>
        </w:rPr>
        <w:t>amend to read:</w:t>
      </w:r>
    </w:p>
    <w:p w14:paraId="22574A02" w14:textId="2793DBA6" w:rsidR="004218DF" w:rsidRPr="00CC2925" w:rsidRDefault="004218DF" w:rsidP="004218DF">
      <w:pPr>
        <w:ind w:left="2268" w:right="1134" w:hanging="1134"/>
      </w:pPr>
      <w:r>
        <w:t>“</w:t>
      </w:r>
      <w:r w:rsidRPr="00CC2925">
        <w:t xml:space="preserve">4.4. </w:t>
      </w:r>
      <w:r>
        <w:tab/>
      </w:r>
      <w:r w:rsidRPr="00CC2925">
        <w:t xml:space="preserve">Prior to or at the time of type approval, no deficiency shall be granted in respect of the requirements of paragraph 6.5., except paragraph </w:t>
      </w:r>
      <w:r w:rsidRPr="00CC2925">
        <w:rPr>
          <w:strike/>
        </w:rPr>
        <w:t>6.5.3.4.</w:t>
      </w:r>
      <w:r w:rsidRPr="00CC2925">
        <w:t xml:space="preserve"> </w:t>
      </w:r>
      <w:r w:rsidRPr="00CC2925">
        <w:rPr>
          <w:b/>
        </w:rPr>
        <w:t>6.5.3.5</w:t>
      </w:r>
      <w:r w:rsidRPr="00CC2925">
        <w:t>, of Appendix 1 to this annex.</w:t>
      </w:r>
      <w:r>
        <w:t>”</w:t>
      </w:r>
    </w:p>
    <w:p w14:paraId="35C76241" w14:textId="77777777" w:rsidR="004218DF" w:rsidRPr="007E2877" w:rsidRDefault="004218DF" w:rsidP="004218DF">
      <w:pPr>
        <w:keepNext/>
        <w:keepLines/>
        <w:spacing w:before="360" w:after="240" w:line="300" w:lineRule="exact"/>
        <w:ind w:left="1134" w:right="1134" w:hanging="567"/>
        <w:rPr>
          <w:b/>
          <w:sz w:val="28"/>
          <w:lang w:eastAsia="en-US"/>
        </w:rPr>
      </w:pPr>
      <w:r w:rsidRPr="007E2877">
        <w:rPr>
          <w:b/>
          <w:sz w:val="28"/>
          <w:lang w:val="en-US" w:eastAsia="en-US"/>
        </w:rPr>
        <w:t>II.</w:t>
      </w:r>
      <w:r w:rsidRPr="007E2877">
        <w:rPr>
          <w:b/>
          <w:sz w:val="28"/>
          <w:lang w:val="en-US" w:eastAsia="en-US"/>
        </w:rPr>
        <w:tab/>
        <w:t>Justification</w:t>
      </w:r>
    </w:p>
    <w:p w14:paraId="3D1124A4" w14:textId="3E30681D" w:rsidR="004218DF" w:rsidRPr="004218DF" w:rsidRDefault="004218DF" w:rsidP="004218DF">
      <w:pPr>
        <w:pStyle w:val="ListParagraph"/>
        <w:numPr>
          <w:ilvl w:val="0"/>
          <w:numId w:val="4"/>
        </w:numPr>
        <w:spacing w:after="120"/>
        <w:ind w:left="1134" w:right="1134" w:firstLine="0"/>
        <w:rPr>
          <w:sz w:val="20"/>
          <w:szCs w:val="20"/>
        </w:rPr>
      </w:pPr>
      <w:r w:rsidRPr="004218DF">
        <w:rPr>
          <w:sz w:val="20"/>
          <w:szCs w:val="20"/>
        </w:rPr>
        <w:t>UN GTR No. 15 has brought all maintenance and calibration requirements up to date reflecting the capabilities of state-of-the-art equipment.</w:t>
      </w:r>
    </w:p>
    <w:p w14:paraId="55B776ED" w14:textId="77777777" w:rsidR="004218DF" w:rsidRPr="004218DF" w:rsidRDefault="004218DF" w:rsidP="004218DF">
      <w:pPr>
        <w:spacing w:after="120"/>
        <w:ind w:left="1134" w:right="1134"/>
        <w:jc w:val="both"/>
        <w:rPr>
          <w:lang w:eastAsia="ja-JP"/>
        </w:rPr>
      </w:pPr>
      <w:r w:rsidRPr="004218DF">
        <w:rPr>
          <w:lang w:eastAsia="ja-JP"/>
        </w:rPr>
        <w:t>2.</w:t>
      </w:r>
      <w:r w:rsidRPr="004218DF">
        <w:rPr>
          <w:lang w:eastAsia="ja-JP"/>
        </w:rPr>
        <w:tab/>
        <w:t>Most laboratories have been or will be updated to be capable of testing to UN GTR No. 15 but will still be used for testing to NEDC for the foreseeable future.</w:t>
      </w:r>
    </w:p>
    <w:p w14:paraId="7A5A49A5" w14:textId="77777777" w:rsidR="004218DF" w:rsidRPr="004218DF" w:rsidRDefault="004218DF" w:rsidP="004218DF">
      <w:pPr>
        <w:spacing w:after="120"/>
        <w:ind w:left="1134" w:right="1134"/>
        <w:jc w:val="both"/>
        <w:rPr>
          <w:lang w:eastAsia="ja-JP"/>
        </w:rPr>
      </w:pPr>
      <w:r w:rsidRPr="004218DF">
        <w:rPr>
          <w:lang w:eastAsia="ja-JP"/>
        </w:rPr>
        <w:t>3.</w:t>
      </w:r>
      <w:r w:rsidRPr="004218DF">
        <w:rPr>
          <w:lang w:eastAsia="ja-JP"/>
        </w:rPr>
        <w:tab/>
        <w:t xml:space="preserve">In order to remove the risk that equipment </w:t>
      </w:r>
      <w:proofErr w:type="gramStart"/>
      <w:r w:rsidRPr="004218DF">
        <w:rPr>
          <w:lang w:eastAsia="ja-JP"/>
        </w:rPr>
        <w:t>has to</w:t>
      </w:r>
      <w:proofErr w:type="gramEnd"/>
      <w:r w:rsidRPr="004218DF">
        <w:rPr>
          <w:lang w:eastAsia="ja-JP"/>
        </w:rPr>
        <w:t xml:space="preserve"> be calibrated more often than necessary, UN Regulation No. 83 should be updated to recognise the equipment in WLTP capable laboratories.</w:t>
      </w:r>
    </w:p>
    <w:p w14:paraId="74C84031" w14:textId="77777777" w:rsidR="004218DF" w:rsidRPr="004218DF" w:rsidRDefault="004218DF" w:rsidP="004218DF">
      <w:pPr>
        <w:ind w:left="1134" w:right="1134"/>
        <w:rPr>
          <w:b/>
          <w:bCs/>
        </w:rPr>
      </w:pPr>
      <w:r w:rsidRPr="004218DF">
        <w:rPr>
          <w:b/>
          <w:bCs/>
          <w:lang w:eastAsia="ja-JP"/>
        </w:rPr>
        <w:t>4.</w:t>
      </w:r>
      <w:r w:rsidRPr="004218DF">
        <w:rPr>
          <w:b/>
          <w:bCs/>
          <w:lang w:eastAsia="ja-JP"/>
        </w:rPr>
        <w:tab/>
      </w:r>
      <w:r w:rsidRPr="004218DF">
        <w:rPr>
          <w:b/>
          <w:bCs/>
        </w:rPr>
        <w:t xml:space="preserve">In the 07 series of amendments (with amendment 1), paragraphs were renumbered because of a newly inserted paragraph. </w:t>
      </w:r>
      <w:proofErr w:type="gramStart"/>
      <w:r w:rsidRPr="004218DF">
        <w:rPr>
          <w:b/>
          <w:bCs/>
        </w:rPr>
        <w:t>So</w:t>
      </w:r>
      <w:proofErr w:type="gramEnd"/>
      <w:r w:rsidRPr="004218DF">
        <w:rPr>
          <w:b/>
          <w:bCs/>
        </w:rPr>
        <w:t xml:space="preserve"> the reference above should read now 6.5.3.5.</w:t>
      </w:r>
    </w:p>
    <w:p w14:paraId="41537E61" w14:textId="77777777" w:rsidR="004218DF" w:rsidRPr="004218DF" w:rsidRDefault="004218DF" w:rsidP="004218DF">
      <w:pPr>
        <w:ind w:left="1134"/>
        <w:rPr>
          <w:b/>
          <w:bCs/>
        </w:rPr>
      </w:pPr>
    </w:p>
    <w:p w14:paraId="3B241C57" w14:textId="77777777" w:rsidR="004218DF" w:rsidRPr="004218DF" w:rsidRDefault="004218DF" w:rsidP="004218DF">
      <w:pPr>
        <w:spacing w:after="120"/>
        <w:ind w:left="2410" w:right="1134" w:hanging="1276"/>
        <w:jc w:val="both"/>
        <w:rPr>
          <w:lang w:eastAsia="ja-JP"/>
        </w:rPr>
      </w:pPr>
      <w:r w:rsidRPr="004218DF">
        <w:rPr>
          <w:b/>
          <w:bCs/>
        </w:rPr>
        <w:t>“</w:t>
      </w:r>
      <w:r w:rsidRPr="004218DF">
        <w:rPr>
          <w:lang w:eastAsia="ja-JP"/>
        </w:rPr>
        <w:t xml:space="preserve">6.5.3.4.        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 </w:t>
      </w:r>
    </w:p>
    <w:p w14:paraId="73600BEC" w14:textId="77777777" w:rsidR="004218DF" w:rsidRPr="004218DF" w:rsidRDefault="004218DF" w:rsidP="004218DF">
      <w:pPr>
        <w:spacing w:after="120"/>
        <w:ind w:left="2410" w:right="1134"/>
        <w:jc w:val="both"/>
        <w:rPr>
          <w:b/>
          <w:bCs/>
        </w:rPr>
      </w:pPr>
      <w:r w:rsidRPr="004218DF">
        <w:rPr>
          <w:lang w:eastAsia="ja-JP"/>
        </w:rPr>
        <w:t>The vehicle manufacturer shall provide to a national standardisation body the details of any emission-related diagnostic data, e.g. PID’s, OBD monitor Id’s, Test ID’s not specified in the standard listed in paragraph 6.5.3.2.(a) of this Regulation but related to this Regulation.</w:t>
      </w:r>
    </w:p>
    <w:p w14:paraId="454B5BB6" w14:textId="1EC365F7" w:rsidR="001F06EB" w:rsidRPr="004218DF" w:rsidRDefault="004218DF" w:rsidP="004218DF">
      <w:pPr>
        <w:ind w:left="2410" w:right="1134" w:hanging="1276"/>
        <w:rPr>
          <w:lang w:eastAsia="ja-JP"/>
        </w:rPr>
      </w:pPr>
      <w:r w:rsidRPr="004218DF">
        <w:rPr>
          <w:b/>
          <w:bCs/>
        </w:rPr>
        <w:t xml:space="preserve">6.5.3.5.          </w:t>
      </w:r>
      <w:r w:rsidRPr="004218DF">
        <w:rPr>
          <w:b/>
          <w:bCs/>
        </w:rPr>
        <w:tab/>
      </w:r>
      <w:r w:rsidRPr="004218DF">
        <w:rPr>
          <w:lang w:eastAsia="ja-JP"/>
        </w:rPr>
        <w:t>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manufacturer may use manufacturer controlled diagnostic trouble codes according to the same standard. The fault codes shall be fully accessible by standardised diagnostic equipment complying with the provisions of paragraph 6.5.3.3. of this appendix.</w:t>
      </w:r>
    </w:p>
    <w:p w14:paraId="492B7339" w14:textId="2FB18E9C" w:rsidR="004218DF" w:rsidRDefault="004218DF" w:rsidP="004218DF">
      <w:pPr>
        <w:spacing w:before="240"/>
        <w:jc w:val="center"/>
      </w:pPr>
      <w:r>
        <w:rPr>
          <w:u w:val="single"/>
          <w:lang w:eastAsia="en-US"/>
        </w:rPr>
        <w:tab/>
      </w:r>
      <w:r>
        <w:rPr>
          <w:u w:val="single"/>
          <w:lang w:eastAsia="en-US"/>
        </w:rPr>
        <w:tab/>
      </w:r>
      <w:r>
        <w:rPr>
          <w:u w:val="single"/>
          <w:lang w:eastAsia="en-US"/>
        </w:rPr>
        <w:tab/>
      </w:r>
    </w:p>
    <w:sectPr w:rsidR="004218DF" w:rsidSect="007B02AA">
      <w:headerReference w:type="even" r:id="rId7"/>
      <w:headerReference w:type="default" r:id="rId8"/>
      <w:footerReference w:type="even" r:id="rId9"/>
      <w:footerReference w:type="default" r:id="rId10"/>
      <w:headerReference w:type="firs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87C14" w14:textId="77777777" w:rsidR="00AC0845" w:rsidRDefault="00C83058">
      <w:pPr>
        <w:spacing w:line="240" w:lineRule="auto"/>
      </w:pPr>
      <w:r>
        <w:separator/>
      </w:r>
    </w:p>
  </w:endnote>
  <w:endnote w:type="continuationSeparator" w:id="0">
    <w:p w14:paraId="64D09314" w14:textId="77777777" w:rsidR="00AC0845" w:rsidRDefault="00C83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674A" w14:textId="77777777" w:rsidR="007B02AA" w:rsidRPr="007B02AA" w:rsidRDefault="000F4D94"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4</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DD3D" w14:textId="77777777" w:rsidR="007B02AA" w:rsidRPr="007B02AA" w:rsidRDefault="000F4D94"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Pr>
        <w:b/>
        <w:noProof/>
        <w:sz w:val="18"/>
      </w:rPr>
      <w:t>3</w:t>
    </w:r>
    <w:r w:rsidRPr="007B02A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BE06" w14:textId="77777777" w:rsidR="00AC0845" w:rsidRDefault="00C83058">
      <w:pPr>
        <w:spacing w:line="240" w:lineRule="auto"/>
      </w:pPr>
      <w:r>
        <w:separator/>
      </w:r>
    </w:p>
  </w:footnote>
  <w:footnote w:type="continuationSeparator" w:id="0">
    <w:p w14:paraId="5C514475" w14:textId="77777777" w:rsidR="00AC0845" w:rsidRDefault="00C830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039E" w14:textId="77777777" w:rsidR="007B02AA" w:rsidRPr="0089710A" w:rsidRDefault="000F4D94" w:rsidP="0089710A">
    <w:pPr>
      <w:pStyle w:val="Header"/>
    </w:pPr>
    <w:r w:rsidRPr="0089710A">
      <w:t>GRPE-80-xx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3CAF" w14:textId="321FC050" w:rsidR="007B02AA" w:rsidRPr="0089710A" w:rsidRDefault="000F4D94" w:rsidP="0089710A">
    <w:pPr>
      <w:pStyle w:val="Header"/>
      <w:jc w:val="right"/>
    </w:pPr>
    <w:r w:rsidRPr="0089710A">
      <w:t>GRPE-8</w:t>
    </w:r>
    <w:r w:rsidR="00BD544F">
      <w:t>1</w:t>
    </w:r>
    <w:r w:rsidRPr="0089710A">
      <w:t>-</w:t>
    </w:r>
    <w:r w:rsidR="00BD544F" w:rsidRPr="00BD544F">
      <w:rPr>
        <w:highlight w:val="yellow"/>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847"/>
    </w:tblGrid>
    <w:tr w:rsidR="008225BC" w:rsidRPr="008225BC" w14:paraId="6BE611F3" w14:textId="77777777" w:rsidTr="00213384">
      <w:tc>
        <w:tcPr>
          <w:tcW w:w="4927" w:type="dxa"/>
        </w:tcPr>
        <w:p w14:paraId="19F96905" w14:textId="14E4493A" w:rsidR="008225BC" w:rsidRPr="00BD544F" w:rsidRDefault="004218DF" w:rsidP="008225BC">
          <w:pPr>
            <w:tabs>
              <w:tab w:val="center" w:pos="4513"/>
              <w:tab w:val="right" w:pos="9026"/>
            </w:tabs>
            <w:spacing w:line="240" w:lineRule="auto"/>
            <w:rPr>
              <w:b/>
              <w:lang w:val="en-US" w:eastAsia="en-GB"/>
            </w:rPr>
          </w:pPr>
          <w:r>
            <w:rPr>
              <w:lang w:val="en-US" w:eastAsia="en-GB"/>
            </w:rPr>
            <w:t>Submitted</w:t>
          </w:r>
          <w:r w:rsidR="008225BC" w:rsidRPr="00BD544F">
            <w:rPr>
              <w:lang w:val="en-US" w:eastAsia="en-GB"/>
            </w:rPr>
            <w:t xml:space="preserve"> by the expert from OICA</w:t>
          </w:r>
        </w:p>
      </w:tc>
      <w:tc>
        <w:tcPr>
          <w:tcW w:w="4928" w:type="dxa"/>
        </w:tcPr>
        <w:p w14:paraId="103EA003" w14:textId="6588D52C" w:rsidR="008225BC" w:rsidRPr="00BD544F" w:rsidRDefault="008225BC" w:rsidP="008225BC">
          <w:pPr>
            <w:tabs>
              <w:tab w:val="center" w:pos="4513"/>
              <w:tab w:val="right" w:pos="9026"/>
            </w:tabs>
            <w:spacing w:line="240" w:lineRule="auto"/>
            <w:ind w:left="1691"/>
            <w:rPr>
              <w:lang w:val="fr-FR" w:eastAsia="en-GB"/>
            </w:rPr>
          </w:pPr>
          <w:r w:rsidRPr="00BD544F">
            <w:rPr>
              <w:u w:val="single"/>
              <w:lang w:val="fr-FR" w:eastAsia="en-GB"/>
            </w:rPr>
            <w:t>Informal document</w:t>
          </w:r>
          <w:r w:rsidRPr="00BD544F">
            <w:rPr>
              <w:lang w:val="fr-FR" w:eastAsia="en-GB"/>
            </w:rPr>
            <w:t xml:space="preserve"> </w:t>
          </w:r>
          <w:r w:rsidRPr="00BD544F">
            <w:rPr>
              <w:b/>
              <w:bCs/>
              <w:lang w:val="fr-FR" w:eastAsia="en-GB"/>
            </w:rPr>
            <w:t>GRPE-8</w:t>
          </w:r>
          <w:r w:rsidR="00BD544F" w:rsidRPr="00BD544F">
            <w:rPr>
              <w:b/>
              <w:bCs/>
              <w:lang w:val="fr-FR" w:eastAsia="en-GB"/>
            </w:rPr>
            <w:t>1</w:t>
          </w:r>
          <w:r w:rsidRPr="00BD544F">
            <w:rPr>
              <w:b/>
              <w:bCs/>
              <w:lang w:val="fr-FR" w:eastAsia="en-GB"/>
            </w:rPr>
            <w:t>-</w:t>
          </w:r>
          <w:r w:rsidR="00213384" w:rsidRPr="00213384">
            <w:rPr>
              <w:b/>
              <w:bCs/>
              <w:lang w:val="fr-FR" w:eastAsia="en-GB"/>
            </w:rPr>
            <w:t>21</w:t>
          </w:r>
        </w:p>
        <w:p w14:paraId="4D8D5999" w14:textId="0987DEE3" w:rsidR="008225BC" w:rsidRPr="00BD544F" w:rsidRDefault="008225BC" w:rsidP="008225BC">
          <w:pPr>
            <w:tabs>
              <w:tab w:val="center" w:pos="4513"/>
              <w:tab w:val="right" w:pos="9026"/>
            </w:tabs>
            <w:spacing w:line="240" w:lineRule="auto"/>
            <w:ind w:left="1691"/>
            <w:rPr>
              <w:bCs/>
              <w:lang w:val="fr-FR" w:eastAsia="en-GB"/>
            </w:rPr>
          </w:pPr>
          <w:r w:rsidRPr="00BD544F">
            <w:rPr>
              <w:bCs/>
              <w:lang w:val="fr-FR" w:eastAsia="en-GB"/>
            </w:rPr>
            <w:t>8</w:t>
          </w:r>
          <w:r w:rsidR="00BD544F" w:rsidRPr="00BD544F">
            <w:rPr>
              <w:bCs/>
              <w:lang w:val="fr-FR" w:eastAsia="en-GB"/>
            </w:rPr>
            <w:t>1</w:t>
          </w:r>
          <w:r w:rsidR="00BD544F" w:rsidRPr="00BD544F">
            <w:rPr>
              <w:bCs/>
              <w:vertAlign w:val="superscript"/>
              <w:lang w:val="fr-FR" w:eastAsia="en-GB"/>
            </w:rPr>
            <w:t>st</w:t>
          </w:r>
          <w:r w:rsidR="00BD544F" w:rsidRPr="00BD544F">
            <w:rPr>
              <w:bCs/>
              <w:lang w:val="fr-FR" w:eastAsia="en-GB"/>
            </w:rPr>
            <w:t xml:space="preserve"> </w:t>
          </w:r>
          <w:r w:rsidRPr="00BD544F">
            <w:rPr>
              <w:bCs/>
              <w:lang w:val="fr-FR" w:eastAsia="en-GB"/>
            </w:rPr>
            <w:t xml:space="preserve">GRPE, </w:t>
          </w:r>
          <w:r w:rsidR="00BD544F" w:rsidRPr="00BD544F">
            <w:rPr>
              <w:bCs/>
              <w:lang w:val="fr-FR" w:eastAsia="en-GB"/>
            </w:rPr>
            <w:t>9</w:t>
          </w:r>
          <w:r w:rsidRPr="00BD544F">
            <w:rPr>
              <w:bCs/>
              <w:lang w:val="fr-FR" w:eastAsia="en-GB"/>
            </w:rPr>
            <w:t>-1</w:t>
          </w:r>
          <w:r w:rsidR="00BD544F" w:rsidRPr="00BD544F">
            <w:rPr>
              <w:bCs/>
              <w:lang w:val="fr-FR" w:eastAsia="en-GB"/>
            </w:rPr>
            <w:t>1</w:t>
          </w:r>
          <w:r w:rsidRPr="00BD544F">
            <w:rPr>
              <w:bCs/>
              <w:lang w:val="fr-FR" w:eastAsia="en-GB"/>
            </w:rPr>
            <w:t xml:space="preserve"> </w:t>
          </w:r>
          <w:r w:rsidR="00BD544F" w:rsidRPr="00BD544F">
            <w:rPr>
              <w:bCs/>
              <w:lang w:val="fr-FR" w:eastAsia="en-GB"/>
            </w:rPr>
            <w:t>June</w:t>
          </w:r>
          <w:r w:rsidRPr="00BD544F">
            <w:rPr>
              <w:bCs/>
              <w:lang w:val="fr-FR" w:eastAsia="en-GB"/>
            </w:rPr>
            <w:t xml:space="preserve"> 2020</w:t>
          </w:r>
        </w:p>
        <w:p w14:paraId="2ACC2CA2" w14:textId="77777777" w:rsidR="008225BC" w:rsidRDefault="008225BC" w:rsidP="008225BC">
          <w:pPr>
            <w:tabs>
              <w:tab w:val="center" w:pos="4513"/>
              <w:tab w:val="right" w:pos="9026"/>
            </w:tabs>
            <w:spacing w:line="240" w:lineRule="auto"/>
            <w:ind w:left="1691"/>
            <w:rPr>
              <w:lang w:eastAsia="en-GB"/>
            </w:rPr>
          </w:pPr>
          <w:r w:rsidRPr="008225BC">
            <w:rPr>
              <w:lang w:eastAsia="en-GB"/>
            </w:rPr>
            <w:t>Agenda item 3(a)</w:t>
          </w:r>
        </w:p>
        <w:p w14:paraId="42B31980" w14:textId="5FE9E391" w:rsidR="00213384" w:rsidRPr="008225BC" w:rsidRDefault="00213384" w:rsidP="008225BC">
          <w:pPr>
            <w:tabs>
              <w:tab w:val="center" w:pos="4513"/>
              <w:tab w:val="right" w:pos="9026"/>
            </w:tabs>
            <w:spacing w:line="240" w:lineRule="auto"/>
            <w:ind w:left="1691"/>
            <w:rPr>
              <w:b/>
              <w:lang w:eastAsia="en-GB"/>
            </w:rPr>
          </w:pPr>
        </w:p>
      </w:tc>
    </w:tr>
  </w:tbl>
  <w:p w14:paraId="744B77EF" w14:textId="77777777" w:rsidR="008225BC" w:rsidRDefault="008225BC" w:rsidP="0021338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4"/>
    <w:rsid w:val="000F4D94"/>
    <w:rsid w:val="001F06EB"/>
    <w:rsid w:val="00213384"/>
    <w:rsid w:val="004218DF"/>
    <w:rsid w:val="008225BC"/>
    <w:rsid w:val="00AC0845"/>
    <w:rsid w:val="00BD544F"/>
    <w:rsid w:val="00C462D3"/>
    <w:rsid w:val="00C83058"/>
    <w:rsid w:val="00F523F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601E4"/>
  <w15:chartTrackingRefBased/>
  <w15:docId w15:val="{F5181C62-4AD8-43CA-B86D-4AC5A4BE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94"/>
    <w:pPr>
      <w:suppressAutoHyphens/>
      <w:spacing w:after="0" w:line="240" w:lineRule="atLeast"/>
    </w:pPr>
    <w:rPr>
      <w:rFonts w:ascii="Times New Roman" w:eastAsia="Times New Roman" w:hAnsi="Times New Roman" w:cs="Times New Roman"/>
      <w:sz w:val="20"/>
      <w:szCs w:val="20"/>
      <w:lang w:val="en-GB" w:eastAsia="fr-FR"/>
    </w:rPr>
  </w:style>
  <w:style w:type="paragraph" w:styleId="Heading2">
    <w:name w:val="heading 2"/>
    <w:basedOn w:val="Normal"/>
    <w:next w:val="Normal"/>
    <w:link w:val="Heading2Char"/>
    <w:qFormat/>
    <w:rsid w:val="000F4D94"/>
    <w:pPr>
      <w:spacing w:line="240"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D94"/>
    <w:rPr>
      <w:rFonts w:ascii="Times New Roman" w:eastAsia="Times New Roman" w:hAnsi="Times New Roman" w:cs="Times New Roman"/>
      <w:sz w:val="20"/>
      <w:szCs w:val="20"/>
      <w:lang w:val="en-GB" w:eastAsia="fr-FR"/>
    </w:rPr>
  </w:style>
  <w:style w:type="paragraph" w:customStyle="1" w:styleId="SingleTxtG">
    <w:name w:val="_ Single Txt_G"/>
    <w:basedOn w:val="Normal"/>
    <w:link w:val="SingleTxtGChar"/>
    <w:qFormat/>
    <w:rsid w:val="000F4D94"/>
    <w:pPr>
      <w:spacing w:after="120"/>
      <w:ind w:left="1134" w:right="1134"/>
      <w:jc w:val="both"/>
    </w:pPr>
  </w:style>
  <w:style w:type="paragraph" w:customStyle="1" w:styleId="HChG">
    <w:name w:val="_ H _Ch_G"/>
    <w:basedOn w:val="Normal"/>
    <w:next w:val="Normal"/>
    <w:link w:val="HChGChar"/>
    <w:qFormat/>
    <w:rsid w:val="000F4D94"/>
    <w:pPr>
      <w:keepNext/>
      <w:keepLines/>
      <w:tabs>
        <w:tab w:val="right" w:pos="851"/>
      </w:tabs>
      <w:spacing w:before="360" w:after="240" w:line="300" w:lineRule="exact"/>
      <w:ind w:left="1134" w:right="1134" w:hanging="1134"/>
    </w:pPr>
    <w:rPr>
      <w:b/>
      <w:sz w:val="28"/>
    </w:rPr>
  </w:style>
  <w:style w:type="paragraph" w:styleId="Footer">
    <w:name w:val="footer"/>
    <w:aliases w:val="3_G"/>
    <w:basedOn w:val="Normal"/>
    <w:link w:val="FooterChar"/>
    <w:qFormat/>
    <w:rsid w:val="000F4D94"/>
    <w:pPr>
      <w:spacing w:line="240" w:lineRule="auto"/>
    </w:pPr>
    <w:rPr>
      <w:sz w:val="16"/>
    </w:rPr>
  </w:style>
  <w:style w:type="character" w:customStyle="1" w:styleId="FooterChar">
    <w:name w:val="Footer Char"/>
    <w:aliases w:val="3_G Char"/>
    <w:basedOn w:val="DefaultParagraphFont"/>
    <w:link w:val="Footer"/>
    <w:rsid w:val="000F4D94"/>
    <w:rPr>
      <w:rFonts w:ascii="Times New Roman" w:eastAsia="Times New Roman" w:hAnsi="Times New Roman" w:cs="Times New Roman"/>
      <w:sz w:val="16"/>
      <w:szCs w:val="20"/>
      <w:lang w:val="en-GB" w:eastAsia="fr-FR"/>
    </w:rPr>
  </w:style>
  <w:style w:type="paragraph" w:styleId="Header">
    <w:name w:val="header"/>
    <w:aliases w:val="6_G"/>
    <w:basedOn w:val="Normal"/>
    <w:link w:val="HeaderChar"/>
    <w:qFormat/>
    <w:rsid w:val="000F4D9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F4D94"/>
    <w:rPr>
      <w:rFonts w:ascii="Times New Roman" w:eastAsia="Times New Roman" w:hAnsi="Times New Roman" w:cs="Times New Roman"/>
      <w:b/>
      <w:sz w:val="18"/>
      <w:szCs w:val="20"/>
      <w:lang w:val="en-GB" w:eastAsia="fr-FR"/>
    </w:rPr>
  </w:style>
  <w:style w:type="character" w:customStyle="1" w:styleId="SingleTxtGChar">
    <w:name w:val="_ Single Txt_G Char"/>
    <w:link w:val="SingleTxtG"/>
    <w:qFormat/>
    <w:rsid w:val="000F4D94"/>
    <w:rPr>
      <w:rFonts w:ascii="Times New Roman" w:eastAsia="Times New Roman" w:hAnsi="Times New Roman" w:cs="Times New Roman"/>
      <w:sz w:val="20"/>
      <w:szCs w:val="20"/>
      <w:lang w:val="en-GB" w:eastAsia="fr-FR"/>
    </w:rPr>
  </w:style>
  <w:style w:type="character" w:customStyle="1" w:styleId="HChGChar">
    <w:name w:val="_ H _Ch_G Char"/>
    <w:link w:val="HChG"/>
    <w:rsid w:val="000F4D94"/>
    <w:rPr>
      <w:rFonts w:ascii="Times New Roman" w:eastAsia="Times New Roman" w:hAnsi="Times New Roman" w:cs="Times New Roman"/>
      <w:b/>
      <w:sz w:val="28"/>
      <w:szCs w:val="20"/>
      <w:lang w:val="en-GB" w:eastAsia="fr-FR"/>
    </w:rPr>
  </w:style>
  <w:style w:type="paragraph" w:styleId="ListParagraph">
    <w:name w:val="List Paragraph"/>
    <w:basedOn w:val="Normal"/>
    <w:uiPriority w:val="34"/>
    <w:qFormat/>
    <w:rsid w:val="000F4D94"/>
    <w:pPr>
      <w:widowControl w:val="0"/>
      <w:suppressAutoHyphens w:val="0"/>
      <w:spacing w:line="240" w:lineRule="auto"/>
      <w:ind w:left="720"/>
      <w:contextualSpacing/>
      <w:jc w:val="both"/>
    </w:pPr>
    <w:rPr>
      <w:rFonts w:eastAsia="MS Mincho"/>
      <w:kern w:val="2"/>
      <w:sz w:val="24"/>
      <w:szCs w:val="22"/>
      <w:lang w:eastAsia="ja-JP"/>
    </w:rPr>
  </w:style>
  <w:style w:type="paragraph" w:styleId="BalloonText">
    <w:name w:val="Balloon Text"/>
    <w:basedOn w:val="Normal"/>
    <w:link w:val="BalloonTextChar"/>
    <w:uiPriority w:val="99"/>
    <w:semiHidden/>
    <w:unhideWhenUsed/>
    <w:rsid w:val="008225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5BC"/>
    <w:rPr>
      <w:rFonts w:ascii="Segoe UI" w:eastAsia="Times New Roman" w:hAnsi="Segoe UI" w:cs="Segoe UI"/>
      <w:sz w:val="18"/>
      <w:szCs w:val="18"/>
      <w:lang w:val="en-GB" w:eastAsia="fr-FR"/>
    </w:rPr>
  </w:style>
  <w:style w:type="table" w:styleId="TableGrid">
    <w:name w:val="Table Grid"/>
    <w:basedOn w:val="TableNormal"/>
    <w:rsid w:val="008225BC"/>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Prigent</dc:creator>
  <cp:keywords/>
  <dc:description/>
  <cp:lastModifiedBy>Francois Cuenot</cp:lastModifiedBy>
  <cp:revision>3</cp:revision>
  <dcterms:created xsi:type="dcterms:W3CDTF">2020-06-05T15:09:00Z</dcterms:created>
  <dcterms:modified xsi:type="dcterms:W3CDTF">2020-06-06T21:11:00Z</dcterms:modified>
</cp:coreProperties>
</file>