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14:paraId="42A5C8D1" w14:textId="77777777" w:rsidTr="002E2BA8">
        <w:trPr>
          <w:cantSplit/>
          <w:trHeight w:hRule="exact" w:val="851"/>
        </w:trPr>
        <w:tc>
          <w:tcPr>
            <w:tcW w:w="1276" w:type="dxa"/>
            <w:tcBorders>
              <w:bottom w:val="single" w:sz="4" w:space="0" w:color="auto"/>
            </w:tcBorders>
            <w:vAlign w:val="bottom"/>
          </w:tcPr>
          <w:p w14:paraId="046631D7" w14:textId="77777777" w:rsidR="00785AC2" w:rsidRDefault="00785AC2" w:rsidP="002E2BA8">
            <w:pPr>
              <w:spacing w:after="80"/>
            </w:pPr>
          </w:p>
        </w:tc>
        <w:tc>
          <w:tcPr>
            <w:tcW w:w="2268" w:type="dxa"/>
            <w:tcBorders>
              <w:bottom w:val="single" w:sz="4" w:space="0" w:color="auto"/>
            </w:tcBorders>
            <w:vAlign w:val="bottom"/>
          </w:tcPr>
          <w:p w14:paraId="5F92BB5A" w14:textId="77777777" w:rsidR="00785AC2" w:rsidRPr="00B97172" w:rsidRDefault="00785AC2" w:rsidP="002E2BA8">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B2A5905" w14:textId="10837C34" w:rsidR="00785AC2" w:rsidRPr="00D47EEA" w:rsidRDefault="00785AC2" w:rsidP="002E2BA8">
            <w:pPr>
              <w:jc w:val="right"/>
            </w:pPr>
            <w:r w:rsidRPr="00735ECE">
              <w:rPr>
                <w:sz w:val="40"/>
              </w:rPr>
              <w:t>ECE</w:t>
            </w:r>
            <w:r>
              <w:t>/TRANS/WP.29/GRSG/20</w:t>
            </w:r>
            <w:r w:rsidR="002B4811">
              <w:t>20</w:t>
            </w:r>
            <w:r>
              <w:t>/</w:t>
            </w:r>
            <w:r w:rsidR="00397C84">
              <w:t>8</w:t>
            </w:r>
          </w:p>
        </w:tc>
      </w:tr>
      <w:tr w:rsidR="00785AC2"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Default="00785AC2" w:rsidP="002E2BA8">
            <w:pPr>
              <w:spacing w:before="120"/>
            </w:pPr>
            <w:r>
              <w:rPr>
                <w:noProof/>
                <w:lang w:val="it-IT"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77777777" w:rsidR="00785AC2" w:rsidRPr="00D773DF" w:rsidRDefault="00785AC2" w:rsidP="002E2BA8">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CBEE7C" w14:textId="77777777" w:rsidR="00785AC2" w:rsidRDefault="00785AC2" w:rsidP="002E2BA8">
            <w:pPr>
              <w:spacing w:before="240" w:line="240" w:lineRule="exact"/>
            </w:pPr>
            <w:r>
              <w:t>Distr.: General</w:t>
            </w:r>
          </w:p>
          <w:p w14:paraId="2288E497" w14:textId="6DF42A0D" w:rsidR="00785AC2" w:rsidRDefault="00592263" w:rsidP="002E2BA8">
            <w:pPr>
              <w:spacing w:line="240" w:lineRule="exact"/>
            </w:pPr>
            <w:r>
              <w:t>20</w:t>
            </w:r>
            <w:r w:rsidR="00785AC2">
              <w:t xml:space="preserve"> J</w:t>
            </w:r>
            <w:r w:rsidR="002B4811">
              <w:t>anuary</w:t>
            </w:r>
            <w:r w:rsidR="00785AC2">
              <w:t xml:space="preserve"> 20</w:t>
            </w:r>
            <w:r w:rsidR="002B4811">
              <w:t>20</w:t>
            </w:r>
          </w:p>
          <w:p w14:paraId="78B62AA7" w14:textId="77777777" w:rsidR="00785AC2" w:rsidRDefault="00785AC2" w:rsidP="002E2BA8">
            <w:pPr>
              <w:spacing w:line="240" w:lineRule="exact"/>
            </w:pPr>
          </w:p>
          <w:p w14:paraId="7F8F328A" w14:textId="77777777" w:rsidR="00785AC2" w:rsidRDefault="00785AC2" w:rsidP="002E2BA8">
            <w:pPr>
              <w:spacing w:line="240" w:lineRule="exact"/>
            </w:pPr>
            <w:r>
              <w:t>Original: English</w:t>
            </w:r>
          </w:p>
        </w:tc>
      </w:tr>
    </w:tbl>
    <w:p w14:paraId="218E037E" w14:textId="77777777" w:rsidR="00785AC2" w:rsidRPr="001D703D" w:rsidRDefault="00785AC2" w:rsidP="00785AC2">
      <w:pPr>
        <w:spacing w:before="120"/>
        <w:rPr>
          <w:b/>
          <w:sz w:val="28"/>
          <w:szCs w:val="28"/>
        </w:rPr>
      </w:pPr>
      <w:r w:rsidRPr="001D703D">
        <w:rPr>
          <w:b/>
          <w:sz w:val="28"/>
          <w:szCs w:val="28"/>
        </w:rPr>
        <w:t>Economic Commission for Europe</w:t>
      </w:r>
    </w:p>
    <w:p w14:paraId="1FF657A2" w14:textId="77777777" w:rsidR="00F607C0" w:rsidRDefault="00F607C0">
      <w:pPr>
        <w:spacing w:before="120"/>
        <w:rPr>
          <w:sz w:val="28"/>
          <w:szCs w:val="28"/>
        </w:rPr>
      </w:pPr>
      <w:r>
        <w:rPr>
          <w:sz w:val="28"/>
          <w:szCs w:val="28"/>
        </w:rPr>
        <w:t>Inland Transport Committee</w:t>
      </w:r>
    </w:p>
    <w:p w14:paraId="488CB120" w14:textId="77777777" w:rsidR="00F607C0" w:rsidRDefault="00F607C0">
      <w:pPr>
        <w:spacing w:before="120"/>
        <w:rPr>
          <w:b/>
          <w:sz w:val="24"/>
          <w:szCs w:val="24"/>
        </w:rPr>
      </w:pPr>
      <w:r>
        <w:rPr>
          <w:b/>
          <w:sz w:val="24"/>
          <w:szCs w:val="24"/>
        </w:rPr>
        <w:t>World Forum for Harmonization of Vehicle Regulations</w:t>
      </w:r>
    </w:p>
    <w:p w14:paraId="5873F935" w14:textId="77777777" w:rsidR="00F607C0" w:rsidRDefault="00F607C0">
      <w:pPr>
        <w:spacing w:before="120"/>
        <w:rPr>
          <w:b/>
        </w:rPr>
      </w:pPr>
      <w:r>
        <w:rPr>
          <w:b/>
        </w:rPr>
        <w:t>Working Party on General Safety Provisions</w:t>
      </w:r>
    </w:p>
    <w:p w14:paraId="742C4543" w14:textId="76689DD7" w:rsidR="0082103C" w:rsidRPr="00C64574" w:rsidRDefault="0082103C" w:rsidP="0082103C">
      <w:pPr>
        <w:spacing w:before="120"/>
        <w:rPr>
          <w:b/>
        </w:rPr>
      </w:pPr>
      <w:bookmarkStart w:id="0" w:name="_GoBack"/>
      <w:r w:rsidRPr="00C64574">
        <w:rPr>
          <w:b/>
        </w:rPr>
        <w:t>1</w:t>
      </w:r>
      <w:bookmarkEnd w:id="0"/>
      <w:r>
        <w:rPr>
          <w:b/>
        </w:rPr>
        <w:t>1</w:t>
      </w:r>
      <w:r w:rsidR="002B4811">
        <w:rPr>
          <w:b/>
        </w:rPr>
        <w:t>8</w:t>
      </w:r>
      <w:r w:rsidRPr="000A63F8">
        <w:rPr>
          <w:b/>
        </w:rPr>
        <w:t xml:space="preserve">th </w:t>
      </w:r>
      <w:r w:rsidRPr="00C64574">
        <w:rPr>
          <w:b/>
        </w:rPr>
        <w:t>session</w:t>
      </w:r>
    </w:p>
    <w:p w14:paraId="616A0177" w14:textId="2913F173" w:rsidR="0082103C" w:rsidRPr="00C64574" w:rsidRDefault="0082103C" w:rsidP="0082103C">
      <w:r w:rsidRPr="00C64574">
        <w:t xml:space="preserve">Geneva, </w:t>
      </w:r>
      <w:r w:rsidR="002B4811">
        <w:t>30 March</w:t>
      </w:r>
      <w:r w:rsidR="00222D9F">
        <w:t>-</w:t>
      </w:r>
      <w:r w:rsidR="002B4811">
        <w:t>3</w:t>
      </w:r>
      <w:r>
        <w:t xml:space="preserve"> </w:t>
      </w:r>
      <w:r w:rsidR="002B4811">
        <w:t>Ap</w:t>
      </w:r>
      <w:r>
        <w:t>r</w:t>
      </w:r>
      <w:r w:rsidR="002B4811">
        <w:t>il</w:t>
      </w:r>
      <w:r w:rsidRPr="00C64574">
        <w:t xml:space="preserve"> 20</w:t>
      </w:r>
      <w:r w:rsidR="002B4811">
        <w:t>20</w:t>
      </w:r>
    </w:p>
    <w:p w14:paraId="3AC72240" w14:textId="40F26F17" w:rsidR="0082103C" w:rsidRPr="00DF418A" w:rsidRDefault="0082103C" w:rsidP="0082103C">
      <w:r w:rsidRPr="00DF418A">
        <w:t xml:space="preserve">Item </w:t>
      </w:r>
      <w:r w:rsidR="00397C84">
        <w:t>6</w:t>
      </w:r>
      <w:r w:rsidR="0070175C">
        <w:t xml:space="preserve"> </w:t>
      </w:r>
      <w:r w:rsidRPr="00DF418A">
        <w:t>of the provisional agenda</w:t>
      </w:r>
    </w:p>
    <w:p w14:paraId="0479B9EF" w14:textId="46AE6040" w:rsidR="00F607C0" w:rsidRDefault="00F607C0">
      <w:pPr>
        <w:rPr>
          <w:b/>
          <w:lang w:val="en-US"/>
        </w:rPr>
      </w:pPr>
      <w:r>
        <w:rPr>
          <w:b/>
        </w:rPr>
        <w:t xml:space="preserve">UN Regulation No. </w:t>
      </w:r>
      <w:r w:rsidR="00397C84">
        <w:rPr>
          <w:b/>
        </w:rPr>
        <w:t>55</w:t>
      </w:r>
      <w:r>
        <w:rPr>
          <w:b/>
        </w:rPr>
        <w:t xml:space="preserve"> (</w:t>
      </w:r>
      <w:r w:rsidR="00397C84" w:rsidRPr="00397C84">
        <w:rPr>
          <w:b/>
        </w:rPr>
        <w:t>Mechanical couplings</w:t>
      </w:r>
      <w:r w:rsidR="0070175C">
        <w:rPr>
          <w:b/>
        </w:rPr>
        <w:t>)</w:t>
      </w:r>
    </w:p>
    <w:p w14:paraId="4CDEC0A4" w14:textId="0303DDB9" w:rsidR="00F607C0" w:rsidRDefault="00F607C0">
      <w:pPr>
        <w:pStyle w:val="HChG"/>
        <w:tabs>
          <w:tab w:val="left" w:pos="8505"/>
        </w:tabs>
      </w:pPr>
      <w:r>
        <w:rPr>
          <w:sz w:val="26"/>
          <w:szCs w:val="26"/>
        </w:rPr>
        <w:tab/>
      </w:r>
      <w:r>
        <w:rPr>
          <w:sz w:val="26"/>
          <w:szCs w:val="26"/>
        </w:rPr>
        <w:tab/>
      </w:r>
      <w:r w:rsidR="0070175C" w:rsidRPr="0070175C">
        <w:rPr>
          <w:szCs w:val="28"/>
        </w:rPr>
        <w:t xml:space="preserve">Proposal for Supplement </w:t>
      </w:r>
      <w:r w:rsidR="00397C84">
        <w:rPr>
          <w:szCs w:val="28"/>
        </w:rPr>
        <w:t xml:space="preserve">9 </w:t>
      </w:r>
      <w:r w:rsidR="0070175C" w:rsidRPr="0070175C">
        <w:rPr>
          <w:szCs w:val="28"/>
        </w:rPr>
        <w:t>to the 0</w:t>
      </w:r>
      <w:r w:rsidR="00397C84">
        <w:rPr>
          <w:szCs w:val="28"/>
        </w:rPr>
        <w:t>1</w:t>
      </w:r>
      <w:r w:rsidR="0070175C" w:rsidRPr="0070175C">
        <w:rPr>
          <w:szCs w:val="28"/>
        </w:rPr>
        <w:t xml:space="preserve"> series of amendments </w:t>
      </w:r>
      <w:r w:rsidR="00397C84">
        <w:rPr>
          <w:szCs w:val="28"/>
        </w:rPr>
        <w:t xml:space="preserve">and for the </w:t>
      </w:r>
      <w:r w:rsidR="00397C84" w:rsidRPr="0070175C">
        <w:rPr>
          <w:szCs w:val="28"/>
        </w:rPr>
        <w:t>0</w:t>
      </w:r>
      <w:r w:rsidR="00397C84">
        <w:rPr>
          <w:szCs w:val="28"/>
        </w:rPr>
        <w:t>2</w:t>
      </w:r>
      <w:r w:rsidR="00397C84" w:rsidRPr="0070175C">
        <w:rPr>
          <w:szCs w:val="28"/>
        </w:rPr>
        <w:t xml:space="preserve"> series of amendments </w:t>
      </w:r>
      <w:r w:rsidR="0070175C" w:rsidRPr="0070175C">
        <w:rPr>
          <w:szCs w:val="28"/>
        </w:rPr>
        <w:t xml:space="preserve">to UN Regulation No. </w:t>
      </w:r>
      <w:r w:rsidR="00397C84">
        <w:rPr>
          <w:szCs w:val="28"/>
        </w:rPr>
        <w:t>55</w:t>
      </w:r>
      <w:r w:rsidR="0070175C" w:rsidRPr="0070175C">
        <w:rPr>
          <w:szCs w:val="28"/>
        </w:rPr>
        <w:t xml:space="preserve"> </w:t>
      </w:r>
      <w:r w:rsidR="00397C84">
        <w:t>(Mechanical couplings</w:t>
      </w:r>
      <w:r>
        <w:rPr>
          <w:szCs w:val="28"/>
        </w:rPr>
        <w:t>)</w:t>
      </w:r>
    </w:p>
    <w:p w14:paraId="189143F9" w14:textId="7992A72A" w:rsidR="00F607C0" w:rsidRDefault="00F607C0">
      <w:pPr>
        <w:pStyle w:val="H1G"/>
        <w:tabs>
          <w:tab w:val="left" w:pos="8505"/>
        </w:tabs>
        <w:ind w:firstLine="0"/>
        <w:rPr>
          <w:vertAlign w:val="superscript"/>
        </w:rPr>
      </w:pPr>
      <w:r>
        <w:t xml:space="preserve">Submitted by the expert from </w:t>
      </w:r>
      <w:r w:rsidR="00397C84">
        <w:t>Finland</w:t>
      </w:r>
      <w:r w:rsidR="00E8137B" w:rsidRPr="0097132E">
        <w:rPr>
          <w:rStyle w:val="FootnoteReference"/>
          <w:sz w:val="24"/>
          <w:szCs w:val="24"/>
          <w:vertAlign w:val="baseline"/>
        </w:rPr>
        <w:footnoteReference w:customMarkFollows="1" w:id="1"/>
        <w:t>*</w:t>
      </w:r>
    </w:p>
    <w:p w14:paraId="70F8B5F9" w14:textId="14E98DD4" w:rsidR="0082103C" w:rsidRDefault="00397C84">
      <w:pPr>
        <w:tabs>
          <w:tab w:val="left" w:pos="8505"/>
        </w:tabs>
        <w:ind w:left="1134" w:right="1134" w:firstLine="567"/>
        <w:jc w:val="both"/>
      </w:pPr>
      <w:r>
        <w:t>The text reproduced below was prepared by the expert from the Finland to update the provisions on mechanical couplings.</w:t>
      </w:r>
      <w:r w:rsidR="0070175C" w:rsidRPr="0070175C">
        <w:t xml:space="preserve"> </w:t>
      </w:r>
      <w:r w:rsidR="0070175C">
        <w:t>It is based on Informal Document GRSG-117-</w:t>
      </w:r>
      <w:r>
        <w:t>06</w:t>
      </w:r>
      <w:r w:rsidR="0070175C">
        <w:t xml:space="preserve">. </w:t>
      </w:r>
      <w:r w:rsidR="0070175C" w:rsidRPr="0070175C">
        <w:t xml:space="preserve">The modifications to the current text of UN Regulation No. </w:t>
      </w:r>
      <w:r>
        <w:t>55</w:t>
      </w:r>
      <w:r w:rsidR="0070175C" w:rsidRPr="0070175C">
        <w:t xml:space="preserve"> are marked in bold for new or strikethrough for deleted characters.</w:t>
      </w:r>
    </w:p>
    <w:p w14:paraId="106A03BA" w14:textId="77777777" w:rsidR="00F607C0" w:rsidRDefault="00F607C0">
      <w:pPr>
        <w:tabs>
          <w:tab w:val="left" w:pos="8505"/>
        </w:tabs>
        <w:ind w:left="1134" w:right="1134" w:firstLine="567"/>
        <w:jc w:val="both"/>
      </w:pPr>
      <w:r>
        <w:br w:type="page"/>
      </w:r>
    </w:p>
    <w:p w14:paraId="0E8EF4D2" w14:textId="13D2C2BA" w:rsidR="00397C84" w:rsidRPr="002B6ACD" w:rsidRDefault="006F6664" w:rsidP="00592263">
      <w:pPr>
        <w:pStyle w:val="HChG"/>
        <w:ind w:left="1080" w:right="1133" w:hanging="1080"/>
      </w:pPr>
      <w:r>
        <w:lastRenderedPageBreak/>
        <w:tab/>
      </w:r>
      <w:r w:rsidR="00397C84">
        <w:rPr>
          <w:lang w:val="en-US"/>
        </w:rPr>
        <w:t>I.</w:t>
      </w:r>
      <w:r w:rsidR="00397C84">
        <w:rPr>
          <w:lang w:val="en-US"/>
        </w:rPr>
        <w:tab/>
      </w:r>
      <w:r w:rsidR="00397C84" w:rsidRPr="00FB36F8">
        <w:rPr>
          <w:lang w:val="en-US"/>
        </w:rPr>
        <w:t xml:space="preserve">Proposal for Supplement </w:t>
      </w:r>
      <w:r w:rsidR="00397C84">
        <w:rPr>
          <w:lang w:val="en-US"/>
        </w:rPr>
        <w:t>9</w:t>
      </w:r>
      <w:r w:rsidR="00397C84" w:rsidRPr="00FB36F8">
        <w:rPr>
          <w:lang w:val="en-US"/>
        </w:rPr>
        <w:t xml:space="preserve"> to the 01 series of amendments to </w:t>
      </w:r>
      <w:r w:rsidR="00397C84">
        <w:rPr>
          <w:lang w:val="en-US"/>
        </w:rPr>
        <w:t xml:space="preserve">UN </w:t>
      </w:r>
      <w:r w:rsidR="00397C84" w:rsidRPr="00FB36F8">
        <w:rPr>
          <w:lang w:val="en-US"/>
        </w:rPr>
        <w:t>Regulation No. 55 (Mechanical couplings)</w:t>
      </w:r>
    </w:p>
    <w:p w14:paraId="22A67CE2" w14:textId="65E0ADEC" w:rsidR="00592263" w:rsidRDefault="00397C84" w:rsidP="00397C84">
      <w:pPr>
        <w:pStyle w:val="SingleTxtG"/>
        <w:keepNext/>
        <w:ind w:right="0"/>
        <w:rPr>
          <w:i/>
        </w:rPr>
      </w:pPr>
      <w:r>
        <w:rPr>
          <w:i/>
        </w:rPr>
        <w:t>Annex 5</w:t>
      </w:r>
    </w:p>
    <w:p w14:paraId="1D52CA1C" w14:textId="09694AD3" w:rsidR="00397C84" w:rsidRDefault="00592263" w:rsidP="00397C84">
      <w:pPr>
        <w:pStyle w:val="SingleTxtG"/>
        <w:keepNext/>
        <w:ind w:right="0"/>
      </w:pPr>
      <w:r>
        <w:rPr>
          <w:i/>
        </w:rPr>
        <w:t>P</w:t>
      </w:r>
      <w:r w:rsidR="00397C84">
        <w:rPr>
          <w:i/>
        </w:rPr>
        <w:t>aragraph 3.4.</w:t>
      </w:r>
      <w:r w:rsidR="00397C84">
        <w:t>, amend to read:</w:t>
      </w:r>
    </w:p>
    <w:p w14:paraId="0C205DA4" w14:textId="77777777" w:rsidR="00397C84" w:rsidRDefault="00397C84" w:rsidP="00397C84">
      <w:pPr>
        <w:pStyle w:val="SingleTxtG"/>
        <w:spacing w:line="240" w:lineRule="auto"/>
        <w:ind w:left="2268" w:right="0" w:hanging="1134"/>
      </w:pPr>
      <w:r>
        <w:t>"3</w:t>
      </w:r>
      <w:r w:rsidRPr="00C676E3">
        <w:t>.4.</w:t>
      </w:r>
      <w:r>
        <w:tab/>
        <w:t xml:space="preserve">Minimum articulation of the coupled drawbar eye </w:t>
      </w:r>
    </w:p>
    <w:p w14:paraId="50B52705" w14:textId="77777777" w:rsidR="00397C84" w:rsidRDefault="00397C84" w:rsidP="00592263">
      <w:pPr>
        <w:pStyle w:val="SingleTxtG"/>
        <w:spacing w:line="240" w:lineRule="auto"/>
        <w:ind w:left="2268" w:right="1133"/>
      </w:pPr>
      <w:r>
        <w:t xml:space="preserve">The drawbar eye, when coupled to a drawbar coupling but not fitted to a vehicle, shall have the degrees of articulation given below. If part of the articulation is provided by a special joint (Class C50-X drawbar couplings only), the field of application, given in the communication form shown in Annex 1, shall be restricted to the cases stated in Annex 7, paragraph 1.3.8. </w:t>
      </w:r>
      <w:r w:rsidRPr="00C46B47">
        <w:rPr>
          <w:b/>
        </w:rPr>
        <w:t>Any flexible components providing part of the articulation are not considered to be a special joint.</w:t>
      </w:r>
      <w:r>
        <w:t>"</w:t>
      </w:r>
    </w:p>
    <w:p w14:paraId="50A6C31E" w14:textId="77777777" w:rsidR="00397C84" w:rsidRPr="002B6ACD" w:rsidRDefault="00397C84" w:rsidP="00592263">
      <w:pPr>
        <w:pStyle w:val="HChG"/>
        <w:ind w:left="1080" w:right="1133" w:hanging="1080"/>
      </w:pPr>
      <w:r>
        <w:rPr>
          <w:lang w:val="en-US"/>
        </w:rPr>
        <w:tab/>
        <w:t>II.</w:t>
      </w:r>
      <w:r>
        <w:rPr>
          <w:lang w:val="en-US"/>
        </w:rPr>
        <w:tab/>
        <w:t>Proposal for the 02</w:t>
      </w:r>
      <w:r w:rsidRPr="00FB36F8">
        <w:rPr>
          <w:lang w:val="en-US"/>
        </w:rPr>
        <w:t xml:space="preserve"> series of amendments to </w:t>
      </w:r>
      <w:r>
        <w:rPr>
          <w:lang w:val="en-US"/>
        </w:rPr>
        <w:t xml:space="preserve">UN </w:t>
      </w:r>
      <w:r w:rsidRPr="00FB36F8">
        <w:rPr>
          <w:lang w:val="en-US"/>
        </w:rPr>
        <w:t>Regulation No. 55 (Mechanical couplings)</w:t>
      </w:r>
    </w:p>
    <w:p w14:paraId="28984565" w14:textId="77777777" w:rsidR="00397C84" w:rsidRDefault="00397C84" w:rsidP="00397C84">
      <w:pPr>
        <w:pStyle w:val="SingleTxtG"/>
        <w:keepNext/>
        <w:ind w:right="0"/>
      </w:pPr>
      <w:r>
        <w:rPr>
          <w:i/>
        </w:rPr>
        <w:t xml:space="preserve">Paragraph 13, </w:t>
      </w:r>
      <w:r>
        <w:t>amend to read:</w:t>
      </w:r>
    </w:p>
    <w:p w14:paraId="74AAF1F4" w14:textId="77777777" w:rsidR="00397C84" w:rsidRDefault="00397C84" w:rsidP="00592263">
      <w:pPr>
        <w:pStyle w:val="SingleTxtG"/>
        <w:spacing w:line="240" w:lineRule="auto"/>
        <w:ind w:left="2268" w:right="1133" w:hanging="1134"/>
      </w:pPr>
      <w:r>
        <w:t>"</w:t>
      </w:r>
      <w:r w:rsidRPr="00CC7F70">
        <w:rPr>
          <w:b/>
        </w:rPr>
        <w:t>13.1.</w:t>
      </w:r>
      <w:r>
        <w:tab/>
      </w:r>
      <w:r w:rsidRPr="00CC7F70">
        <w:t>Until the United Nations Secretary-General is notified otherwise, Contracting Parties applying this Regulation that are Member States of the European Union (at the time of adoption of the 01 series of amendments, Austria, Belgium, Denmark, Finland, France, Germany, Greece, Ireland, Italy, Luxembourg, Netherlands, Portugal, Spain, Sweden and United Kingdom) declare that, in relation to mechanical coupling devices and components, they will only be bound by the obligations of the Agreement to which this Regulation is annexed with respect to such devices and components intended for vehicles of categories other than M</w:t>
      </w:r>
      <w:r w:rsidRPr="00CC7F70">
        <w:rPr>
          <w:vertAlign w:val="subscript"/>
        </w:rPr>
        <w:t>1</w:t>
      </w:r>
      <w:r w:rsidRPr="00CC7F70">
        <w:t>.</w:t>
      </w:r>
    </w:p>
    <w:p w14:paraId="5D111BAB" w14:textId="77777777" w:rsidR="00397C84" w:rsidRPr="00CC7F70" w:rsidRDefault="00397C84" w:rsidP="00592263">
      <w:pPr>
        <w:pStyle w:val="SingleTxtG"/>
        <w:spacing w:line="240" w:lineRule="auto"/>
        <w:ind w:left="2268" w:right="1133" w:hanging="1134"/>
        <w:rPr>
          <w:b/>
        </w:rPr>
      </w:pPr>
      <w:r w:rsidRPr="00CC7F70">
        <w:rPr>
          <w:b/>
        </w:rPr>
        <w:t>13.2.</w:t>
      </w:r>
      <w:r w:rsidRPr="00CC7F70">
        <w:rPr>
          <w:b/>
        </w:rPr>
        <w:tab/>
        <w:t>As from the official date of entry into force of the 02 series of amendments, no Contracting Party applying this Regulation shall refuse to grant or refuse to accept type approvals under this Regulation as amended by the 02 series of amendments.</w:t>
      </w:r>
    </w:p>
    <w:p w14:paraId="745F5D0A" w14:textId="77777777" w:rsidR="00397C84" w:rsidRPr="00CC7F70" w:rsidRDefault="00397C84" w:rsidP="00592263">
      <w:pPr>
        <w:pStyle w:val="SingleTxtG"/>
        <w:spacing w:line="240" w:lineRule="auto"/>
        <w:ind w:left="2268" w:right="1133" w:hanging="1134"/>
        <w:rPr>
          <w:b/>
        </w:rPr>
      </w:pPr>
      <w:r w:rsidRPr="00CC7F70">
        <w:rPr>
          <w:b/>
        </w:rPr>
        <w:t>13.3.</w:t>
      </w:r>
      <w:r w:rsidRPr="00CC7F70">
        <w:rPr>
          <w:b/>
        </w:rPr>
        <w:tab/>
        <w:t>As from 1 September 2021, Contracting Parties applying this Regulation shall not be obliged to accept type approvals to the preceding series of amendments, first issued after 1 September 2021.</w:t>
      </w:r>
    </w:p>
    <w:p w14:paraId="09813462" w14:textId="77777777" w:rsidR="00397C84" w:rsidRPr="00CC7F70" w:rsidRDefault="00397C84" w:rsidP="00592263">
      <w:pPr>
        <w:pStyle w:val="SingleTxtG"/>
        <w:spacing w:line="240" w:lineRule="auto"/>
        <w:ind w:left="2268" w:right="1133" w:hanging="1134"/>
        <w:rPr>
          <w:b/>
        </w:rPr>
      </w:pPr>
      <w:r w:rsidRPr="00CC7F70">
        <w:rPr>
          <w:b/>
        </w:rPr>
        <w:t>13.4.</w:t>
      </w:r>
      <w:r w:rsidRPr="00CC7F70">
        <w:rPr>
          <w:b/>
        </w:rPr>
        <w:tab/>
        <w:t>Until 1 September 2023, Contracting Parties applying this Regulation shall accept type approvals to the preceding series of amendments, first issued before 1 September 2021.</w:t>
      </w:r>
    </w:p>
    <w:p w14:paraId="3CC34EDF" w14:textId="77777777" w:rsidR="00397C84" w:rsidRPr="00CC7F70" w:rsidRDefault="00397C84" w:rsidP="00592263">
      <w:pPr>
        <w:pStyle w:val="SingleTxtG"/>
        <w:spacing w:line="240" w:lineRule="auto"/>
        <w:ind w:left="2268" w:right="1133" w:hanging="1134"/>
        <w:rPr>
          <w:b/>
        </w:rPr>
      </w:pPr>
      <w:r w:rsidRPr="00CC7F70">
        <w:rPr>
          <w:b/>
        </w:rPr>
        <w:t>13.5.</w:t>
      </w:r>
      <w:r w:rsidRPr="00CC7F70">
        <w:rPr>
          <w:b/>
        </w:rPr>
        <w:tab/>
        <w:t>As from 1 September 2023, Contracting Parties applying this Regulation shall not be obliged to accept type approvals issued to the preceding series of amendments to this Regulation.</w:t>
      </w:r>
    </w:p>
    <w:p w14:paraId="2BB58E7D" w14:textId="77777777" w:rsidR="00397C84" w:rsidRPr="00CC7F70" w:rsidRDefault="00397C84" w:rsidP="00592263">
      <w:pPr>
        <w:pStyle w:val="SingleTxtG"/>
        <w:spacing w:line="240" w:lineRule="auto"/>
        <w:ind w:left="2268" w:right="1133" w:hanging="1134"/>
        <w:rPr>
          <w:b/>
        </w:rPr>
      </w:pPr>
      <w:r w:rsidRPr="00CC7F70">
        <w:rPr>
          <w:b/>
        </w:rPr>
        <w:t>13.6.</w:t>
      </w:r>
      <w:r w:rsidRPr="00CC7F70">
        <w:rPr>
          <w:b/>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p>
    <w:p w14:paraId="6F282434" w14:textId="77777777" w:rsidR="00397C84" w:rsidRPr="00CC7F70" w:rsidRDefault="00397C84" w:rsidP="00592263">
      <w:pPr>
        <w:pStyle w:val="SingleTxtG"/>
        <w:spacing w:line="240" w:lineRule="auto"/>
        <w:ind w:left="2268" w:right="1133" w:hanging="1134"/>
        <w:rPr>
          <w:b/>
        </w:rPr>
      </w:pPr>
      <w:r w:rsidRPr="00CC7F70">
        <w:rPr>
          <w:b/>
        </w:rPr>
        <w:t>13.7.</w:t>
      </w:r>
      <w:r w:rsidRPr="00CC7F70">
        <w:rPr>
          <w:b/>
        </w:rPr>
        <w:tab/>
        <w:t xml:space="preserve">Notwithstanding paragraph 13.5., Contracting Parties applying this Regulation shall continue to accept type approvals issued according to the preceding series of amendments to this Regulation, for the vehicles, equipment or parts which are not affected by </w:t>
      </w:r>
      <w:r>
        <w:rPr>
          <w:b/>
        </w:rPr>
        <w:t xml:space="preserve">the changes </w:t>
      </w:r>
      <w:r w:rsidRPr="00CC7F70">
        <w:rPr>
          <w:b/>
        </w:rPr>
        <w:t>introduced by the 02 series of amendments.</w:t>
      </w:r>
    </w:p>
    <w:p w14:paraId="7201D413" w14:textId="77777777" w:rsidR="00397C84" w:rsidRDefault="00397C84" w:rsidP="00592263">
      <w:pPr>
        <w:pStyle w:val="SingleTxtG"/>
        <w:spacing w:line="240" w:lineRule="auto"/>
        <w:ind w:left="2268" w:right="1133" w:hanging="1134"/>
      </w:pPr>
      <w:r w:rsidRPr="00CC7F70">
        <w:rPr>
          <w:b/>
        </w:rPr>
        <w:t xml:space="preserve">13.8. </w:t>
      </w:r>
      <w:r w:rsidRPr="00CC7F70">
        <w:rPr>
          <w:b/>
        </w:rPr>
        <w:tab/>
        <w:t>Contracting Parties applying this Regulation shall not refuse to grant type approvals according to any preceding series of amendments to this Regulation or extensions thereof.</w:t>
      </w:r>
      <w:r>
        <w:t>"</w:t>
      </w:r>
    </w:p>
    <w:p w14:paraId="537AA0DD" w14:textId="77777777" w:rsidR="00397C84" w:rsidRDefault="00397C84" w:rsidP="00397C84">
      <w:pPr>
        <w:pStyle w:val="SingleTxtG"/>
        <w:keepNext/>
        <w:ind w:right="0"/>
      </w:pPr>
      <w:r>
        <w:rPr>
          <w:i/>
        </w:rPr>
        <w:lastRenderedPageBreak/>
        <w:t xml:space="preserve">Annex 3, </w:t>
      </w:r>
      <w:r>
        <w:t>amend to read:</w:t>
      </w:r>
    </w:p>
    <w:p w14:paraId="227A2923" w14:textId="77777777" w:rsidR="00397C84" w:rsidRDefault="00397C84" w:rsidP="00397C84">
      <w:pPr>
        <w:pStyle w:val="SingleTxtG"/>
        <w:keepNext/>
        <w:ind w:right="0"/>
      </w:pPr>
      <w:r>
        <w:t>"</w:t>
      </w:r>
    </w:p>
    <w:p w14:paraId="4388D7F1" w14:textId="77777777" w:rsidR="00397C84" w:rsidRPr="00B668CE" w:rsidRDefault="00397C84" w:rsidP="00397C84">
      <w:pPr>
        <w:widowControl w:val="0"/>
        <w:suppressAutoHyphens w:val="0"/>
        <w:autoSpaceDE w:val="0"/>
        <w:autoSpaceDN w:val="0"/>
        <w:adjustRightInd w:val="0"/>
        <w:spacing w:line="240" w:lineRule="auto"/>
        <w:ind w:left="1134" w:right="-20"/>
        <w:rPr>
          <w:sz w:val="24"/>
          <w:szCs w:val="24"/>
          <w:lang w:eastAsia="en-GB"/>
        </w:rPr>
      </w:pPr>
      <w:r>
        <w:rPr>
          <w:noProof/>
          <w:sz w:val="24"/>
          <w:szCs w:val="24"/>
          <w:lang w:val="fi-FI" w:eastAsia="fi-FI"/>
        </w:rPr>
        <mc:AlternateContent>
          <mc:Choice Requires="wps">
            <w:drawing>
              <wp:anchor distT="0" distB="0" distL="114300" distR="114300" simplePos="0" relativeHeight="251659264" behindDoc="0" locked="0" layoutInCell="1" allowOverlap="1" wp14:anchorId="07AC7E2F" wp14:editId="7F71940E">
                <wp:simplePos x="0" y="0"/>
                <wp:positionH relativeFrom="column">
                  <wp:posOffset>2237423</wp:posOffset>
                </wp:positionH>
                <wp:positionV relativeFrom="paragraph">
                  <wp:posOffset>1088390</wp:posOffset>
                </wp:positionV>
                <wp:extent cx="361950" cy="579258"/>
                <wp:effectExtent l="0" t="0" r="0" b="0"/>
                <wp:wrapNone/>
                <wp:docPr id="2" name="Suorakulmio 2"/>
                <wp:cNvGraphicFramePr/>
                <a:graphic xmlns:a="http://schemas.openxmlformats.org/drawingml/2006/main">
                  <a:graphicData uri="http://schemas.microsoft.com/office/word/2010/wordprocessingShape">
                    <wps:wsp>
                      <wps:cNvSpPr/>
                      <wps:spPr>
                        <a:xfrm>
                          <a:off x="0" y="0"/>
                          <a:ext cx="361950" cy="5792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068BC" w14:textId="77777777" w:rsidR="00397C84" w:rsidRPr="00B668CE" w:rsidRDefault="00397C84" w:rsidP="00397C84">
                            <w:pPr>
                              <w:ind w:left="-113"/>
                              <w:rPr>
                                <w:color w:val="000000" w:themeColor="text1"/>
                                <w:sz w:val="72"/>
                                <w:szCs w:val="72"/>
                                <w14:shadow w14:blurRad="50800" w14:dist="50800" w14:dir="5400000" w14:sx="0" w14:sy="0" w14:kx="0" w14:ky="0" w14:algn="ctr">
                                  <w14:schemeClr w14:val="bg1"/>
                                </w14:shadow>
                              </w:rPr>
                            </w:pPr>
                            <w:r w:rsidRPr="00B668CE">
                              <w:rPr>
                                <w:rFonts w:ascii="Arial" w:hAnsi="Arial" w:cs="Arial"/>
                                <w:b/>
                                <w:color w:val="000000" w:themeColor="text1"/>
                                <w:sz w:val="72"/>
                                <w:szCs w:val="7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7E2F" id="Suorakulmio 2" o:spid="_x0000_s1026" style="position:absolute;left:0;text-align:left;margin-left:176.2pt;margin-top:85.7pt;width:28.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" fillcolor="white [3212]" stroked="f" strokeweight="2pt">
                <v:textbox>
                  <w:txbxContent>
                    <w:p w14:paraId="00A068BC" w14:textId="77777777" w:rsidR="00397C84" w:rsidRPr="00B668CE" w:rsidRDefault="00397C84" w:rsidP="00397C84">
                      <w:pPr>
                        <w:ind w:left="-113"/>
                        <w:rPr>
                          <w:color w:val="000000" w:themeColor="text1"/>
                          <w:sz w:val="72"/>
                          <w:szCs w:val="72"/>
                          <w14:shadow w14:blurRad="50800" w14:dist="50800" w14:dir="5400000" w14:sx="0" w14:sy="0" w14:kx="0" w14:ky="0" w14:algn="ctr">
                            <w14:schemeClr w14:val="bg1"/>
                          </w14:shadow>
                        </w:rPr>
                      </w:pPr>
                      <w:r w:rsidRPr="00B668CE">
                        <w:rPr>
                          <w:rFonts w:ascii="Arial" w:hAnsi="Arial" w:cs="Arial"/>
                          <w:b/>
                          <w:color w:val="000000" w:themeColor="text1"/>
                          <w:sz w:val="72"/>
                          <w:szCs w:val="72"/>
                        </w:rPr>
                        <w:t>2</w:t>
                      </w:r>
                    </w:p>
                  </w:txbxContent>
                </v:textbox>
              </v:rect>
            </w:pict>
          </mc:Fallback>
        </mc:AlternateContent>
      </w:r>
      <w:r w:rsidRPr="00B668CE">
        <w:rPr>
          <w:noProof/>
          <w:sz w:val="24"/>
          <w:szCs w:val="24"/>
          <w:lang w:val="fi-FI" w:eastAsia="fi-FI"/>
        </w:rPr>
        <w:drawing>
          <wp:inline distT="0" distB="0" distL="0" distR="0" wp14:anchorId="4349EC20" wp14:editId="05F45807">
            <wp:extent cx="3505200" cy="1676400"/>
            <wp:effectExtent l="0" t="0" r="0" b="0"/>
            <wp:docPr id="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0" cy="1676400"/>
                    </a:xfrm>
                    <a:prstGeom prst="rect">
                      <a:avLst/>
                    </a:prstGeom>
                    <a:noFill/>
                    <a:ln>
                      <a:noFill/>
                    </a:ln>
                  </pic:spPr>
                </pic:pic>
              </a:graphicData>
            </a:graphic>
          </wp:inline>
        </w:drawing>
      </w:r>
    </w:p>
    <w:p w14:paraId="73D1032D" w14:textId="77777777" w:rsidR="00397C84" w:rsidRPr="00CC7F70" w:rsidRDefault="00397C84" w:rsidP="00397C84">
      <w:pPr>
        <w:widowControl w:val="0"/>
        <w:autoSpaceDE w:val="0"/>
        <w:autoSpaceDN w:val="0"/>
        <w:adjustRightInd w:val="0"/>
        <w:spacing w:before="41" w:line="240" w:lineRule="auto"/>
        <w:ind w:right="1127"/>
        <w:jc w:val="right"/>
        <w:rPr>
          <w:lang w:eastAsia="en-GB"/>
        </w:rPr>
      </w:pPr>
      <w:r w:rsidRPr="00CC7F70">
        <w:rPr>
          <w:lang w:eastAsia="en-GB"/>
        </w:rPr>
        <w:t xml:space="preserve">a = 8 </w:t>
      </w:r>
      <w:r w:rsidRPr="00CC7F70">
        <w:rPr>
          <w:spacing w:val="-1"/>
          <w:lang w:eastAsia="en-GB"/>
        </w:rPr>
        <w:t>m</w:t>
      </w:r>
      <w:r w:rsidRPr="00CC7F70">
        <w:rPr>
          <w:lang w:eastAsia="en-GB"/>
        </w:rPr>
        <w:t xml:space="preserve">m </w:t>
      </w:r>
      <w:r w:rsidRPr="00CC7F70">
        <w:rPr>
          <w:spacing w:val="-1"/>
          <w:lang w:eastAsia="en-GB"/>
        </w:rPr>
        <w:t>minimum</w:t>
      </w:r>
    </w:p>
    <w:p w14:paraId="3473D241" w14:textId="77777777" w:rsidR="00397C84" w:rsidRPr="00264779" w:rsidRDefault="00397C84" w:rsidP="00397C84">
      <w:pPr>
        <w:widowControl w:val="0"/>
        <w:suppressAutoHyphens w:val="0"/>
        <w:autoSpaceDE w:val="0"/>
        <w:autoSpaceDN w:val="0"/>
        <w:adjustRightInd w:val="0"/>
        <w:spacing w:before="41" w:line="240" w:lineRule="auto"/>
        <w:ind w:right="1127"/>
        <w:jc w:val="right"/>
      </w:pPr>
    </w:p>
    <w:p w14:paraId="5A55D9A9" w14:textId="77777777" w:rsidR="00397C84" w:rsidRPr="00264779" w:rsidRDefault="00397C84" w:rsidP="00592263">
      <w:pPr>
        <w:pStyle w:val="SingleTxtG"/>
        <w:spacing w:line="240" w:lineRule="auto"/>
        <w:ind w:right="1133" w:firstLine="567"/>
      </w:pPr>
      <w:r w:rsidRPr="00264779">
        <w:t xml:space="preserve">The mechanical coupling device or component or vehicle bearing the approval mark shown above is a device or component approved in the Netherlands (E 4), under approval number 2439, meeting the requirements of the </w:t>
      </w:r>
      <w:r w:rsidRPr="00CC7F70">
        <w:rPr>
          <w:strike/>
        </w:rPr>
        <w:t>01</w:t>
      </w:r>
      <w:r w:rsidRPr="00264779">
        <w:t xml:space="preserve"> </w:t>
      </w:r>
      <w:r w:rsidRPr="00CC7F70">
        <w:rPr>
          <w:b/>
        </w:rPr>
        <w:t>02</w:t>
      </w:r>
      <w:r w:rsidRPr="00264779">
        <w:t xml:space="preserve"> series of amendments to this Regulation.</w:t>
      </w:r>
    </w:p>
    <w:p w14:paraId="2A8BFE44" w14:textId="77777777" w:rsidR="00397C84" w:rsidRDefault="00397C84" w:rsidP="00592263">
      <w:pPr>
        <w:pStyle w:val="SingleTxtG"/>
        <w:spacing w:line="240" w:lineRule="auto"/>
        <w:ind w:right="1133" w:firstLine="567"/>
      </w:pPr>
      <w:r w:rsidRPr="00592263">
        <w:rPr>
          <w:i/>
          <w:iCs/>
        </w:rPr>
        <w:t>Note</w:t>
      </w:r>
      <w:r w:rsidRPr="00264779">
        <w:t>: The approval number and additional symbols shall be placed close to the circle and either above or below the letter "E", or to the right or left of that letter. The digits of the approval number shall be on the same side of the letter "E" and face in the same direction. The use of Roman numerals as approval numbers should be avoided so as to prevent any confusion with other symbols.</w:t>
      </w:r>
      <w:r>
        <w:t>"</w:t>
      </w:r>
    </w:p>
    <w:p w14:paraId="17756099" w14:textId="738E5F16" w:rsidR="00592263" w:rsidRDefault="00397C84" w:rsidP="00397C84">
      <w:pPr>
        <w:pStyle w:val="SingleTxtG"/>
        <w:keepNext/>
        <w:ind w:right="0"/>
        <w:rPr>
          <w:i/>
        </w:rPr>
      </w:pPr>
      <w:r>
        <w:rPr>
          <w:i/>
        </w:rPr>
        <w:t>Annex 5</w:t>
      </w:r>
    </w:p>
    <w:p w14:paraId="1D98ADC8" w14:textId="760B55CE" w:rsidR="00397C84" w:rsidRDefault="00592263" w:rsidP="00397C84">
      <w:pPr>
        <w:pStyle w:val="SingleTxtG"/>
        <w:keepNext/>
        <w:ind w:right="0"/>
      </w:pPr>
      <w:r>
        <w:rPr>
          <w:i/>
        </w:rPr>
        <w:t>P</w:t>
      </w:r>
      <w:r w:rsidR="00397C84">
        <w:rPr>
          <w:i/>
        </w:rPr>
        <w:t>aragraph 4.1.</w:t>
      </w:r>
      <w:r w:rsidR="00397C84">
        <w:t>, amend to read:</w:t>
      </w:r>
    </w:p>
    <w:p w14:paraId="054F8C08" w14:textId="77777777" w:rsidR="00397C84" w:rsidRDefault="00397C84" w:rsidP="00592263">
      <w:pPr>
        <w:pStyle w:val="SingleTxtG"/>
        <w:spacing w:line="240" w:lineRule="auto"/>
        <w:ind w:left="2268" w:right="1133" w:hanging="1134"/>
      </w:pPr>
      <w:r>
        <w:t>"</w:t>
      </w:r>
      <w:r w:rsidRPr="00C676E3">
        <w:t>4.</w:t>
      </w:r>
      <w:r>
        <w:t>1.</w:t>
      </w:r>
      <w:r>
        <w:tab/>
        <w:t xml:space="preserve">General requirements for drawbar eyes of Class D50: </w:t>
      </w:r>
    </w:p>
    <w:p w14:paraId="57BBAF20" w14:textId="77777777" w:rsidR="00397C84" w:rsidRDefault="00397C84" w:rsidP="00592263">
      <w:pPr>
        <w:pStyle w:val="SingleTxtG"/>
        <w:spacing w:line="240" w:lineRule="auto"/>
        <w:ind w:left="2268" w:right="1133"/>
      </w:pPr>
      <w:r>
        <w:t xml:space="preserve">All drawbar eyes of Class D50 shall be able to satisfy the test stated in Annex 6, paragraph 3.4. </w:t>
      </w:r>
    </w:p>
    <w:p w14:paraId="563A3C82" w14:textId="77777777" w:rsidR="00397C84" w:rsidRDefault="00397C84" w:rsidP="00592263">
      <w:pPr>
        <w:pStyle w:val="SingleTxtG"/>
        <w:spacing w:line="240" w:lineRule="auto"/>
        <w:ind w:left="2268" w:right="1133"/>
      </w:pPr>
      <w:r>
        <w:t xml:space="preserve">Class D50 drawbar eyes are intended for use with C50 drawbar couplings. Drawbar eyes shall not be able to rotate axially (because the respective couplings can rotate). </w:t>
      </w:r>
    </w:p>
    <w:p w14:paraId="133037EC" w14:textId="77777777" w:rsidR="00397C84" w:rsidRPr="003D34E4" w:rsidRDefault="00397C84" w:rsidP="00592263">
      <w:pPr>
        <w:pStyle w:val="SingleTxtG"/>
        <w:spacing w:line="240" w:lineRule="auto"/>
        <w:ind w:left="2268" w:right="1133"/>
      </w:pPr>
      <w:r>
        <w:t xml:space="preserve">If Class D50 drawbar eyes are fitted with sleeves, they shall comply with the dimensions shown in Figure 9 (not permitted for Class D50-C) or Figure 10. The sleeves shall not be welded into the drawbar eyes. Class D50 drawbar eyes shall have the dimensions given in paragraph 4.2. The form of shank for drawbar eyes of Class D50-X </w:t>
      </w:r>
      <w:r w:rsidRPr="002A4479">
        <w:rPr>
          <w:strike/>
        </w:rPr>
        <w:t xml:space="preserve">is </w:t>
      </w:r>
      <w:r w:rsidRPr="00017B48">
        <w:rPr>
          <w:strike/>
        </w:rPr>
        <w:t>not specified, but</w:t>
      </w:r>
      <w:r>
        <w:t xml:space="preserve"> </w:t>
      </w:r>
      <w:r w:rsidRPr="002A4479">
        <w:rPr>
          <w:b/>
          <w:iCs/>
          <w:lang w:val="en-US"/>
        </w:rPr>
        <w:t>shall be</w:t>
      </w:r>
      <w:r>
        <w:t xml:space="preserve"> </w:t>
      </w:r>
      <w:r w:rsidRPr="00017B48">
        <w:rPr>
          <w:b/>
          <w:iCs/>
          <w:lang w:val="en-US"/>
        </w:rPr>
        <w:t xml:space="preserve">limited by </w:t>
      </w:r>
      <w:r>
        <w:rPr>
          <w:b/>
          <w:iCs/>
          <w:lang w:val="en-US"/>
        </w:rPr>
        <w:t xml:space="preserve">the </w:t>
      </w:r>
      <w:r w:rsidRPr="007C0A5B">
        <w:rPr>
          <w:b/>
          <w:iCs/>
          <w:lang w:val="en-US"/>
        </w:rPr>
        <w:t>form drawn</w:t>
      </w:r>
      <w:r>
        <w:rPr>
          <w:b/>
          <w:iCs/>
          <w:lang w:val="en-US"/>
        </w:rPr>
        <w:t xml:space="preserve"> in</w:t>
      </w:r>
      <w:r w:rsidRPr="00017B48">
        <w:rPr>
          <w:b/>
          <w:iCs/>
          <w:lang w:val="en-US"/>
        </w:rPr>
        <w:t xml:space="preserve"> Figure 11 and</w:t>
      </w:r>
      <w:r>
        <w:rPr>
          <w:i/>
          <w:iCs/>
          <w:lang w:val="en-US"/>
        </w:rPr>
        <w:t xml:space="preserve"> </w:t>
      </w:r>
      <w:r>
        <w:t>for a distance of 210 mm from the centre of the eye the height "h" and the width "b" shall be within the limits given in Table 6."</w:t>
      </w:r>
    </w:p>
    <w:p w14:paraId="3BDE1367" w14:textId="77777777" w:rsidR="00397C84" w:rsidRPr="007A7E18" w:rsidRDefault="00397C84" w:rsidP="00397C84">
      <w:pPr>
        <w:pStyle w:val="HChG"/>
        <w:ind w:left="1080" w:right="0" w:hanging="1080"/>
        <w:rPr>
          <w:b w:val="0"/>
          <w:lang w:val="en-US"/>
        </w:rPr>
      </w:pPr>
      <w:r w:rsidRPr="007A7E18">
        <w:rPr>
          <w:lang w:val="en-US"/>
        </w:rPr>
        <w:tab/>
        <w:t>III.</w:t>
      </w:r>
      <w:r w:rsidRPr="007A7E18">
        <w:rPr>
          <w:lang w:val="en-US"/>
        </w:rPr>
        <w:tab/>
        <w:t>Justification</w:t>
      </w:r>
    </w:p>
    <w:p w14:paraId="519B38DF" w14:textId="77777777" w:rsidR="00397C84" w:rsidRDefault="00397C84" w:rsidP="00592263">
      <w:pPr>
        <w:pStyle w:val="SingleTxtG"/>
        <w:ind w:right="1133"/>
      </w:pPr>
      <w:r>
        <w:t>1.</w:t>
      </w:r>
      <w:r>
        <w:tab/>
        <w:t>In case part of the articulation is provided by flexible components the c</w:t>
      </w:r>
      <w:r w:rsidRPr="00D85A72">
        <w:t>urrent wording leaves room for interpretation</w:t>
      </w:r>
      <w:r>
        <w:t>. A</w:t>
      </w:r>
      <w:r w:rsidRPr="00D85A72">
        <w:t>pproval documentation of the C50 coupling devices on the market</w:t>
      </w:r>
      <w:r>
        <w:t xml:space="preserve"> show</w:t>
      </w:r>
      <w:r w:rsidRPr="00D85A72">
        <w:t xml:space="preserve"> the use restriction </w:t>
      </w:r>
      <w:r>
        <w:t xml:space="preserve">according to Annex 7, paragraph 1.3.8. </w:t>
      </w:r>
      <w:r w:rsidRPr="00D85A72">
        <w:t xml:space="preserve">has not been used in case of </w:t>
      </w:r>
      <w:r>
        <w:t xml:space="preserve">flexible components providing part of the articulation. </w:t>
      </w:r>
      <w:r w:rsidRPr="00505451">
        <w:t xml:space="preserve">Apparently, at the moment </w:t>
      </w:r>
      <w:r>
        <w:t>current wording</w:t>
      </w:r>
      <w:r w:rsidRPr="00505451">
        <w:t xml:space="preserve"> has been widely interpreted according to this </w:t>
      </w:r>
      <w:r>
        <w:t xml:space="preserve">clarified </w:t>
      </w:r>
      <w:r w:rsidRPr="00505451">
        <w:t>proposal.</w:t>
      </w:r>
    </w:p>
    <w:p w14:paraId="4AE1B6C7" w14:textId="77777777" w:rsidR="00397C84" w:rsidRDefault="00397C84" w:rsidP="00397C84">
      <w:pPr>
        <w:pStyle w:val="SingleTxtG"/>
        <w:ind w:right="0"/>
      </w:pPr>
      <w:r>
        <w:rPr>
          <w:noProof/>
          <w:lang w:val="fi-FI" w:eastAsia="fi-FI"/>
        </w:rPr>
        <w:lastRenderedPageBreak/>
        <w:drawing>
          <wp:inline distT="0" distB="0" distL="0" distR="0" wp14:anchorId="09E1B433" wp14:editId="32CAD016">
            <wp:extent cx="3438000" cy="2268000"/>
            <wp:effectExtent l="0" t="0" r="0"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000" cy="2268000"/>
                    </a:xfrm>
                    <a:prstGeom prst="rect">
                      <a:avLst/>
                    </a:prstGeom>
                    <a:noFill/>
                    <a:ln>
                      <a:noFill/>
                    </a:ln>
                  </pic:spPr>
                </pic:pic>
              </a:graphicData>
            </a:graphic>
          </wp:inline>
        </w:drawing>
      </w:r>
    </w:p>
    <w:p w14:paraId="502DBC1F" w14:textId="77777777" w:rsidR="00397C84" w:rsidRDefault="00397C84" w:rsidP="00397C84">
      <w:pPr>
        <w:pStyle w:val="SingleTxtG"/>
        <w:ind w:right="0"/>
      </w:pPr>
    </w:p>
    <w:p w14:paraId="0596C436" w14:textId="65584DA0" w:rsidR="00397C84" w:rsidRDefault="00397C84" w:rsidP="00592263">
      <w:pPr>
        <w:pStyle w:val="SingleTxtG"/>
        <w:ind w:right="1133"/>
      </w:pPr>
      <w:r>
        <w:t>2.</w:t>
      </w:r>
      <w:r>
        <w:tab/>
        <w:t xml:space="preserve">High capacity vehicle combinations made possible in Finland require high D-value coupling devices. This means the dimensions of the coupling devices are often very near to the limits of the current regulations. In Finland incompatible type-approved drawbar eyes and drawbar couplings has been found in the market surveillance. The main issue is the vertical thickness of the shank of the drawbar eye. Maximum dimensioned D50-X shank cannot fully articulate inside of C50 drawbar couplings </w:t>
      </w:r>
      <w:r w:rsidRPr="00047D9A">
        <w:t>as shown in the photographs below</w:t>
      </w:r>
      <w:r>
        <w:t>.</w:t>
      </w:r>
    </w:p>
    <w:p w14:paraId="07A6CF11" w14:textId="77777777" w:rsidR="00932F7B" w:rsidRDefault="00932F7B" w:rsidP="00592263">
      <w:pPr>
        <w:pStyle w:val="SingleTxtG"/>
        <w:ind w:right="1133"/>
      </w:pPr>
    </w:p>
    <w:p w14:paraId="03F20205" w14:textId="77777777" w:rsidR="00397C84" w:rsidRDefault="00397C84" w:rsidP="00397C84">
      <w:pPr>
        <w:pStyle w:val="SingleTxtG"/>
        <w:ind w:right="0"/>
      </w:pPr>
      <w:r w:rsidRPr="00CA5EA3">
        <w:rPr>
          <w:noProof/>
          <w:lang w:val="fi-FI" w:eastAsia="fi-FI"/>
        </w:rPr>
        <w:drawing>
          <wp:inline distT="0" distB="0" distL="0" distR="0" wp14:anchorId="299DA161" wp14:editId="1F44C15C">
            <wp:extent cx="3715200" cy="2782800"/>
            <wp:effectExtent l="0" t="0" r="0" b="0"/>
            <wp:docPr id="8" name="Kuva 8" descr="C:\Users\takkihen\Pictures\IMG_7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kihen\Pictures\IMG_774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5200" cy="2782800"/>
                    </a:xfrm>
                    <a:prstGeom prst="rect">
                      <a:avLst/>
                    </a:prstGeom>
                    <a:noFill/>
                    <a:ln>
                      <a:noFill/>
                    </a:ln>
                  </pic:spPr>
                </pic:pic>
              </a:graphicData>
            </a:graphic>
          </wp:inline>
        </w:drawing>
      </w:r>
      <w:r>
        <w:br/>
      </w:r>
    </w:p>
    <w:p w14:paraId="76442858" w14:textId="77777777" w:rsidR="00397C84" w:rsidRDefault="00397C84" w:rsidP="00397C84">
      <w:pPr>
        <w:pStyle w:val="SingleTxtG"/>
        <w:ind w:right="0"/>
      </w:pPr>
      <w:r w:rsidRPr="00CA5EA3">
        <w:rPr>
          <w:noProof/>
          <w:lang w:val="fi-FI" w:eastAsia="fi-FI"/>
        </w:rPr>
        <w:lastRenderedPageBreak/>
        <w:drawing>
          <wp:inline distT="0" distB="0" distL="0" distR="0" wp14:anchorId="2BBAA5F6" wp14:editId="327DA968">
            <wp:extent cx="3726000" cy="2797200"/>
            <wp:effectExtent l="0" t="0" r="8255" b="3175"/>
            <wp:docPr id="6" name="Kuva 6" descr="C:\Users\takkihen\Pictures\IMG_7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kihen\Pictures\IMG_77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6000" cy="2797200"/>
                    </a:xfrm>
                    <a:prstGeom prst="rect">
                      <a:avLst/>
                    </a:prstGeom>
                    <a:noFill/>
                    <a:ln>
                      <a:noFill/>
                    </a:ln>
                  </pic:spPr>
                </pic:pic>
              </a:graphicData>
            </a:graphic>
          </wp:inline>
        </w:drawing>
      </w:r>
    </w:p>
    <w:p w14:paraId="2FCCB074" w14:textId="77777777" w:rsidR="00397C84" w:rsidRDefault="00397C84" w:rsidP="00592263">
      <w:pPr>
        <w:pStyle w:val="SingleTxtG"/>
        <w:ind w:right="1133"/>
      </w:pPr>
      <w:r>
        <w:br/>
        <w:t>Clarified dimensioning of the D50-X shank would ensure the compatibility with the C50 couplings.</w:t>
      </w:r>
    </w:p>
    <w:p w14:paraId="5A9A2EFA" w14:textId="77777777" w:rsidR="00397C84" w:rsidRDefault="00397C84" w:rsidP="00397C84">
      <w:pPr>
        <w:pStyle w:val="SingleTxtG"/>
        <w:ind w:right="0"/>
      </w:pPr>
      <w:r>
        <w:t>See examples:</w:t>
      </w:r>
    </w:p>
    <w:p w14:paraId="680908AE" w14:textId="77777777" w:rsidR="00397C84" w:rsidRDefault="00397C84" w:rsidP="00397C84">
      <w:pPr>
        <w:pStyle w:val="SingleTxtG"/>
        <w:spacing w:after="0"/>
        <w:ind w:right="0"/>
      </w:pPr>
      <w:r w:rsidRPr="00427C90">
        <w:rPr>
          <w:b/>
          <w:noProof/>
          <w:lang w:val="fi-FI" w:eastAsia="fi-FI"/>
        </w:rPr>
        <w:drawing>
          <wp:inline distT="0" distB="0" distL="0" distR="0" wp14:anchorId="19D8C8DC" wp14:editId="2C9E5DBD">
            <wp:extent cx="4236720" cy="1212850"/>
            <wp:effectExtent l="0" t="0" r="0" b="6350"/>
            <wp:docPr id="5" name="Kuva 5" descr="C:\Users\takkihen\Documents\silmukka not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kkihen\Documents\silmukka not o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6720" cy="1212850"/>
                    </a:xfrm>
                    <a:prstGeom prst="rect">
                      <a:avLst/>
                    </a:prstGeom>
                    <a:noFill/>
                    <a:ln>
                      <a:noFill/>
                    </a:ln>
                  </pic:spPr>
                </pic:pic>
              </a:graphicData>
            </a:graphic>
          </wp:inline>
        </w:drawing>
      </w:r>
      <w:r>
        <w:tab/>
      </w:r>
      <w:r w:rsidRPr="00243539">
        <w:rPr>
          <w:b/>
          <w:color w:val="FF0000"/>
        </w:rPr>
        <w:t>NOT OK</w:t>
      </w:r>
    </w:p>
    <w:p w14:paraId="3D9EEF93" w14:textId="77777777" w:rsidR="00397C84" w:rsidRPr="00427C90" w:rsidRDefault="00397C84" w:rsidP="00397C84">
      <w:pPr>
        <w:pStyle w:val="SingleTxtG"/>
        <w:ind w:right="0"/>
      </w:pPr>
    </w:p>
    <w:p w14:paraId="1559B79E" w14:textId="77777777" w:rsidR="00397C84" w:rsidRDefault="00397C84" w:rsidP="00397C84">
      <w:pPr>
        <w:pStyle w:val="SingleTxtG"/>
        <w:spacing w:after="0"/>
        <w:ind w:right="0"/>
        <w:rPr>
          <w:noProof/>
          <w:lang w:eastAsia="fi-FI"/>
        </w:rPr>
      </w:pPr>
      <w:r w:rsidRPr="00011FF5">
        <w:rPr>
          <w:noProof/>
          <w:lang w:val="fi-FI" w:eastAsia="fi-FI"/>
        </w:rPr>
        <w:drawing>
          <wp:inline distT="0" distB="0" distL="0" distR="0" wp14:anchorId="527EEFE1" wp14:editId="6AC56ADE">
            <wp:extent cx="4244400" cy="1216800"/>
            <wp:effectExtent l="0" t="0" r="3810" b="2540"/>
            <wp:docPr id="4" name="Kuva 4" descr="C:\Users\takkihen\Documents\silmukka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kkihen\Documents\silmukka o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4400" cy="1216800"/>
                    </a:xfrm>
                    <a:prstGeom prst="rect">
                      <a:avLst/>
                    </a:prstGeom>
                    <a:noFill/>
                    <a:ln>
                      <a:noFill/>
                    </a:ln>
                  </pic:spPr>
                </pic:pic>
              </a:graphicData>
            </a:graphic>
          </wp:inline>
        </w:drawing>
      </w:r>
      <w:r>
        <w:rPr>
          <w:b/>
          <w:noProof/>
          <w:color w:val="00B050"/>
          <w:lang w:eastAsia="fi-FI"/>
        </w:rPr>
        <w:tab/>
      </w:r>
      <w:r w:rsidRPr="00243539">
        <w:rPr>
          <w:b/>
          <w:noProof/>
          <w:color w:val="00B050"/>
          <w:lang w:eastAsia="fi-FI"/>
        </w:rPr>
        <w:t>OK</w:t>
      </w:r>
    </w:p>
    <w:p w14:paraId="2DE5DA61" w14:textId="77777777" w:rsidR="00397C84" w:rsidRDefault="00397C84" w:rsidP="00397C84">
      <w:pPr>
        <w:pStyle w:val="SingleTxtG"/>
        <w:ind w:right="0"/>
        <w:rPr>
          <w:noProof/>
          <w:lang w:eastAsia="fi-FI"/>
        </w:rPr>
      </w:pPr>
    </w:p>
    <w:p w14:paraId="65F774A2" w14:textId="77777777" w:rsidR="00397C84" w:rsidRDefault="00397C84" w:rsidP="00397C84">
      <w:pPr>
        <w:pStyle w:val="SingleTxtG"/>
        <w:spacing w:after="0"/>
        <w:ind w:right="0"/>
      </w:pPr>
      <w:r w:rsidRPr="00011FF5">
        <w:rPr>
          <w:noProof/>
          <w:lang w:val="fi-FI" w:eastAsia="fi-FI"/>
        </w:rPr>
        <w:drawing>
          <wp:inline distT="0" distB="0" distL="0" distR="0" wp14:anchorId="32A1C893" wp14:editId="0398880C">
            <wp:extent cx="4244400" cy="1216800"/>
            <wp:effectExtent l="0" t="0" r="3810" b="2540"/>
            <wp:docPr id="3" name="Kuva 3" descr="C:\Users\takkihen\Documents\silmukka 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kihen\Documents\silmukka ok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4400" cy="1216800"/>
                    </a:xfrm>
                    <a:prstGeom prst="rect">
                      <a:avLst/>
                    </a:prstGeom>
                    <a:noFill/>
                    <a:ln>
                      <a:noFill/>
                    </a:ln>
                  </pic:spPr>
                </pic:pic>
              </a:graphicData>
            </a:graphic>
          </wp:inline>
        </w:drawing>
      </w:r>
      <w:r>
        <w:tab/>
      </w:r>
      <w:r w:rsidRPr="00243539">
        <w:rPr>
          <w:b/>
          <w:color w:val="00B050"/>
        </w:rPr>
        <w:t>OK</w:t>
      </w:r>
    </w:p>
    <w:p w14:paraId="614249EF" w14:textId="77777777" w:rsidR="00397C84" w:rsidRDefault="00397C84" w:rsidP="00397C84">
      <w:pPr>
        <w:pStyle w:val="SingleTxtG"/>
        <w:ind w:right="0"/>
      </w:pPr>
    </w:p>
    <w:p w14:paraId="471B42EB" w14:textId="77777777" w:rsidR="00397C84" w:rsidRDefault="00397C84" w:rsidP="00397C84">
      <w:pPr>
        <w:pStyle w:val="SingleTxtG"/>
      </w:pPr>
      <w:r w:rsidRPr="00296F45">
        <w:t xml:space="preserve">Transitional provisions for the 02 series of amendments are proposed. </w:t>
      </w:r>
      <w:r>
        <w:t>The new 02 series of amendments would only be mandatory for D50-X drawbar eyes.</w:t>
      </w:r>
      <w:r w:rsidRPr="00296F45">
        <w:t xml:space="preserve"> </w:t>
      </w:r>
    </w:p>
    <w:p w14:paraId="6AE0E1D9" w14:textId="165696EF" w:rsidR="00F607C0" w:rsidRDefault="00397C84" w:rsidP="00592263">
      <w:pPr>
        <w:pStyle w:val="SingleTxtG"/>
      </w:pPr>
      <w:r w:rsidRPr="00296F45">
        <w:t>Example of an arrangement of the approval</w:t>
      </w:r>
      <w:r>
        <w:t xml:space="preserve"> mark in the Annex 3 shall</w:t>
      </w:r>
      <w:r w:rsidRPr="00296F45">
        <w:t xml:space="preserve"> also </w:t>
      </w:r>
      <w:r>
        <w:t xml:space="preserve">be </w:t>
      </w:r>
      <w:r w:rsidRPr="00296F45">
        <w:t>updated.</w:t>
      </w:r>
    </w:p>
    <w:p w14:paraId="12E91C14" w14:textId="13E6E929" w:rsidR="00592263" w:rsidRPr="00592263" w:rsidRDefault="00592263" w:rsidP="00592263">
      <w:pPr>
        <w:spacing w:before="240"/>
        <w:jc w:val="center"/>
        <w:rPr>
          <w:u w:val="single"/>
        </w:rPr>
      </w:pPr>
      <w:r>
        <w:rPr>
          <w:u w:val="single"/>
        </w:rPr>
        <w:tab/>
      </w:r>
      <w:r>
        <w:rPr>
          <w:u w:val="single"/>
        </w:rPr>
        <w:tab/>
      </w:r>
      <w:r>
        <w:rPr>
          <w:u w:val="single"/>
        </w:rPr>
        <w:tab/>
      </w:r>
    </w:p>
    <w:sectPr w:rsidR="00592263" w:rsidRPr="00592263" w:rsidSect="00222D9F">
      <w:headerReference w:type="even" r:id="rId16"/>
      <w:headerReference w:type="default" r:id="rId17"/>
      <w:footerReference w:type="even" r:id="rId18"/>
      <w:footerReference w:type="default" r:id="rId19"/>
      <w:footerReference w:type="first" r:id="rId20"/>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26E2" w14:textId="77777777" w:rsidR="00214421" w:rsidRDefault="00214421" w:rsidP="00203C11">
      <w:pPr>
        <w:spacing w:line="240" w:lineRule="auto"/>
      </w:pPr>
      <w:r>
        <w:separator/>
      </w:r>
    </w:p>
  </w:endnote>
  <w:endnote w:type="continuationSeparator" w:id="0">
    <w:p w14:paraId="120CB63A" w14:textId="77777777" w:rsidR="00214421" w:rsidRDefault="00214421" w:rsidP="00203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7312" w14:textId="2A151548" w:rsidR="00340A6E" w:rsidRDefault="001B5B00" w:rsidP="001B5B00">
    <w:pPr>
      <w:pStyle w:val="Footer"/>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2</w:t>
    </w:r>
    <w:r w:rsidRPr="008E0A25">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815293"/>
      <w:docPartObj>
        <w:docPartGallery w:val="Page Numbers (Bottom of Page)"/>
        <w:docPartUnique/>
      </w:docPartObj>
    </w:sdtPr>
    <w:sdtEndPr>
      <w:rPr>
        <w:noProof/>
      </w:rPr>
    </w:sdtEndPr>
    <w:sdtContent>
      <w:p w14:paraId="366EF39E" w14:textId="0A9DD025" w:rsidR="00340A6E" w:rsidRDefault="00785AC2" w:rsidP="001B2C76">
        <w:pPr>
          <w:pStyle w:val="Footer"/>
          <w:jc w:val="right"/>
        </w:pPr>
        <w:r w:rsidRPr="008E0A25">
          <w:rPr>
            <w:b/>
            <w:sz w:val="18"/>
          </w:rPr>
          <w:fldChar w:fldCharType="begin"/>
        </w:r>
        <w:r w:rsidRPr="008E0A25">
          <w:rPr>
            <w:b/>
            <w:sz w:val="18"/>
          </w:rPr>
          <w:instrText xml:space="preserve"> PAGE  \* MERGEFORMAT </w:instrText>
        </w:r>
        <w:r w:rsidRPr="008E0A25">
          <w:rPr>
            <w:b/>
            <w:sz w:val="18"/>
          </w:rPr>
          <w:fldChar w:fldCharType="separate"/>
        </w:r>
        <w:r w:rsidR="00DC0D2A">
          <w:rPr>
            <w:b/>
            <w:noProof/>
            <w:sz w:val="18"/>
          </w:rPr>
          <w:t>3</w:t>
        </w:r>
        <w:r w:rsidRPr="008E0A25">
          <w:rPr>
            <w:b/>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0B51" w14:textId="4E182CDF" w:rsidR="00054403" w:rsidRDefault="00054403" w:rsidP="00054403">
    <w:pPr>
      <w:pStyle w:val="Footer"/>
    </w:pPr>
    <w:r>
      <w:rPr>
        <w:noProof/>
        <w:lang w:eastAsia="zh-CN"/>
      </w:rPr>
      <w:drawing>
        <wp:anchor distT="0" distB="0" distL="114300" distR="114300" simplePos="0" relativeHeight="251659264" behindDoc="1" locked="1" layoutInCell="1" allowOverlap="1" wp14:anchorId="43BE2192" wp14:editId="701AC58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07E51A3" w14:textId="173C903E" w:rsidR="00054403" w:rsidRDefault="00054403" w:rsidP="00054403">
    <w:pPr>
      <w:pStyle w:val="Footer"/>
      <w:ind w:right="1134"/>
      <w:rPr>
        <w:sz w:val="20"/>
      </w:rPr>
    </w:pPr>
    <w:r>
      <w:rPr>
        <w:sz w:val="20"/>
      </w:rPr>
      <w:t>GE.20-00794(E)</w:t>
    </w:r>
  </w:p>
  <w:p w14:paraId="0976599E" w14:textId="164A2CCB" w:rsidR="00054403" w:rsidRPr="00054403" w:rsidRDefault="00054403" w:rsidP="0005440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5B14AD80" wp14:editId="05FE7C62">
          <wp:simplePos x="0" y="0"/>
          <wp:positionH relativeFrom="margin">
            <wp:posOffset>5478780</wp:posOffset>
          </wp:positionH>
          <wp:positionV relativeFrom="margin">
            <wp:posOffset>8794750</wp:posOffset>
          </wp:positionV>
          <wp:extent cx="638175" cy="638175"/>
          <wp:effectExtent l="0" t="0" r="9525" b="9525"/>
          <wp:wrapNone/>
          <wp:docPr id="11" name="Picture 1" descr="https://undocs.org/m2/QRCode.ashx?DS=ECE/TRANS/WP.29/GRSG/2020/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5E21C" w14:textId="77777777" w:rsidR="00214421" w:rsidRPr="00E378AC" w:rsidRDefault="00214421" w:rsidP="00E378AC">
      <w:pPr>
        <w:tabs>
          <w:tab w:val="right" w:pos="2155"/>
        </w:tabs>
        <w:spacing w:after="80"/>
        <w:ind w:left="680"/>
        <w:rPr>
          <w:u w:val="single"/>
        </w:rPr>
      </w:pPr>
      <w:r>
        <w:rPr>
          <w:u w:val="single"/>
        </w:rPr>
        <w:tab/>
      </w:r>
    </w:p>
  </w:footnote>
  <w:footnote w:type="continuationSeparator" w:id="0">
    <w:p w14:paraId="7516EF87" w14:textId="77777777" w:rsidR="00214421" w:rsidRDefault="00214421">
      <w:r>
        <w:continuationSeparator/>
      </w:r>
    </w:p>
  </w:footnote>
  <w:footnote w:id="1">
    <w:p w14:paraId="1A543B9E" w14:textId="18600A3E" w:rsidR="00E8137B" w:rsidRPr="00E8137B" w:rsidRDefault="00E8137B" w:rsidP="00E8137B">
      <w:pPr>
        <w:pStyle w:val="FootnoteText"/>
        <w:tabs>
          <w:tab w:val="right" w:pos="1021"/>
        </w:tabs>
        <w:spacing w:line="220" w:lineRule="exact"/>
        <w:ind w:left="1134" w:right="1134" w:hanging="1134"/>
        <w:rPr>
          <w:sz w:val="16"/>
          <w:szCs w:val="18"/>
        </w:rPr>
      </w:pPr>
      <w:r w:rsidRPr="00E8137B">
        <w:rPr>
          <w:rStyle w:val="FootnoteReference"/>
          <w:vertAlign w:val="baseline"/>
          <w:lang w:eastAsia="fr-FR"/>
        </w:rPr>
        <w:tab/>
        <w:t>*</w:t>
      </w:r>
      <w:r w:rsidRPr="00E8137B">
        <w:rPr>
          <w:rStyle w:val="FootnoteReference"/>
          <w:vertAlign w:val="baseline"/>
          <w:lang w:eastAsia="fr-FR"/>
        </w:rPr>
        <w:tab/>
      </w:r>
      <w:r w:rsidR="002B4811" w:rsidRPr="002B4811">
        <w:rPr>
          <w:rStyle w:val="FootnoteReference"/>
          <w:vertAlign w:val="baseline"/>
          <w:lang w:eastAsia="fr-FR"/>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77DE" w14:textId="3E920803" w:rsidR="00340A6E" w:rsidRDefault="00340A6E" w:rsidP="00340A6E">
    <w:pPr>
      <w:pStyle w:val="Header"/>
    </w:pPr>
    <w:r>
      <w:t>ECE/TRANS/WP.29/GRSG/</w:t>
    </w:r>
    <w:r w:rsidRPr="00DF418A">
      <w:t>20</w:t>
    </w:r>
    <w:r w:rsidR="009B279C">
      <w:t>20</w:t>
    </w:r>
    <w:r>
      <w:t>/</w:t>
    </w:r>
    <w:r w:rsidR="00397C84">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8E0D" w14:textId="7DD00A66" w:rsidR="0082103C" w:rsidRDefault="0082103C" w:rsidP="00340A6E">
    <w:pPr>
      <w:pStyle w:val="Header"/>
      <w:jc w:val="right"/>
    </w:pPr>
    <w:r>
      <w:t>ECE/TRANS/WP.29/GRSG/</w:t>
    </w:r>
    <w:r w:rsidRPr="00DF418A">
      <w:t>20</w:t>
    </w:r>
    <w:r w:rsidR="009B279C">
      <w:t>20</w:t>
    </w:r>
    <w:r w:rsidRPr="00340A6E">
      <w:t>/</w:t>
    </w:r>
    <w:r w:rsidR="00592263">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B95C5F"/>
    <w:multiLevelType w:val="hybridMultilevel"/>
    <w:tmpl w:val="E7C04FF6"/>
    <w:lvl w:ilvl="0" w:tplc="2430AE64">
      <w:start w:val="1"/>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567"/>
  <w:hyphenationZone w:val="425"/>
  <w:evenAndOddHeaders/>
  <w:characterSpacingControl w:val="doNotCompress"/>
  <w:hdrShapeDefaults>
    <o:shapedefaults v:ext="edit" spidmax="20482"/>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22FFE"/>
    <w:rsid w:val="00054403"/>
    <w:rsid w:val="0005715A"/>
    <w:rsid w:val="000C75E6"/>
    <w:rsid w:val="000D367D"/>
    <w:rsid w:val="001309F4"/>
    <w:rsid w:val="001B2C76"/>
    <w:rsid w:val="001B5B00"/>
    <w:rsid w:val="001D6C5C"/>
    <w:rsid w:val="001F1DCE"/>
    <w:rsid w:val="00203C11"/>
    <w:rsid w:val="00214421"/>
    <w:rsid w:val="00222D9F"/>
    <w:rsid w:val="00242021"/>
    <w:rsid w:val="00255851"/>
    <w:rsid w:val="0027542D"/>
    <w:rsid w:val="002B4811"/>
    <w:rsid w:val="00326F61"/>
    <w:rsid w:val="00340A6E"/>
    <w:rsid w:val="00351879"/>
    <w:rsid w:val="0039598B"/>
    <w:rsid w:val="00397C84"/>
    <w:rsid w:val="00411DA6"/>
    <w:rsid w:val="00416C08"/>
    <w:rsid w:val="00461D8F"/>
    <w:rsid w:val="004A29E9"/>
    <w:rsid w:val="004E652D"/>
    <w:rsid w:val="00541748"/>
    <w:rsid w:val="00592263"/>
    <w:rsid w:val="00592DED"/>
    <w:rsid w:val="005B3E3F"/>
    <w:rsid w:val="006F6664"/>
    <w:rsid w:val="0070175C"/>
    <w:rsid w:val="00785AC2"/>
    <w:rsid w:val="007D1EE3"/>
    <w:rsid w:val="008058D9"/>
    <w:rsid w:val="0082103C"/>
    <w:rsid w:val="00852CAE"/>
    <w:rsid w:val="008D28DC"/>
    <w:rsid w:val="008F3F56"/>
    <w:rsid w:val="00926B71"/>
    <w:rsid w:val="00932F7B"/>
    <w:rsid w:val="00955848"/>
    <w:rsid w:val="0097132E"/>
    <w:rsid w:val="009B279C"/>
    <w:rsid w:val="009C5365"/>
    <w:rsid w:val="009D0DA6"/>
    <w:rsid w:val="009E646F"/>
    <w:rsid w:val="009E6A52"/>
    <w:rsid w:val="00AE6268"/>
    <w:rsid w:val="00BA2AF9"/>
    <w:rsid w:val="00BE7A0C"/>
    <w:rsid w:val="00C44ACA"/>
    <w:rsid w:val="00CD29FA"/>
    <w:rsid w:val="00D51FAA"/>
    <w:rsid w:val="00D55DBE"/>
    <w:rsid w:val="00D87F6B"/>
    <w:rsid w:val="00D9262A"/>
    <w:rsid w:val="00DC0D2A"/>
    <w:rsid w:val="00E01D68"/>
    <w:rsid w:val="00E378AC"/>
    <w:rsid w:val="00E43A91"/>
    <w:rsid w:val="00E76002"/>
    <w:rsid w:val="00E8137B"/>
    <w:rsid w:val="00E866A5"/>
    <w:rsid w:val="00E967C3"/>
    <w:rsid w:val="00ED2A2A"/>
    <w:rsid w:val="00F00C55"/>
    <w:rsid w:val="00F44D0B"/>
    <w:rsid w:val="00F607C0"/>
    <w:rsid w:val="00F7502A"/>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semiHidden="1" w:uiPriority="0"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99"/>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C098C-2B1E-4CE3-9F34-33F0CC7F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5781</Characters>
  <Application>Microsoft Office Word</Application>
  <DocSecurity>0</DocSecurity>
  <Lines>136</Lines>
  <Paragraphs>53</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ECE/TRANS/WP.29/GRSG/2020/8</dc:title>
  <dc:subject>2000794</dc:subject>
  <dc:creator>MIT</dc:creator>
  <cp:keywords/>
  <dc:description/>
  <cp:lastModifiedBy>Maria Rosario Corazon Gatmaytan</cp:lastModifiedBy>
  <cp:revision>2</cp:revision>
  <cp:lastPrinted>2019-07-19T11:29:00Z</cp:lastPrinted>
  <dcterms:created xsi:type="dcterms:W3CDTF">2020-01-20T15:52:00Z</dcterms:created>
  <dcterms:modified xsi:type="dcterms:W3CDTF">2020-01-20T15:52:00Z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