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41B1A8DB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51FE2656" w14:textId="77777777" w:rsidR="00F35BAF" w:rsidRPr="00DB58B5" w:rsidRDefault="00F35BAF" w:rsidP="00B20F35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E119FFD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5337239" w14:textId="77777777" w:rsidR="00F35BAF" w:rsidRPr="00DB58B5" w:rsidRDefault="00B20F35" w:rsidP="00B20F35">
            <w:pPr>
              <w:jc w:val="right"/>
            </w:pPr>
            <w:r w:rsidRPr="00B20F35">
              <w:rPr>
                <w:sz w:val="40"/>
              </w:rPr>
              <w:t>ECE</w:t>
            </w:r>
            <w:r>
              <w:t>/TRANS/WP.29/GRSG/2020/9</w:t>
            </w:r>
          </w:p>
        </w:tc>
      </w:tr>
      <w:tr w:rsidR="00F35BAF" w:rsidRPr="00DB58B5" w14:paraId="52796E84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7A7C395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E0C97CA" wp14:editId="242805D6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A0705CA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A760E57" w14:textId="77777777" w:rsidR="00F35BAF" w:rsidRDefault="00B20F35" w:rsidP="00C97039">
            <w:pPr>
              <w:spacing w:before="240"/>
            </w:pPr>
            <w:r>
              <w:t>Distr. générale</w:t>
            </w:r>
          </w:p>
          <w:p w14:paraId="7E111863" w14:textId="77777777" w:rsidR="00B20F35" w:rsidRDefault="00B20F35" w:rsidP="00B20F35">
            <w:pPr>
              <w:spacing w:line="240" w:lineRule="exact"/>
            </w:pPr>
            <w:r>
              <w:t>20 janvier 2010</w:t>
            </w:r>
          </w:p>
          <w:p w14:paraId="70E186AC" w14:textId="77777777" w:rsidR="00B20F35" w:rsidRDefault="00B20F35" w:rsidP="00B20F35">
            <w:pPr>
              <w:spacing w:line="240" w:lineRule="exact"/>
            </w:pPr>
            <w:r>
              <w:t>Français</w:t>
            </w:r>
          </w:p>
          <w:p w14:paraId="16F8664E" w14:textId="77777777" w:rsidR="00B20F35" w:rsidRPr="00DB58B5" w:rsidRDefault="00B20F35" w:rsidP="00B20F35">
            <w:pPr>
              <w:spacing w:line="240" w:lineRule="exact"/>
            </w:pPr>
            <w:r>
              <w:t>Original : anglais</w:t>
            </w:r>
          </w:p>
        </w:tc>
      </w:tr>
    </w:tbl>
    <w:p w14:paraId="17918FED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464B45FF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50C92BBD" w14:textId="77777777" w:rsidR="00B20F35" w:rsidRPr="00B20F35" w:rsidRDefault="00B20F35" w:rsidP="00B20F35">
      <w:pPr>
        <w:kinsoku/>
        <w:overflowPunct/>
        <w:autoSpaceDE/>
        <w:autoSpaceDN/>
        <w:adjustRightInd/>
        <w:snapToGrid/>
        <w:spacing w:before="120"/>
        <w:rPr>
          <w:rFonts w:eastAsia="Times New Roman"/>
          <w:b/>
          <w:sz w:val="24"/>
          <w:szCs w:val="24"/>
        </w:rPr>
      </w:pPr>
      <w:r w:rsidRPr="00B20F35">
        <w:rPr>
          <w:rFonts w:eastAsia="Times New Roman"/>
          <w:b/>
          <w:bCs/>
          <w:sz w:val="24"/>
          <w:szCs w:val="24"/>
        </w:rPr>
        <w:t xml:space="preserve">Forum mondial de l’harmonisation </w:t>
      </w:r>
      <w:r>
        <w:rPr>
          <w:rFonts w:eastAsia="Times New Roman"/>
          <w:b/>
          <w:bCs/>
          <w:sz w:val="24"/>
          <w:szCs w:val="24"/>
        </w:rPr>
        <w:br/>
      </w:r>
      <w:r w:rsidRPr="00B20F35">
        <w:rPr>
          <w:rFonts w:eastAsia="Times New Roman"/>
          <w:b/>
          <w:bCs/>
          <w:sz w:val="24"/>
          <w:szCs w:val="24"/>
        </w:rPr>
        <w:t>des Règlements concernant les véhicules</w:t>
      </w:r>
    </w:p>
    <w:p w14:paraId="509FE546" w14:textId="77777777" w:rsidR="00B20F35" w:rsidRPr="007A3199" w:rsidRDefault="00B20F35" w:rsidP="00B20F35">
      <w:pPr>
        <w:kinsoku/>
        <w:overflowPunct/>
        <w:autoSpaceDE/>
        <w:autoSpaceDN/>
        <w:adjustRightInd/>
        <w:snapToGrid/>
        <w:spacing w:before="120"/>
        <w:rPr>
          <w:rFonts w:eastAsia="Times New Roman"/>
          <w:b/>
        </w:rPr>
      </w:pPr>
      <w:r w:rsidRPr="007A3199">
        <w:rPr>
          <w:rFonts w:eastAsia="Times New Roman"/>
          <w:b/>
          <w:bCs/>
        </w:rPr>
        <w:t>Groupe de travail des dispositions générales de sécurité</w:t>
      </w:r>
    </w:p>
    <w:p w14:paraId="212B92B0" w14:textId="77777777" w:rsidR="00B20F35" w:rsidRPr="007A3199" w:rsidRDefault="00B20F35" w:rsidP="00B20F35">
      <w:pPr>
        <w:kinsoku/>
        <w:overflowPunct/>
        <w:autoSpaceDE/>
        <w:autoSpaceDN/>
        <w:adjustRightInd/>
        <w:snapToGrid/>
        <w:spacing w:before="120"/>
        <w:rPr>
          <w:rFonts w:eastAsia="Times New Roman"/>
          <w:b/>
        </w:rPr>
      </w:pPr>
      <w:r w:rsidRPr="007A3199">
        <w:rPr>
          <w:rFonts w:eastAsia="Times New Roman"/>
          <w:b/>
          <w:bCs/>
        </w:rPr>
        <w:t>118</w:t>
      </w:r>
      <w:r w:rsidRPr="007A3199">
        <w:rPr>
          <w:rFonts w:eastAsia="Times New Roman"/>
          <w:b/>
          <w:bCs/>
          <w:vertAlign w:val="superscript"/>
        </w:rPr>
        <w:t>e</w:t>
      </w:r>
      <w:r w:rsidRPr="007A3199">
        <w:rPr>
          <w:rFonts w:eastAsia="Times New Roman"/>
          <w:b/>
          <w:bCs/>
        </w:rPr>
        <w:t xml:space="preserve"> session</w:t>
      </w:r>
    </w:p>
    <w:p w14:paraId="1FA71EC4" w14:textId="77777777" w:rsidR="00B20F35" w:rsidRPr="007A3199" w:rsidRDefault="00B20F35" w:rsidP="00B20F35">
      <w:pPr>
        <w:kinsoku/>
        <w:overflowPunct/>
        <w:autoSpaceDE/>
        <w:autoSpaceDN/>
        <w:adjustRightInd/>
        <w:snapToGrid/>
        <w:rPr>
          <w:rFonts w:eastAsia="Times New Roman"/>
        </w:rPr>
      </w:pPr>
      <w:r w:rsidRPr="007A3199">
        <w:rPr>
          <w:rFonts w:eastAsia="Times New Roman"/>
        </w:rPr>
        <w:t>Genève, 30 mars-3 avril 2020</w:t>
      </w:r>
    </w:p>
    <w:p w14:paraId="6953FAD9" w14:textId="77777777" w:rsidR="00B20F35" w:rsidRPr="007A3199" w:rsidRDefault="00B20F35" w:rsidP="00B20F35">
      <w:pPr>
        <w:kinsoku/>
        <w:overflowPunct/>
        <w:autoSpaceDE/>
        <w:autoSpaceDN/>
        <w:adjustRightInd/>
        <w:snapToGrid/>
        <w:rPr>
          <w:rFonts w:eastAsia="Times New Roman"/>
        </w:rPr>
      </w:pPr>
      <w:r w:rsidRPr="007A3199">
        <w:rPr>
          <w:rFonts w:eastAsia="Times New Roman"/>
        </w:rPr>
        <w:t>Point 8 a) de l</w:t>
      </w:r>
      <w:r>
        <w:rPr>
          <w:rFonts w:eastAsia="Times New Roman"/>
        </w:rPr>
        <w:t>’</w:t>
      </w:r>
      <w:r w:rsidRPr="007A3199">
        <w:rPr>
          <w:rFonts w:eastAsia="Times New Roman"/>
        </w:rPr>
        <w:t>ordre du jour provisoire</w:t>
      </w:r>
    </w:p>
    <w:p w14:paraId="55CB5922" w14:textId="77777777" w:rsidR="00B20F35" w:rsidRPr="007A3199" w:rsidRDefault="00B20F35" w:rsidP="00B20F35">
      <w:pPr>
        <w:kinsoku/>
        <w:overflowPunct/>
        <w:autoSpaceDE/>
        <w:autoSpaceDN/>
        <w:adjustRightInd/>
        <w:snapToGrid/>
        <w:ind w:left="284" w:hanging="284"/>
        <w:rPr>
          <w:rFonts w:eastAsia="Times New Roman"/>
          <w:b/>
        </w:rPr>
      </w:pPr>
      <w:r w:rsidRPr="007A3199">
        <w:rPr>
          <w:rFonts w:eastAsia="Times New Roman"/>
          <w:b/>
          <w:bCs/>
        </w:rPr>
        <w:t xml:space="preserve">Amendements aux Règlements concernant </w:t>
      </w:r>
      <w:r>
        <w:rPr>
          <w:rFonts w:eastAsia="Times New Roman"/>
          <w:b/>
          <w:bCs/>
        </w:rPr>
        <w:br/>
      </w:r>
      <w:r w:rsidRPr="007A3199">
        <w:rPr>
          <w:rFonts w:eastAsia="Times New Roman"/>
          <w:b/>
          <w:bCs/>
        </w:rPr>
        <w:t>les véhicules fonctionnant au gaz</w:t>
      </w:r>
    </w:p>
    <w:p w14:paraId="75274251" w14:textId="77777777" w:rsidR="00B20F35" w:rsidRPr="007A3199" w:rsidRDefault="00B20F35" w:rsidP="00B20F35">
      <w:pPr>
        <w:kinsoku/>
        <w:overflowPunct/>
        <w:autoSpaceDE/>
        <w:autoSpaceDN/>
        <w:adjustRightInd/>
        <w:snapToGrid/>
        <w:rPr>
          <w:rFonts w:eastAsia="Times New Roman"/>
          <w:b/>
        </w:rPr>
      </w:pPr>
      <w:r w:rsidRPr="007A3199">
        <w:rPr>
          <w:rFonts w:eastAsia="Times New Roman"/>
          <w:b/>
          <w:bCs/>
        </w:rPr>
        <w:t>Règlement ONU n</w:t>
      </w:r>
      <w:r w:rsidRPr="007A3199">
        <w:rPr>
          <w:rFonts w:eastAsia="Times New Roman"/>
          <w:b/>
          <w:bCs/>
          <w:vertAlign w:val="superscript"/>
        </w:rPr>
        <w:t>o</w:t>
      </w:r>
      <w:r w:rsidRPr="007A3199">
        <w:rPr>
          <w:rFonts w:eastAsia="Times New Roman"/>
          <w:b/>
          <w:bCs/>
        </w:rPr>
        <w:t> 67 (Véhicules alimentés au GPL)</w:t>
      </w:r>
    </w:p>
    <w:p w14:paraId="7E281CE0" w14:textId="77777777" w:rsidR="00B20F35" w:rsidRPr="007A3199" w:rsidRDefault="00B20F35" w:rsidP="00B20F35">
      <w:pPr>
        <w:pStyle w:val="HChG"/>
        <w:rPr>
          <w:sz w:val="26"/>
          <w:szCs w:val="26"/>
        </w:rPr>
      </w:pPr>
      <w:r w:rsidRPr="007A3199">
        <w:tab/>
      </w:r>
      <w:r w:rsidRPr="007A3199">
        <w:tab/>
        <w:t>Proposition d</w:t>
      </w:r>
      <w:r>
        <w:t>’</w:t>
      </w:r>
      <w:r w:rsidRPr="007A3199">
        <w:t xml:space="preserve">amendements au Règlement </w:t>
      </w:r>
      <w:r>
        <w:t xml:space="preserve">ONU </w:t>
      </w:r>
      <w:r w:rsidRPr="007A3199">
        <w:t>n</w:t>
      </w:r>
      <w:r w:rsidRPr="007A3199">
        <w:rPr>
          <w:vertAlign w:val="superscript"/>
        </w:rPr>
        <w:t>o</w:t>
      </w:r>
      <w:r w:rsidRPr="007A3199">
        <w:t> 67 (Véhicules alimentés au GPL)</w:t>
      </w:r>
    </w:p>
    <w:p w14:paraId="63E8BC87" w14:textId="77777777" w:rsidR="00B20F35" w:rsidRPr="007A3199" w:rsidRDefault="00B20F35" w:rsidP="00B20F35">
      <w:pPr>
        <w:pStyle w:val="H1G"/>
      </w:pPr>
      <w:r>
        <w:tab/>
      </w:r>
      <w:r>
        <w:tab/>
      </w:r>
      <w:r w:rsidRPr="007A3199">
        <w:t>Communication de l</w:t>
      </w:r>
      <w:r>
        <w:t>’</w:t>
      </w:r>
      <w:r w:rsidRPr="007A3199">
        <w:t>expert de l</w:t>
      </w:r>
      <w:r>
        <w:t>’</w:t>
      </w:r>
      <w:r w:rsidRPr="007A3199">
        <w:t>Italie</w:t>
      </w:r>
      <w:r w:rsidRPr="00B20F35">
        <w:rPr>
          <w:b w:val="0"/>
          <w:bCs/>
          <w:sz w:val="20"/>
        </w:rPr>
        <w:footnoteReference w:customMarkFollows="1" w:id="2"/>
        <w:t>*</w:t>
      </w:r>
    </w:p>
    <w:p w14:paraId="72956A52" w14:textId="77777777" w:rsidR="00B20F35" w:rsidRPr="007A3199" w:rsidRDefault="00B20F35" w:rsidP="00B20F35">
      <w:pPr>
        <w:pStyle w:val="SingleTxtG"/>
        <w:ind w:firstLine="567"/>
      </w:pPr>
      <w:r w:rsidRPr="007A3199">
        <w:t>Le texte ci-après, établi par l</w:t>
      </w:r>
      <w:r>
        <w:t>’</w:t>
      </w:r>
      <w:r w:rsidRPr="007A3199">
        <w:t>expert de l</w:t>
      </w:r>
      <w:r>
        <w:t>’</w:t>
      </w:r>
      <w:r w:rsidRPr="007A3199">
        <w:t>Italie, vise à modifier le Règlement ONU n</w:t>
      </w:r>
      <w:r w:rsidRPr="007A3199">
        <w:rPr>
          <w:vertAlign w:val="superscript"/>
        </w:rPr>
        <w:t>o</w:t>
      </w:r>
      <w:r w:rsidRPr="007A3199">
        <w:t> 67 afin d</w:t>
      </w:r>
      <w:r>
        <w:t>’</w:t>
      </w:r>
      <w:r w:rsidRPr="007A3199">
        <w:t>introduire le nouveau type d</w:t>
      </w:r>
      <w:r>
        <w:t>’</w:t>
      </w:r>
      <w:r w:rsidRPr="007A3199">
        <w:t>embout de remplissage « J15 » tel que spécifié dans la norme ISO</w:t>
      </w:r>
      <w:r>
        <w:t> </w:t>
      </w:r>
      <w:r w:rsidRPr="007A3199">
        <w:t>19825 et d</w:t>
      </w:r>
      <w:r>
        <w:t>’</w:t>
      </w:r>
      <w:r w:rsidRPr="007A3199">
        <w:t>aligner sur cette même norme la dénomination de l</w:t>
      </w:r>
      <w:r>
        <w:t>’</w:t>
      </w:r>
      <w:r w:rsidRPr="007A3199">
        <w:t>embout de remplissage européen. Les modifications qu</w:t>
      </w:r>
      <w:r>
        <w:t>’</w:t>
      </w:r>
      <w:r w:rsidRPr="007A3199">
        <w:t>il est proposé d</w:t>
      </w:r>
      <w:r>
        <w:t>’</w:t>
      </w:r>
      <w:r w:rsidRPr="007A3199">
        <w:t>apporter au texte actuel du Règlement figurent en caractères gras pour les ajouts et biffés pour les suppressions.</w:t>
      </w:r>
    </w:p>
    <w:p w14:paraId="691CBF7A" w14:textId="77777777" w:rsidR="00B20F35" w:rsidRPr="007A3199" w:rsidRDefault="00D03ED7" w:rsidP="00B20F35">
      <w:pPr>
        <w:pStyle w:val="HChG"/>
      </w:pPr>
      <w:r>
        <w:br w:type="page"/>
      </w:r>
      <w:r w:rsidR="00B20F35">
        <w:lastRenderedPageBreak/>
        <w:tab/>
      </w:r>
      <w:r w:rsidR="00B20F35">
        <w:tab/>
      </w:r>
      <w:r w:rsidR="00B20F35" w:rsidRPr="007A3199">
        <w:t>Proposition d</w:t>
      </w:r>
      <w:r w:rsidR="00B20F35">
        <w:t>’</w:t>
      </w:r>
      <w:r w:rsidR="00B20F35" w:rsidRPr="007A3199">
        <w:t>amendements au Règlement</w:t>
      </w:r>
      <w:r w:rsidR="00B20F35">
        <w:t xml:space="preserve"> ONU</w:t>
      </w:r>
      <w:r w:rsidR="00B20F35" w:rsidRPr="007A3199">
        <w:t xml:space="preserve"> n</w:t>
      </w:r>
      <w:r w:rsidR="00B20F35" w:rsidRPr="007A3199">
        <w:rPr>
          <w:vertAlign w:val="superscript"/>
        </w:rPr>
        <w:t>o</w:t>
      </w:r>
      <w:r w:rsidR="00B20F35" w:rsidRPr="007A3199">
        <w:t> 67 (Véhicules alimentés au GPL)</w:t>
      </w:r>
    </w:p>
    <w:p w14:paraId="0EEA968C" w14:textId="77777777" w:rsidR="00B20F35" w:rsidRPr="007A3199" w:rsidRDefault="00B20F35" w:rsidP="00B20F35">
      <w:pPr>
        <w:pStyle w:val="HChG"/>
      </w:pPr>
      <w:r>
        <w:tab/>
      </w:r>
      <w:r w:rsidRPr="007A3199">
        <w:t>I.</w:t>
      </w:r>
      <w:r w:rsidRPr="007A3199">
        <w:tab/>
        <w:t>Proposition</w:t>
      </w:r>
    </w:p>
    <w:p w14:paraId="589E2990" w14:textId="77777777" w:rsidR="00B20F35" w:rsidRPr="007A3199" w:rsidRDefault="00B20F35" w:rsidP="00D03ED7">
      <w:pPr>
        <w:pStyle w:val="SingleTxtG"/>
        <w:keepNext/>
        <w:rPr>
          <w:rFonts w:eastAsia="Times New Roman"/>
          <w:i/>
        </w:rPr>
      </w:pPr>
      <w:r w:rsidRPr="00D03ED7">
        <w:rPr>
          <w:i/>
          <w:iCs/>
        </w:rPr>
        <w:t>Paragraphe</w:t>
      </w:r>
      <w:r w:rsidRPr="007A3199">
        <w:rPr>
          <w:rFonts w:eastAsia="Times New Roman"/>
        </w:rPr>
        <w:t xml:space="preserve"> </w:t>
      </w:r>
      <w:bookmarkStart w:id="0" w:name="_Hlk31095611"/>
      <w:r w:rsidRPr="007A3199">
        <w:rPr>
          <w:rFonts w:eastAsia="Times New Roman"/>
          <w:i/>
          <w:iCs/>
        </w:rPr>
        <w:t>6.17.10.6</w:t>
      </w:r>
      <w:bookmarkEnd w:id="0"/>
      <w:r w:rsidRPr="007A3199">
        <w:rPr>
          <w:rFonts w:eastAsia="Times New Roman"/>
        </w:rPr>
        <w:t>, lire</w:t>
      </w:r>
      <w:r>
        <w:rPr>
          <w:rFonts w:eastAsia="Times New Roman"/>
        </w:rPr>
        <w:t> :</w:t>
      </w:r>
    </w:p>
    <w:p w14:paraId="46AD55B3" w14:textId="77777777" w:rsidR="00B20F35" w:rsidRPr="00B20F35" w:rsidRDefault="00B20F35" w:rsidP="00D03ED7">
      <w:pPr>
        <w:pStyle w:val="SingleTxtG"/>
        <w:ind w:left="2268" w:hanging="1134"/>
        <w:rPr>
          <w:rFonts w:eastAsia="Times New Roman"/>
          <w:bCs/>
          <w:i/>
        </w:rPr>
      </w:pPr>
      <w:r w:rsidRPr="007A3199">
        <w:rPr>
          <w:rFonts w:eastAsia="Times New Roman"/>
        </w:rPr>
        <w:t>«</w:t>
      </w:r>
      <w:r>
        <w:rPr>
          <w:rFonts w:eastAsia="Times New Roman"/>
        </w:rPr>
        <w:t> </w:t>
      </w:r>
      <w:r w:rsidRPr="007A3199">
        <w:rPr>
          <w:rFonts w:eastAsia="Times New Roman"/>
        </w:rPr>
        <w:t>6.17.10.6</w:t>
      </w:r>
      <w:r w:rsidRPr="007A3199">
        <w:rPr>
          <w:rFonts w:eastAsia="Times New Roman"/>
        </w:rPr>
        <w:tab/>
        <w:t>Dispositions spéciales relatives à l</w:t>
      </w:r>
      <w:r>
        <w:rPr>
          <w:rFonts w:eastAsia="Times New Roman"/>
        </w:rPr>
        <w:t>’</w:t>
      </w:r>
      <w:r w:rsidRPr="007A3199">
        <w:rPr>
          <w:rFonts w:eastAsia="Times New Roman"/>
        </w:rPr>
        <w:t xml:space="preserve">embout de remplissage </w:t>
      </w:r>
      <w:r w:rsidRPr="007A3199">
        <w:rPr>
          <w:rFonts w:eastAsia="Times New Roman"/>
          <w:b/>
          <w:bCs/>
        </w:rPr>
        <w:t xml:space="preserve">K15 </w:t>
      </w:r>
      <w:r w:rsidRPr="007A3199">
        <w:rPr>
          <w:rFonts w:eastAsia="Times New Roman"/>
          <w:strike/>
        </w:rPr>
        <w:t xml:space="preserve">européen pour véhicules légers </w:t>
      </w:r>
      <w:r w:rsidRPr="007A3199">
        <w:rPr>
          <w:rFonts w:eastAsia="Times New Roman"/>
        </w:rPr>
        <w:t>(fig.</w:t>
      </w:r>
      <w:r w:rsidR="00D03ED7">
        <w:rPr>
          <w:rFonts w:eastAsia="Times New Roman"/>
        </w:rPr>
        <w:t> </w:t>
      </w:r>
      <w:r w:rsidRPr="007A3199">
        <w:rPr>
          <w:rFonts w:eastAsia="Times New Roman"/>
        </w:rPr>
        <w:t>3, annexe 9)</w:t>
      </w:r>
      <w:r>
        <w:rPr>
          <w:rFonts w:eastAsia="Times New Roman"/>
        </w:rPr>
        <w:t> : </w:t>
      </w:r>
      <w:r w:rsidRPr="007A3199">
        <w:rPr>
          <w:rFonts w:eastAsia="Times New Roman"/>
        </w:rPr>
        <w:t>».</w:t>
      </w:r>
    </w:p>
    <w:p w14:paraId="02BD8C72" w14:textId="77777777" w:rsidR="00B20F35" w:rsidRPr="007A3199" w:rsidRDefault="00B20F35" w:rsidP="00D03ED7">
      <w:pPr>
        <w:pStyle w:val="SingleTxtG"/>
        <w:keepNext/>
        <w:rPr>
          <w:rFonts w:eastAsia="Times New Roman"/>
          <w:i/>
        </w:rPr>
      </w:pPr>
      <w:r w:rsidRPr="00D03ED7">
        <w:rPr>
          <w:i/>
          <w:iCs/>
        </w:rPr>
        <w:t>Le</w:t>
      </w:r>
      <w:r w:rsidRPr="004837A6">
        <w:rPr>
          <w:rFonts w:eastAsia="Times New Roman"/>
          <w:i/>
        </w:rPr>
        <w:t xml:space="preserve"> paragraphe </w:t>
      </w:r>
      <w:bookmarkStart w:id="1" w:name="_Hlk31095624"/>
      <w:r w:rsidRPr="004837A6">
        <w:rPr>
          <w:rFonts w:eastAsia="Times New Roman"/>
          <w:i/>
        </w:rPr>
        <w:t>6.17.10.7.3</w:t>
      </w:r>
      <w:r w:rsidRPr="007A3199">
        <w:rPr>
          <w:rFonts w:eastAsia="Times New Roman"/>
        </w:rPr>
        <w:t xml:space="preserve"> </w:t>
      </w:r>
      <w:bookmarkEnd w:id="1"/>
      <w:r w:rsidRPr="007A3199">
        <w:rPr>
          <w:rFonts w:eastAsia="Times New Roman"/>
        </w:rPr>
        <w:t>devient le paragraphe 6.17.10.8 et se lit comme suit</w:t>
      </w:r>
      <w:r>
        <w:rPr>
          <w:rFonts w:eastAsia="Times New Roman"/>
        </w:rPr>
        <w:t> :</w:t>
      </w:r>
    </w:p>
    <w:p w14:paraId="3CC1B1C7" w14:textId="77777777" w:rsidR="00B20F35" w:rsidRPr="00B20F35" w:rsidRDefault="00B20F35" w:rsidP="00D03ED7">
      <w:pPr>
        <w:pStyle w:val="SingleTxtG"/>
        <w:ind w:left="2268" w:hanging="1134"/>
        <w:rPr>
          <w:rFonts w:eastAsia="Times New Roman"/>
          <w:bCs/>
          <w:i/>
          <w:strike/>
        </w:rPr>
      </w:pPr>
      <w:r w:rsidRPr="00B20F35">
        <w:rPr>
          <w:rFonts w:eastAsia="Times New Roman"/>
        </w:rPr>
        <w:t>«</w:t>
      </w:r>
      <w:r w:rsidRPr="00B20F35">
        <w:rPr>
          <w:rFonts w:eastAsia="Times New Roman"/>
        </w:rPr>
        <w:t> </w:t>
      </w:r>
      <w:r w:rsidRPr="007A3199">
        <w:rPr>
          <w:rFonts w:eastAsia="Times New Roman"/>
          <w:strike/>
        </w:rPr>
        <w:t>6.17.10.7.3</w:t>
      </w:r>
      <w:r w:rsidRPr="007A3199">
        <w:rPr>
          <w:rFonts w:eastAsia="Times New Roman"/>
        </w:rPr>
        <w:tab/>
      </w:r>
      <w:r w:rsidRPr="007A3199">
        <w:rPr>
          <w:rFonts w:eastAsia="Times New Roman"/>
          <w:strike/>
        </w:rPr>
        <w:t>L</w:t>
      </w:r>
      <w:r>
        <w:rPr>
          <w:rFonts w:eastAsia="Times New Roman"/>
          <w:strike/>
        </w:rPr>
        <w:t>’</w:t>
      </w:r>
      <w:r w:rsidRPr="007A3199">
        <w:rPr>
          <w:rFonts w:eastAsia="Times New Roman"/>
          <w:strike/>
        </w:rPr>
        <w:t>embout de remplissage européen doit satisfaire aux exigences de l</w:t>
      </w:r>
      <w:r>
        <w:rPr>
          <w:rFonts w:eastAsia="Times New Roman"/>
          <w:strike/>
        </w:rPr>
        <w:t>’</w:t>
      </w:r>
      <w:r w:rsidRPr="007A3199">
        <w:rPr>
          <w:rFonts w:eastAsia="Times New Roman"/>
          <w:strike/>
        </w:rPr>
        <w:t>essai de choc décrit au paragraphe 7.4 de l</w:t>
      </w:r>
      <w:r>
        <w:rPr>
          <w:rFonts w:eastAsia="Times New Roman"/>
          <w:strike/>
        </w:rPr>
        <w:t>’</w:t>
      </w:r>
      <w:r w:rsidRPr="007A3199">
        <w:rPr>
          <w:rFonts w:eastAsia="Times New Roman"/>
          <w:strike/>
        </w:rPr>
        <w:t>annexe 9.</w:t>
      </w:r>
    </w:p>
    <w:p w14:paraId="6DCDFA41" w14:textId="77777777" w:rsidR="00B20F35" w:rsidRPr="00B20F35" w:rsidRDefault="00B20F35" w:rsidP="00D03ED7">
      <w:pPr>
        <w:pStyle w:val="SingleTxtG"/>
        <w:ind w:left="2268" w:hanging="1134"/>
        <w:rPr>
          <w:rFonts w:eastAsia="Times New Roman"/>
          <w:i/>
        </w:rPr>
      </w:pPr>
      <w:r w:rsidRPr="00B20F35">
        <w:rPr>
          <w:rFonts w:eastAsia="Times New Roman"/>
          <w:b/>
          <w:bCs/>
        </w:rPr>
        <w:t>6.17.10.8</w:t>
      </w:r>
      <w:r w:rsidRPr="007A3199">
        <w:rPr>
          <w:rFonts w:eastAsia="Times New Roman"/>
        </w:rPr>
        <w:tab/>
      </w:r>
      <w:r w:rsidRPr="007A3199">
        <w:rPr>
          <w:rFonts w:eastAsia="Times New Roman"/>
          <w:b/>
          <w:bCs/>
        </w:rPr>
        <w:t>Les embouts de remplissage J15 et K15 et les embouts européens pour véhicules utilitaires lourds doivent satisfaire à l</w:t>
      </w:r>
      <w:r>
        <w:rPr>
          <w:rFonts w:eastAsia="Times New Roman"/>
          <w:b/>
          <w:bCs/>
        </w:rPr>
        <w:t>’</w:t>
      </w:r>
      <w:r w:rsidRPr="007A3199">
        <w:rPr>
          <w:rFonts w:eastAsia="Times New Roman"/>
          <w:b/>
          <w:bCs/>
        </w:rPr>
        <w:t>essai de choc décrit au paragraphe 7 de l</w:t>
      </w:r>
      <w:r>
        <w:rPr>
          <w:rFonts w:eastAsia="Times New Roman"/>
          <w:b/>
          <w:bCs/>
        </w:rPr>
        <w:t>’</w:t>
      </w:r>
      <w:r w:rsidRPr="007A3199">
        <w:rPr>
          <w:rFonts w:eastAsia="Times New Roman"/>
          <w:b/>
          <w:bCs/>
        </w:rPr>
        <w:t>annexe 9.</w:t>
      </w:r>
      <w:r w:rsidRPr="00B20F35">
        <w:rPr>
          <w:rFonts w:eastAsia="Times New Roman"/>
        </w:rPr>
        <w:t> </w:t>
      </w:r>
      <w:r w:rsidRPr="00B20F35">
        <w:rPr>
          <w:rFonts w:eastAsia="Times New Roman"/>
        </w:rPr>
        <w:t>».</w:t>
      </w:r>
    </w:p>
    <w:p w14:paraId="12069417" w14:textId="77777777" w:rsidR="00B20F35" w:rsidRPr="00D03ED7" w:rsidRDefault="00B20F35" w:rsidP="00D03ED7">
      <w:pPr>
        <w:pStyle w:val="SingleTxtG"/>
        <w:keepNext/>
        <w:rPr>
          <w:i/>
          <w:iCs/>
        </w:rPr>
      </w:pPr>
      <w:r w:rsidRPr="00D03ED7">
        <w:rPr>
          <w:i/>
          <w:iCs/>
        </w:rPr>
        <w:t>Annexe 9</w:t>
      </w:r>
    </w:p>
    <w:p w14:paraId="216BEF3A" w14:textId="77777777" w:rsidR="00B20F35" w:rsidRPr="00B20F35" w:rsidRDefault="00B20F35" w:rsidP="00D03ED7">
      <w:pPr>
        <w:pStyle w:val="SingleTxtG"/>
        <w:keepNext/>
        <w:rPr>
          <w:rFonts w:eastAsia="Times New Roman"/>
          <w:i/>
        </w:rPr>
      </w:pPr>
      <w:r w:rsidRPr="00D03ED7">
        <w:rPr>
          <w:i/>
          <w:iCs/>
        </w:rPr>
        <w:t>Paragraphe</w:t>
      </w:r>
      <w:r w:rsidRPr="007A3199">
        <w:rPr>
          <w:rFonts w:eastAsia="Times New Roman"/>
          <w:i/>
          <w:iCs/>
        </w:rPr>
        <w:t xml:space="preserve"> 7</w:t>
      </w:r>
      <w:r w:rsidRPr="007A3199">
        <w:rPr>
          <w:rFonts w:eastAsia="Times New Roman"/>
        </w:rPr>
        <w:t>, lire</w:t>
      </w:r>
      <w:r>
        <w:rPr>
          <w:rFonts w:eastAsia="Times New Roman"/>
        </w:rPr>
        <w:t> :</w:t>
      </w:r>
    </w:p>
    <w:p w14:paraId="44C558BD" w14:textId="77777777" w:rsidR="00B20F35" w:rsidRPr="007A3199" w:rsidRDefault="00B20F35" w:rsidP="00D03ED7">
      <w:pPr>
        <w:pStyle w:val="SingleTxtG"/>
        <w:ind w:left="2268" w:hanging="1134"/>
      </w:pPr>
      <w:r w:rsidRPr="007A3199">
        <w:t>«</w:t>
      </w:r>
      <w:r>
        <w:t> </w:t>
      </w:r>
      <w:r w:rsidRPr="007A3199">
        <w:t>7.</w:t>
      </w:r>
      <w:r w:rsidRPr="007A3199">
        <w:tab/>
        <w:t>Prescriptions relatives à l</w:t>
      </w:r>
      <w:r>
        <w:t>’</w:t>
      </w:r>
      <w:r w:rsidRPr="007A3199">
        <w:t>essai de choc pour l</w:t>
      </w:r>
      <w:r w:rsidRPr="007A3199">
        <w:rPr>
          <w:b/>
          <w:bCs/>
        </w:rPr>
        <w:t xml:space="preserve">es </w:t>
      </w:r>
      <w:r>
        <w:rPr>
          <w:strike/>
        </w:rPr>
        <w:t>‘</w:t>
      </w:r>
      <w:r w:rsidRPr="007A3199">
        <w:t>embout</w:t>
      </w:r>
      <w:r w:rsidRPr="007A3199">
        <w:rPr>
          <w:b/>
          <w:bCs/>
        </w:rPr>
        <w:t>s</w:t>
      </w:r>
      <w:r w:rsidRPr="007A3199">
        <w:t xml:space="preserve"> de remplissage </w:t>
      </w:r>
      <w:r w:rsidRPr="007A3199">
        <w:rPr>
          <w:b/>
          <w:bCs/>
        </w:rPr>
        <w:t xml:space="preserve">J15 et K15 et pour les embouts </w:t>
      </w:r>
      <w:r w:rsidRPr="007A3199">
        <w:t>européen</w:t>
      </w:r>
      <w:r w:rsidRPr="007A3199">
        <w:rPr>
          <w:b/>
          <w:bCs/>
        </w:rPr>
        <w:t>s pour véhicules utilitaires lourds</w:t>
      </w:r>
      <w:r>
        <w:rPr>
          <w:b/>
          <w:bCs/>
        </w:rPr>
        <w:t> </w:t>
      </w:r>
      <w:r w:rsidRPr="007A3199">
        <w:t>».</w:t>
      </w:r>
    </w:p>
    <w:p w14:paraId="61EA2E3D" w14:textId="77777777" w:rsidR="00B20F35" w:rsidRPr="007A3199" w:rsidRDefault="00B20F35" w:rsidP="00D03ED7">
      <w:pPr>
        <w:pStyle w:val="SingleTxtG"/>
        <w:keepNext/>
        <w:rPr>
          <w:rFonts w:eastAsia="Times New Roman"/>
          <w:i/>
        </w:rPr>
      </w:pPr>
      <w:r w:rsidRPr="00D03ED7">
        <w:rPr>
          <w:i/>
          <w:iCs/>
        </w:rPr>
        <w:t>Figure</w:t>
      </w:r>
      <w:r w:rsidRPr="007A3199">
        <w:rPr>
          <w:rFonts w:eastAsia="Times New Roman"/>
          <w:i/>
          <w:iCs/>
        </w:rPr>
        <w:t xml:space="preserve"> 3</w:t>
      </w:r>
      <w:r>
        <w:rPr>
          <w:rFonts w:eastAsia="Times New Roman"/>
          <w:i/>
          <w:iCs/>
        </w:rPr>
        <w:t>, titre</w:t>
      </w:r>
      <w:r w:rsidRPr="007A3199">
        <w:rPr>
          <w:rFonts w:eastAsia="Times New Roman"/>
        </w:rPr>
        <w:t xml:space="preserve">, </w:t>
      </w:r>
      <w:r>
        <w:rPr>
          <w:rFonts w:eastAsia="Times New Roman"/>
        </w:rPr>
        <w:t>lire</w:t>
      </w:r>
      <w:r>
        <w:rPr>
          <w:rFonts w:eastAsia="Times New Roman"/>
        </w:rPr>
        <w:t> :</w:t>
      </w:r>
    </w:p>
    <w:p w14:paraId="6FFCC35B" w14:textId="77777777" w:rsidR="00B20F35" w:rsidRPr="007A3199" w:rsidRDefault="00B20F35" w:rsidP="00D03ED7">
      <w:pPr>
        <w:pStyle w:val="SingleTxtG"/>
        <w:jc w:val="left"/>
        <w:rPr>
          <w:bCs/>
        </w:rPr>
      </w:pPr>
      <w:r w:rsidRPr="007A3199">
        <w:rPr>
          <w:rFonts w:eastAsia="Times New Roman"/>
        </w:rPr>
        <w:t>« Figure 3</w:t>
      </w:r>
      <w:r w:rsidR="00D03ED7">
        <w:rPr>
          <w:rFonts w:eastAsia="Times New Roman"/>
        </w:rPr>
        <w:br/>
      </w:r>
      <w:r w:rsidRPr="007A3199">
        <w:t>Connecteur de l</w:t>
      </w:r>
      <w:r>
        <w:t>’</w:t>
      </w:r>
      <w:r w:rsidRPr="007A3199">
        <w:t xml:space="preserve">embout de remplissage </w:t>
      </w:r>
      <w:r w:rsidRPr="007A3199">
        <w:rPr>
          <w:b/>
          <w:bCs/>
        </w:rPr>
        <w:t>K15</w:t>
      </w:r>
      <w:r w:rsidRPr="007A3199">
        <w:t xml:space="preserve"> </w:t>
      </w:r>
      <w:r w:rsidRPr="007A3199">
        <w:rPr>
          <w:strike/>
        </w:rPr>
        <w:t>européen pour véhicules légers </w:t>
      </w:r>
      <w:r w:rsidRPr="007A3199">
        <w:t>».</w:t>
      </w:r>
    </w:p>
    <w:p w14:paraId="4EDF7B29" w14:textId="77777777" w:rsidR="00B20F35" w:rsidRPr="007A3199" w:rsidRDefault="00B20F35" w:rsidP="00D03ED7">
      <w:pPr>
        <w:pStyle w:val="SingleTxtG"/>
        <w:keepNext/>
        <w:rPr>
          <w:rFonts w:eastAsia="Times New Roman"/>
          <w:i/>
        </w:rPr>
      </w:pPr>
      <w:r w:rsidRPr="007A3199">
        <w:rPr>
          <w:rFonts w:eastAsia="Times New Roman"/>
        </w:rPr>
        <w:t>Après la figure 5, ajouter une nouvelle figure 6, comme suit</w:t>
      </w:r>
      <w:r>
        <w:rPr>
          <w:rFonts w:eastAsia="Times New Roman"/>
        </w:rPr>
        <w:t> :</w:t>
      </w:r>
    </w:p>
    <w:p w14:paraId="6E84AC88" w14:textId="77777777" w:rsidR="00B20F35" w:rsidRPr="007A3199" w:rsidRDefault="00B20F35" w:rsidP="00832FBC">
      <w:pPr>
        <w:pStyle w:val="SingleTxtG"/>
        <w:keepNext/>
        <w:jc w:val="left"/>
      </w:pPr>
      <w:r w:rsidRPr="007A3199">
        <w:t>« Figu</w:t>
      </w:r>
      <w:bookmarkStart w:id="2" w:name="_GoBack"/>
      <w:bookmarkEnd w:id="2"/>
      <w:r w:rsidRPr="007A3199">
        <w:t>re 6</w:t>
      </w:r>
      <w:r w:rsidR="00D03ED7">
        <w:br/>
      </w:r>
      <w:r w:rsidRPr="00D03ED7">
        <w:rPr>
          <w:b/>
          <w:bCs/>
        </w:rPr>
        <w:t>Connecteur de l’embout de remplissage J15</w:t>
      </w:r>
    </w:p>
    <w:p w14:paraId="72DBD909" w14:textId="77777777" w:rsidR="00B20F35" w:rsidRPr="007A3199" w:rsidRDefault="00D03ED7" w:rsidP="00D03ED7">
      <w:pPr>
        <w:kinsoku/>
        <w:overflowPunct/>
        <w:autoSpaceDE/>
        <w:autoSpaceDN/>
        <w:adjustRightInd/>
        <w:snapToGrid/>
        <w:spacing w:after="120"/>
        <w:ind w:left="1134"/>
        <w:jc w:val="both"/>
        <w:rPr>
          <w:rFonts w:eastAsia="Times New Roman"/>
        </w:rPr>
      </w:pPr>
      <w:r>
        <w:rPr>
          <w:rFonts w:eastAsia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DA02E21" wp14:editId="45168FC4">
                <wp:simplePos x="0" y="0"/>
                <wp:positionH relativeFrom="column">
                  <wp:posOffset>788076</wp:posOffset>
                </wp:positionH>
                <wp:positionV relativeFrom="paragraph">
                  <wp:posOffset>2846869</wp:posOffset>
                </wp:positionV>
                <wp:extent cx="1496060" cy="658487"/>
                <wp:effectExtent l="0" t="0" r="8890" b="889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6584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DDCD55" w14:textId="77777777" w:rsidR="00B20F35" w:rsidRPr="00D03ED7" w:rsidRDefault="00B20F35" w:rsidP="00B20F35">
                            <w:pPr>
                              <w:spacing w:line="240" w:lineRule="auto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D03ED7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Légende</w:t>
                            </w:r>
                          </w:p>
                          <w:p w14:paraId="091B1E7C" w14:textId="77777777" w:rsidR="00B20F35" w:rsidRPr="00B20F35" w:rsidRDefault="00B20F35" w:rsidP="00B20F35">
                            <w:pPr>
                              <w:spacing w:line="240" w:lineRule="auto"/>
                              <w:ind w:left="284" w:hanging="284"/>
                              <w:rPr>
                                <w:sz w:val="14"/>
                                <w:szCs w:val="14"/>
                              </w:rPr>
                            </w:pPr>
                            <w:r w:rsidRPr="00B20F35">
                              <w:rPr>
                                <w:sz w:val="14"/>
                                <w:szCs w:val="14"/>
                              </w:rPr>
                              <w:t>A</w:t>
                            </w:r>
                            <w:r w:rsidRPr="00B20F35">
                              <w:rPr>
                                <w:sz w:val="14"/>
                                <w:szCs w:val="14"/>
                              </w:rPr>
                              <w:tab/>
                              <w:t>référence pour les tolérances géométriques</w:t>
                            </w:r>
                          </w:p>
                          <w:p w14:paraId="706D1E09" w14:textId="77777777" w:rsidR="00B20F35" w:rsidRPr="00B20F35" w:rsidRDefault="00B20F35" w:rsidP="00B20F35">
                            <w:pPr>
                              <w:spacing w:line="240" w:lineRule="auto"/>
                              <w:ind w:left="284" w:hanging="284"/>
                              <w:rPr>
                                <w:sz w:val="14"/>
                                <w:szCs w:val="14"/>
                              </w:rPr>
                            </w:pPr>
                            <w:r w:rsidRPr="00B20F35">
                              <w:rPr>
                                <w:i/>
                                <w:sz w:val="14"/>
                                <w:szCs w:val="14"/>
                              </w:rPr>
                              <w:t>Ra</w:t>
                            </w:r>
                            <w:r w:rsidRPr="00B20F35">
                              <w:rPr>
                                <w:sz w:val="14"/>
                                <w:szCs w:val="14"/>
                              </w:rPr>
                              <w:tab/>
                              <w:t>rugosité de la surface</w:t>
                            </w:r>
                          </w:p>
                          <w:p w14:paraId="252638CE" w14:textId="77777777" w:rsidR="00B20F35" w:rsidRPr="00B20F35" w:rsidRDefault="00B20F35" w:rsidP="00B20F35">
                            <w:pPr>
                              <w:spacing w:line="240" w:lineRule="auto"/>
                              <w:ind w:left="284" w:hanging="284"/>
                              <w:rPr>
                                <w:sz w:val="14"/>
                                <w:szCs w:val="14"/>
                              </w:rPr>
                            </w:pPr>
                            <w:r w:rsidRPr="00B20F35">
                              <w:rPr>
                                <w:i/>
                                <w:sz w:val="14"/>
                                <w:szCs w:val="14"/>
                              </w:rPr>
                              <w:t>R</w:t>
                            </w:r>
                            <w:r w:rsidRPr="00D03ED7">
                              <w:rPr>
                                <w:iCs/>
                                <w:sz w:val="14"/>
                                <w:szCs w:val="14"/>
                              </w:rPr>
                              <w:t>1</w:t>
                            </w:r>
                            <w:r w:rsidRPr="00B20F35">
                              <w:rPr>
                                <w:sz w:val="14"/>
                                <w:szCs w:val="14"/>
                              </w:rPr>
                              <w:tab/>
                              <w:t>rayon</w:t>
                            </w:r>
                          </w:p>
                          <w:p w14:paraId="465E024A" w14:textId="77777777" w:rsidR="00B20F35" w:rsidRPr="00B20F35" w:rsidRDefault="00B20F35" w:rsidP="00B20F35">
                            <w:pPr>
                              <w:spacing w:line="240" w:lineRule="auto"/>
                              <w:ind w:left="284" w:hanging="284"/>
                              <w:rPr>
                                <w:sz w:val="14"/>
                                <w:szCs w:val="14"/>
                              </w:rPr>
                            </w:pPr>
                            <w:r w:rsidRPr="00B20F35">
                              <w:rPr>
                                <w:sz w:val="14"/>
                                <w:szCs w:val="14"/>
                                <w:vertAlign w:val="superscript"/>
                              </w:rPr>
                              <w:t>a</w:t>
                            </w:r>
                            <w:r w:rsidRPr="00B20F35">
                              <w:rPr>
                                <w:sz w:val="14"/>
                                <w:szCs w:val="14"/>
                              </w:rPr>
                              <w:tab/>
                              <w:t>course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A02E21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62.05pt;margin-top:224.15pt;width:117.8pt;height:51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" fillcolor="white [3201]" stroked="f" strokeweight=".5pt">
                <v:textbox inset="0,0,0,0">
                  <w:txbxContent>
                    <w:p w14:paraId="65DDCD55" w14:textId="77777777" w:rsidR="00B20F35" w:rsidRPr="00D03ED7" w:rsidRDefault="00B20F35" w:rsidP="00B20F35">
                      <w:pPr>
                        <w:spacing w:line="240" w:lineRule="auto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D03ED7">
                        <w:rPr>
                          <w:b/>
                          <w:bCs/>
                          <w:sz w:val="14"/>
                          <w:szCs w:val="14"/>
                        </w:rPr>
                        <w:t>Légende</w:t>
                      </w:r>
                    </w:p>
                    <w:p w14:paraId="091B1E7C" w14:textId="77777777" w:rsidR="00B20F35" w:rsidRPr="00B20F35" w:rsidRDefault="00B20F35" w:rsidP="00B20F35">
                      <w:pPr>
                        <w:spacing w:line="240" w:lineRule="auto"/>
                        <w:ind w:left="284" w:hanging="284"/>
                        <w:rPr>
                          <w:sz w:val="14"/>
                          <w:szCs w:val="14"/>
                        </w:rPr>
                      </w:pPr>
                      <w:r w:rsidRPr="00B20F35">
                        <w:rPr>
                          <w:sz w:val="14"/>
                          <w:szCs w:val="14"/>
                        </w:rPr>
                        <w:t>A</w:t>
                      </w:r>
                      <w:r w:rsidRPr="00B20F35">
                        <w:rPr>
                          <w:sz w:val="14"/>
                          <w:szCs w:val="14"/>
                        </w:rPr>
                        <w:tab/>
                        <w:t>référence pour les tolérances géométriques</w:t>
                      </w:r>
                    </w:p>
                    <w:p w14:paraId="706D1E09" w14:textId="77777777" w:rsidR="00B20F35" w:rsidRPr="00B20F35" w:rsidRDefault="00B20F35" w:rsidP="00B20F35">
                      <w:pPr>
                        <w:spacing w:line="240" w:lineRule="auto"/>
                        <w:ind w:left="284" w:hanging="284"/>
                        <w:rPr>
                          <w:sz w:val="14"/>
                          <w:szCs w:val="14"/>
                        </w:rPr>
                      </w:pPr>
                      <w:r w:rsidRPr="00B20F35">
                        <w:rPr>
                          <w:i/>
                          <w:sz w:val="14"/>
                          <w:szCs w:val="14"/>
                        </w:rPr>
                        <w:t>Ra</w:t>
                      </w:r>
                      <w:r w:rsidRPr="00B20F35">
                        <w:rPr>
                          <w:sz w:val="14"/>
                          <w:szCs w:val="14"/>
                        </w:rPr>
                        <w:tab/>
                        <w:t>rugosité de la surface</w:t>
                      </w:r>
                    </w:p>
                    <w:p w14:paraId="252638CE" w14:textId="77777777" w:rsidR="00B20F35" w:rsidRPr="00B20F35" w:rsidRDefault="00B20F35" w:rsidP="00B20F35">
                      <w:pPr>
                        <w:spacing w:line="240" w:lineRule="auto"/>
                        <w:ind w:left="284" w:hanging="284"/>
                        <w:rPr>
                          <w:sz w:val="14"/>
                          <w:szCs w:val="14"/>
                        </w:rPr>
                      </w:pPr>
                      <w:r w:rsidRPr="00B20F35">
                        <w:rPr>
                          <w:i/>
                          <w:sz w:val="14"/>
                          <w:szCs w:val="14"/>
                        </w:rPr>
                        <w:t>R</w:t>
                      </w:r>
                      <w:r w:rsidRPr="00D03ED7">
                        <w:rPr>
                          <w:iCs/>
                          <w:sz w:val="14"/>
                          <w:szCs w:val="14"/>
                        </w:rPr>
                        <w:t>1</w:t>
                      </w:r>
                      <w:r w:rsidRPr="00B20F35">
                        <w:rPr>
                          <w:sz w:val="14"/>
                          <w:szCs w:val="14"/>
                        </w:rPr>
                        <w:tab/>
                        <w:t>rayon</w:t>
                      </w:r>
                    </w:p>
                    <w:p w14:paraId="465E024A" w14:textId="77777777" w:rsidR="00B20F35" w:rsidRPr="00B20F35" w:rsidRDefault="00B20F35" w:rsidP="00B20F35">
                      <w:pPr>
                        <w:spacing w:line="240" w:lineRule="auto"/>
                        <w:ind w:left="284" w:hanging="284"/>
                        <w:rPr>
                          <w:sz w:val="14"/>
                          <w:szCs w:val="14"/>
                        </w:rPr>
                      </w:pPr>
                      <w:r w:rsidRPr="00B20F35">
                        <w:rPr>
                          <w:sz w:val="14"/>
                          <w:szCs w:val="14"/>
                          <w:vertAlign w:val="superscript"/>
                        </w:rPr>
                        <w:t>a</w:t>
                      </w:r>
                      <w:r w:rsidRPr="00B20F35">
                        <w:rPr>
                          <w:sz w:val="14"/>
                          <w:szCs w:val="14"/>
                        </w:rPr>
                        <w:tab/>
                        <w:t>course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C1C9238" wp14:editId="5F223034">
                <wp:simplePos x="0" y="0"/>
                <wp:positionH relativeFrom="column">
                  <wp:posOffset>3829462</wp:posOffset>
                </wp:positionH>
                <wp:positionV relativeFrom="paragraph">
                  <wp:posOffset>37465</wp:posOffset>
                </wp:positionV>
                <wp:extent cx="1043940" cy="154305"/>
                <wp:effectExtent l="0" t="0" r="381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154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8FD5E1" w14:textId="77777777" w:rsidR="00B20F35" w:rsidRPr="00B20F35" w:rsidRDefault="00B20F35" w:rsidP="00B20F35">
                            <w:pPr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B20F35">
                              <w:rPr>
                                <w:sz w:val="14"/>
                                <w:szCs w:val="14"/>
                              </w:rPr>
                              <w:t>Dimensions en millimètres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C9238" id="Zone de texte 5" o:spid="_x0000_s1027" type="#_x0000_t202" style="position:absolute;left:0;text-align:left;margin-left:301.55pt;margin-top:2.95pt;width:82.2pt;height:12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" fillcolor="white [3201]" stroked="f" strokeweight=".5pt">
                <v:textbox inset="0,0,0,0">
                  <w:txbxContent>
                    <w:p w14:paraId="238FD5E1" w14:textId="77777777" w:rsidR="00B20F35" w:rsidRPr="00B20F35" w:rsidRDefault="00B20F35" w:rsidP="00B20F35">
                      <w:pPr>
                        <w:spacing w:line="240" w:lineRule="auto"/>
                        <w:rPr>
                          <w:sz w:val="14"/>
                          <w:szCs w:val="14"/>
                        </w:rPr>
                      </w:pPr>
                      <w:r w:rsidRPr="00B20F35">
                        <w:rPr>
                          <w:sz w:val="14"/>
                          <w:szCs w:val="14"/>
                        </w:rPr>
                        <w:t>Dimensions en millimètres</w:t>
                      </w:r>
                    </w:p>
                  </w:txbxContent>
                </v:textbox>
              </v:shape>
            </w:pict>
          </mc:Fallback>
        </mc:AlternateContent>
      </w:r>
      <w:r w:rsidR="00B20F35" w:rsidRPr="007A3199">
        <w:rPr>
          <w:rFonts w:eastAsia="Times New Roman"/>
          <w:noProof/>
          <w:lang w:eastAsia="it-IT"/>
        </w:rPr>
        <w:drawing>
          <wp:inline distT="0" distB="0" distL="0" distR="0" wp14:anchorId="098DD2BF" wp14:editId="20DAADA6">
            <wp:extent cx="4165849" cy="3530600"/>
            <wp:effectExtent l="0" t="0" r="635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130" cy="3542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0F35" w:rsidRPr="007A3199">
        <w:rPr>
          <w:rFonts w:eastAsia="Times New Roman"/>
        </w:rPr>
        <w:t>».</w:t>
      </w:r>
    </w:p>
    <w:p w14:paraId="77222361" w14:textId="77777777" w:rsidR="00B20F35" w:rsidRPr="007A3199" w:rsidRDefault="00B20F35" w:rsidP="00B20F35">
      <w:pPr>
        <w:pStyle w:val="HChG"/>
      </w:pPr>
      <w:r>
        <w:lastRenderedPageBreak/>
        <w:tab/>
      </w:r>
      <w:r w:rsidRPr="007A3199">
        <w:t>II.</w:t>
      </w:r>
      <w:r w:rsidRPr="007A3199">
        <w:tab/>
        <w:t>Justification</w:t>
      </w:r>
    </w:p>
    <w:p w14:paraId="73B43CD7" w14:textId="77777777" w:rsidR="00B20F35" w:rsidRPr="007A3199" w:rsidRDefault="00B20F35" w:rsidP="00D03ED7">
      <w:pPr>
        <w:pStyle w:val="SingleTxtG"/>
        <w:ind w:firstLine="567"/>
      </w:pPr>
      <w:r w:rsidRPr="007A3199">
        <w:t>La présente proposition vise à aligner le Règlement ONU n</w:t>
      </w:r>
      <w:r w:rsidRPr="007A3199">
        <w:rPr>
          <w:vertAlign w:val="superscript"/>
        </w:rPr>
        <w:t>o</w:t>
      </w:r>
      <w:r>
        <w:t> </w:t>
      </w:r>
      <w:r w:rsidRPr="007A3199">
        <w:t>67 sur la norme ISO 19825. C</w:t>
      </w:r>
      <w:r>
        <w:t>’</w:t>
      </w:r>
      <w:r w:rsidRPr="007A3199">
        <w:t>est pourquoi il est préconisé de remplacer le nom de l</w:t>
      </w:r>
      <w:r>
        <w:t>’</w:t>
      </w:r>
      <w:r w:rsidRPr="007A3199">
        <w:t>embout de remplissage européen pour véhicules légers par la dénomination « K15 », conformément à la norme ISO susmentionnée, et d</w:t>
      </w:r>
      <w:r>
        <w:t>’</w:t>
      </w:r>
      <w:r w:rsidRPr="007A3199">
        <w:t>ajouter dans l</w:t>
      </w:r>
      <w:r>
        <w:t>’</w:t>
      </w:r>
      <w:r w:rsidRPr="007A3199">
        <w:t>annexe</w:t>
      </w:r>
      <w:r>
        <w:t xml:space="preserve"> </w:t>
      </w:r>
      <w:r w:rsidRPr="007A3199">
        <w:t>9 un nouveau type d</w:t>
      </w:r>
      <w:r>
        <w:t>’</w:t>
      </w:r>
      <w:r w:rsidRPr="007A3199">
        <w:t>embout</w:t>
      </w:r>
      <w:r>
        <w:t xml:space="preserve"> dénommé</w:t>
      </w:r>
      <w:r w:rsidRPr="007A3199">
        <w:t xml:space="preserve"> « J15 ».</w:t>
      </w:r>
    </w:p>
    <w:p w14:paraId="648F0701" w14:textId="77777777" w:rsidR="00F9573C" w:rsidRPr="00B20F35" w:rsidRDefault="00B20F35" w:rsidP="00B20F35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B20F35" w:rsidSect="00B20F35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CE37E" w14:textId="77777777" w:rsidR="006670BF" w:rsidRDefault="006670BF" w:rsidP="00F95C08">
      <w:pPr>
        <w:spacing w:line="240" w:lineRule="auto"/>
      </w:pPr>
    </w:p>
  </w:endnote>
  <w:endnote w:type="continuationSeparator" w:id="0">
    <w:p w14:paraId="7C00299D" w14:textId="77777777" w:rsidR="006670BF" w:rsidRPr="00AC3823" w:rsidRDefault="006670BF" w:rsidP="00AC3823">
      <w:pPr>
        <w:pStyle w:val="Pieddepage"/>
      </w:pPr>
    </w:p>
  </w:endnote>
  <w:endnote w:type="continuationNotice" w:id="1">
    <w:p w14:paraId="75A4A813" w14:textId="77777777" w:rsidR="006670BF" w:rsidRDefault="006670B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D8654" w14:textId="77777777" w:rsidR="00B20F35" w:rsidRPr="00B20F35" w:rsidRDefault="00B20F35" w:rsidP="00B20F35">
    <w:pPr>
      <w:pStyle w:val="Pieddepage"/>
      <w:tabs>
        <w:tab w:val="right" w:pos="9638"/>
      </w:tabs>
    </w:pPr>
    <w:r w:rsidRPr="00B20F35">
      <w:rPr>
        <w:b/>
        <w:sz w:val="18"/>
      </w:rPr>
      <w:fldChar w:fldCharType="begin"/>
    </w:r>
    <w:r w:rsidRPr="00B20F35">
      <w:rPr>
        <w:b/>
        <w:sz w:val="18"/>
      </w:rPr>
      <w:instrText xml:space="preserve"> PAGE  \* MERGEFORMAT </w:instrText>
    </w:r>
    <w:r w:rsidRPr="00B20F35">
      <w:rPr>
        <w:b/>
        <w:sz w:val="18"/>
      </w:rPr>
      <w:fldChar w:fldCharType="separate"/>
    </w:r>
    <w:r w:rsidRPr="00B20F35">
      <w:rPr>
        <w:b/>
        <w:noProof/>
        <w:sz w:val="18"/>
      </w:rPr>
      <w:t>2</w:t>
    </w:r>
    <w:r w:rsidRPr="00B20F35">
      <w:rPr>
        <w:b/>
        <w:sz w:val="18"/>
      </w:rPr>
      <w:fldChar w:fldCharType="end"/>
    </w:r>
    <w:r>
      <w:rPr>
        <w:b/>
        <w:sz w:val="18"/>
      </w:rPr>
      <w:tab/>
    </w:r>
    <w:r>
      <w:t>GE.20-00804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ED0FB" w14:textId="77777777" w:rsidR="00B20F35" w:rsidRPr="00B20F35" w:rsidRDefault="00B20F35" w:rsidP="00B20F35">
    <w:pPr>
      <w:pStyle w:val="Pieddepage"/>
      <w:tabs>
        <w:tab w:val="right" w:pos="9638"/>
      </w:tabs>
      <w:rPr>
        <w:b/>
        <w:sz w:val="18"/>
      </w:rPr>
    </w:pPr>
    <w:r>
      <w:t>GE.20-00804</w:t>
    </w:r>
    <w:r>
      <w:tab/>
    </w:r>
    <w:r w:rsidRPr="00B20F35">
      <w:rPr>
        <w:b/>
        <w:sz w:val="18"/>
      </w:rPr>
      <w:fldChar w:fldCharType="begin"/>
    </w:r>
    <w:r w:rsidRPr="00B20F35">
      <w:rPr>
        <w:b/>
        <w:sz w:val="18"/>
      </w:rPr>
      <w:instrText xml:space="preserve"> PAGE  \* MERGEFORMAT </w:instrText>
    </w:r>
    <w:r w:rsidRPr="00B20F35">
      <w:rPr>
        <w:b/>
        <w:sz w:val="18"/>
      </w:rPr>
      <w:fldChar w:fldCharType="separate"/>
    </w:r>
    <w:r w:rsidRPr="00B20F35">
      <w:rPr>
        <w:b/>
        <w:noProof/>
        <w:sz w:val="18"/>
      </w:rPr>
      <w:t>3</w:t>
    </w:r>
    <w:r w:rsidRPr="00B20F3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724AE" w14:textId="77777777" w:rsidR="007F20FA" w:rsidRPr="00B20F35" w:rsidRDefault="00B20F35" w:rsidP="00B20F35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771A644B" wp14:editId="133CDDC4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20-00804  (F)    290120    290120</w:t>
    </w:r>
    <w:r>
      <w:rPr>
        <w:sz w:val="20"/>
      </w:rPr>
      <w:br/>
    </w:r>
    <w:r w:rsidRPr="00B20F35">
      <w:rPr>
        <w:rFonts w:ascii="C39T30Lfz" w:hAnsi="C39T30Lfz"/>
        <w:sz w:val="56"/>
      </w:rPr>
      <w:t></w:t>
    </w:r>
    <w:r w:rsidRPr="00B20F35">
      <w:rPr>
        <w:rFonts w:ascii="C39T30Lfz" w:hAnsi="C39T30Lfz"/>
        <w:sz w:val="56"/>
      </w:rPr>
      <w:t></w:t>
    </w:r>
    <w:r w:rsidRPr="00B20F35">
      <w:rPr>
        <w:rFonts w:ascii="C39T30Lfz" w:hAnsi="C39T30Lfz"/>
        <w:sz w:val="56"/>
      </w:rPr>
      <w:t></w:t>
    </w:r>
    <w:r w:rsidRPr="00B20F35">
      <w:rPr>
        <w:rFonts w:ascii="C39T30Lfz" w:hAnsi="C39T30Lfz"/>
        <w:sz w:val="56"/>
      </w:rPr>
      <w:t></w:t>
    </w:r>
    <w:r w:rsidRPr="00B20F35">
      <w:rPr>
        <w:rFonts w:ascii="C39T30Lfz" w:hAnsi="C39T30Lfz"/>
        <w:sz w:val="56"/>
      </w:rPr>
      <w:t></w:t>
    </w:r>
    <w:r w:rsidRPr="00B20F35">
      <w:rPr>
        <w:rFonts w:ascii="C39T30Lfz" w:hAnsi="C39T30Lfz"/>
        <w:sz w:val="56"/>
      </w:rPr>
      <w:t></w:t>
    </w:r>
    <w:r w:rsidRPr="00B20F35">
      <w:rPr>
        <w:rFonts w:ascii="C39T30Lfz" w:hAnsi="C39T30Lfz"/>
        <w:sz w:val="56"/>
      </w:rPr>
      <w:t></w:t>
    </w:r>
    <w:r w:rsidRPr="00B20F35">
      <w:rPr>
        <w:rFonts w:ascii="C39T30Lfz" w:hAnsi="C39T30Lfz"/>
        <w:sz w:val="56"/>
      </w:rPr>
      <w:t></w:t>
    </w:r>
    <w:r w:rsidRPr="00B20F35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79DE48F3" wp14:editId="211470E3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28650" cy="628650"/>
          <wp:effectExtent l="0" t="0" r="0" b="0"/>
          <wp:wrapNone/>
          <wp:docPr id="3" name="Image 1" descr="https://api.qrserver.com/v1/create-qr-code/?size=66x66&amp;data=https://undocs.org/fr/ECE/TRANS/WP.29/GRSG/2020/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api.qrserver.com/v1/create-qr-code/?size=66x66&amp;data=https://undocs.org/fr/ECE/TRANS/WP.29/GRSG/2020/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61BA3" w14:textId="77777777" w:rsidR="006670BF" w:rsidRPr="00AC3823" w:rsidRDefault="006670BF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C39AA75" w14:textId="77777777" w:rsidR="006670BF" w:rsidRPr="00AC3823" w:rsidRDefault="006670BF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6EE72DF" w14:textId="77777777" w:rsidR="006670BF" w:rsidRPr="00AC3823" w:rsidRDefault="006670BF">
      <w:pPr>
        <w:spacing w:line="240" w:lineRule="auto"/>
        <w:rPr>
          <w:sz w:val="2"/>
          <w:szCs w:val="2"/>
        </w:rPr>
      </w:pPr>
    </w:p>
  </w:footnote>
  <w:footnote w:id="2">
    <w:p w14:paraId="5609F895" w14:textId="77777777" w:rsidR="00B20F35" w:rsidRPr="00464D74" w:rsidRDefault="00B20F35" w:rsidP="00B20F35">
      <w:pPr>
        <w:pStyle w:val="Notedebasdepage"/>
        <w:rPr>
          <w:sz w:val="16"/>
          <w:szCs w:val="18"/>
        </w:rPr>
      </w:pPr>
      <w:r w:rsidRPr="00B20F35">
        <w:rPr>
          <w:sz w:val="20"/>
          <w:lang w:val="fr-FR"/>
        </w:rPr>
        <w:tab/>
        <w:t>*</w:t>
      </w:r>
      <w:r w:rsidRPr="00B20F35">
        <w:rPr>
          <w:sz w:val="20"/>
          <w:lang w:val="fr-FR"/>
        </w:rPr>
        <w:tab/>
      </w:r>
      <w:r>
        <w:rPr>
          <w:lang w:val="fr-FR"/>
        </w:rPr>
        <w:t>Conformément au programme de travail du Comité des transports intérieurs pour 2020 tel qu’il figure dans le projet de budget-programme pour 2020 (A/74/6 (titre V, chap.</w:t>
      </w:r>
      <w:r>
        <w:rPr>
          <w:lang w:val="fr-FR"/>
        </w:rPr>
        <w:t> </w:t>
      </w:r>
      <w:r>
        <w:rPr>
          <w:lang w:val="fr-FR"/>
        </w:rPr>
        <w:t>20), par.</w:t>
      </w:r>
      <w:r>
        <w:rPr>
          <w:lang w:val="fr-FR"/>
        </w:rPr>
        <w:t> </w:t>
      </w:r>
      <w:r>
        <w:rPr>
          <w:lang w:val="fr-FR"/>
        </w:rPr>
        <w:t>20.37),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13A3F" w14:textId="541B14B5" w:rsidR="00B20F35" w:rsidRPr="00B20F35" w:rsidRDefault="00B20F35">
    <w:pPr>
      <w:pStyle w:val="En-tte"/>
    </w:pPr>
    <w:fldSimple w:instr=" TITLE  \* MERGEFORMAT ">
      <w:r w:rsidR="00832FBC">
        <w:t>ECE/TRANS/WP.29/GRSG/2020/9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17D85" w14:textId="5ED031E9" w:rsidR="00B20F35" w:rsidRPr="00B20F35" w:rsidRDefault="00B20F35" w:rsidP="00B20F35">
    <w:pPr>
      <w:pStyle w:val="En-tte"/>
      <w:jc w:val="right"/>
    </w:pPr>
    <w:fldSimple w:instr=" TITLE  \* MERGEFORMAT ">
      <w:r w:rsidR="00832FBC">
        <w:t>ECE/TRANS/WP.29/GRSG/2020/9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670BF"/>
    <w:rsid w:val="00017F94"/>
    <w:rsid w:val="00023842"/>
    <w:rsid w:val="000334F9"/>
    <w:rsid w:val="00045FEB"/>
    <w:rsid w:val="0007796D"/>
    <w:rsid w:val="000B7790"/>
    <w:rsid w:val="000C7C44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837D8"/>
    <w:rsid w:val="004E2EED"/>
    <w:rsid w:val="004E468C"/>
    <w:rsid w:val="005505B7"/>
    <w:rsid w:val="00573BE5"/>
    <w:rsid w:val="00586ED3"/>
    <w:rsid w:val="00596AA9"/>
    <w:rsid w:val="006670BF"/>
    <w:rsid w:val="0071601D"/>
    <w:rsid w:val="007A62E6"/>
    <w:rsid w:val="007F20FA"/>
    <w:rsid w:val="0080684C"/>
    <w:rsid w:val="00832FBC"/>
    <w:rsid w:val="00871C75"/>
    <w:rsid w:val="008776DC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20F35"/>
    <w:rsid w:val="00B45F2E"/>
    <w:rsid w:val="00B765F7"/>
    <w:rsid w:val="00BA0CA9"/>
    <w:rsid w:val="00C02897"/>
    <w:rsid w:val="00C97039"/>
    <w:rsid w:val="00D03ED7"/>
    <w:rsid w:val="00D3439C"/>
    <w:rsid w:val="00DB1831"/>
    <w:rsid w:val="00DD3BFD"/>
    <w:rsid w:val="00DF6678"/>
    <w:rsid w:val="00E0299A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8D2228D"/>
  <w15:docId w15:val="{DB248E74-C057-4E3E-BAFD-B8DDCCBFD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3</Pages>
  <Words>317</Words>
  <Characters>2224</Characters>
  <Application>Microsoft Office Word</Application>
  <DocSecurity>0</DocSecurity>
  <Lines>185</Lines>
  <Paragraphs>101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ECE/TRANS/WP.29/GRSG/2020/9</vt:lpstr>
    </vt:vector>
  </TitlesOfParts>
  <Company>DCM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ECE/TRANS/WP.29/GRSG/2020/9</dc:title>
  <dc:subject/>
  <dc:creator>Nicolas MORIN</dc:creator>
  <cp:keywords/>
  <cp:lastModifiedBy>Nicolas Morin</cp:lastModifiedBy>
  <cp:revision>3</cp:revision>
  <cp:lastPrinted>2020-01-29T14:01:00Z</cp:lastPrinted>
  <dcterms:created xsi:type="dcterms:W3CDTF">2020-01-29T14:01:00Z</dcterms:created>
  <dcterms:modified xsi:type="dcterms:W3CDTF">2020-01-29T14:02:00Z</dcterms:modified>
</cp:coreProperties>
</file>