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3F35E" w14:textId="38D5614D" w:rsidR="00AC74F7" w:rsidRDefault="00DF0E34" w:rsidP="00DD5F08">
      <w:pPr>
        <w:pStyle w:val="HChG"/>
        <w:ind w:firstLine="0"/>
        <w:jc w:val="center"/>
        <w:rPr>
          <w:rFonts w:asciiTheme="majorBidi" w:hAnsiTheme="majorBidi" w:cstheme="majorBidi"/>
        </w:rPr>
      </w:pPr>
      <w:bookmarkStart w:id="0" w:name="_GoBack"/>
      <w:bookmarkEnd w:id="0"/>
      <w:r w:rsidRPr="00DF0E34">
        <w:rPr>
          <w:rFonts w:asciiTheme="majorBidi" w:hAnsiTheme="majorBidi" w:cstheme="majorBidi"/>
        </w:rPr>
        <w:t xml:space="preserve">Proposal for </w:t>
      </w:r>
      <w:r w:rsidR="00AC74F7">
        <w:rPr>
          <w:rFonts w:asciiTheme="majorBidi" w:hAnsiTheme="majorBidi" w:cstheme="majorBidi"/>
        </w:rPr>
        <w:t>changes to document GRSG/2020/2</w:t>
      </w:r>
      <w:r w:rsidR="002A3AF8">
        <w:rPr>
          <w:rFonts w:asciiTheme="majorBidi" w:hAnsiTheme="majorBidi" w:cstheme="majorBidi"/>
        </w:rPr>
        <w:t>6</w:t>
      </w:r>
      <w:r w:rsidRPr="00DF0E34">
        <w:rPr>
          <w:rFonts w:asciiTheme="majorBidi" w:hAnsiTheme="majorBidi" w:cstheme="majorBidi"/>
        </w:rPr>
        <w:t xml:space="preserve"> </w:t>
      </w:r>
    </w:p>
    <w:p w14:paraId="5F7ED9A8" w14:textId="140813E8" w:rsidR="00DF0E34" w:rsidRPr="00DF0E34" w:rsidRDefault="002A3AF8" w:rsidP="00DD5F08">
      <w:pPr>
        <w:pStyle w:val="HChG"/>
        <w:ind w:firstLine="0"/>
        <w:jc w:val="center"/>
        <w:rPr>
          <w:rFonts w:asciiTheme="majorBidi" w:hAnsiTheme="majorBidi" w:cstheme="majorBidi"/>
        </w:rPr>
      </w:pPr>
      <w:r>
        <w:rPr>
          <w:rFonts w:asciiTheme="majorBidi" w:hAnsiTheme="majorBidi" w:cstheme="majorBidi"/>
        </w:rPr>
        <w:t>Draft New Regulation on Immobilizers</w:t>
      </w:r>
    </w:p>
    <w:p w14:paraId="6D1966CB" w14:textId="77777777" w:rsidR="00DD5F08" w:rsidRDefault="00DD5F08" w:rsidP="00DF0E34">
      <w:pPr>
        <w:pStyle w:val="H1G"/>
        <w:tabs>
          <w:tab w:val="clear" w:pos="851"/>
        </w:tabs>
        <w:ind w:firstLine="0"/>
        <w:rPr>
          <w:rFonts w:asciiTheme="majorBidi" w:hAnsiTheme="majorBidi" w:cstheme="majorBidi"/>
        </w:rPr>
      </w:pPr>
    </w:p>
    <w:p w14:paraId="2070FB91" w14:textId="1D7FB8B0" w:rsidR="00DF0E34" w:rsidRPr="00DF0E34" w:rsidRDefault="00DF0E34" w:rsidP="00DF0E34">
      <w:pPr>
        <w:pStyle w:val="H1G"/>
        <w:tabs>
          <w:tab w:val="clear" w:pos="851"/>
        </w:tabs>
        <w:ind w:firstLine="0"/>
        <w:rPr>
          <w:rFonts w:asciiTheme="majorBidi" w:hAnsiTheme="majorBidi" w:cstheme="majorBidi"/>
          <w:vertAlign w:val="superscript"/>
        </w:rPr>
      </w:pPr>
      <w:r w:rsidRPr="00DF0E34">
        <w:rPr>
          <w:rFonts w:asciiTheme="majorBidi" w:hAnsiTheme="majorBidi" w:cstheme="majorBidi"/>
        </w:rPr>
        <w:t xml:space="preserve">Submitted by the experts of </w:t>
      </w:r>
      <w:r w:rsidR="00AC74F7">
        <w:rPr>
          <w:rFonts w:asciiTheme="majorBidi" w:hAnsiTheme="majorBidi" w:cstheme="majorBidi"/>
        </w:rPr>
        <w:t>OICA</w:t>
      </w:r>
    </w:p>
    <w:p w14:paraId="6EADD5E2" w14:textId="77777777" w:rsidR="00DD5F08" w:rsidRDefault="00DD5F08" w:rsidP="00DF0E34">
      <w:pPr>
        <w:tabs>
          <w:tab w:val="left" w:pos="8505"/>
        </w:tabs>
        <w:ind w:left="1134" w:right="1134" w:firstLine="567"/>
        <w:jc w:val="both"/>
        <w:rPr>
          <w:rFonts w:asciiTheme="majorBidi" w:hAnsiTheme="majorBidi" w:cstheme="majorBidi"/>
        </w:rPr>
      </w:pPr>
    </w:p>
    <w:p w14:paraId="296FB4FB" w14:textId="76951E88" w:rsidR="00DF0E34" w:rsidRPr="00DF0E34" w:rsidRDefault="00DF0E34" w:rsidP="00DF0E34">
      <w:pPr>
        <w:tabs>
          <w:tab w:val="left" w:pos="8505"/>
        </w:tabs>
        <w:ind w:left="1134" w:right="1134" w:firstLine="567"/>
        <w:jc w:val="both"/>
        <w:rPr>
          <w:rFonts w:asciiTheme="majorBidi" w:hAnsiTheme="majorBidi" w:cstheme="majorBidi"/>
        </w:rPr>
      </w:pPr>
      <w:r w:rsidRPr="00DF0E34">
        <w:rPr>
          <w:rFonts w:asciiTheme="majorBidi" w:hAnsiTheme="majorBidi" w:cstheme="majorBidi"/>
        </w:rPr>
        <w:t xml:space="preserve">The text reproduced below was prepared by the </w:t>
      </w:r>
      <w:r w:rsidR="00AC74F7">
        <w:rPr>
          <w:rFonts w:asciiTheme="majorBidi" w:hAnsiTheme="majorBidi" w:cstheme="majorBidi"/>
        </w:rPr>
        <w:t>experts from OICA</w:t>
      </w:r>
      <w:r w:rsidRPr="00DF0E34">
        <w:rPr>
          <w:rFonts w:asciiTheme="majorBidi" w:hAnsiTheme="majorBidi" w:cstheme="majorBidi"/>
        </w:rPr>
        <w:t xml:space="preserve">. </w:t>
      </w:r>
      <w:r w:rsidR="00DD5F08">
        <w:rPr>
          <w:rFonts w:asciiTheme="majorBidi" w:hAnsiTheme="majorBidi" w:cstheme="majorBidi"/>
        </w:rPr>
        <w:t>This proposal amends the working document referenced</w:t>
      </w:r>
      <w:r w:rsidRPr="00DF0E34">
        <w:rPr>
          <w:rFonts w:asciiTheme="majorBidi" w:hAnsiTheme="majorBidi" w:cstheme="majorBidi"/>
        </w:rPr>
        <w:t xml:space="preserve"> </w:t>
      </w:r>
      <w:r w:rsidR="00DD5F08" w:rsidRPr="00DD5F08">
        <w:rPr>
          <w:rFonts w:asciiTheme="majorBidi" w:hAnsiTheme="majorBidi" w:cstheme="majorBidi"/>
        </w:rPr>
        <w:t>ECE</w:t>
      </w:r>
      <w:r w:rsidR="00AC74F7">
        <w:rPr>
          <w:rFonts w:asciiTheme="majorBidi" w:hAnsiTheme="majorBidi" w:cstheme="majorBidi"/>
        </w:rPr>
        <w:t>/</w:t>
      </w:r>
      <w:r w:rsidR="00DD5F08" w:rsidRPr="00DD5F08">
        <w:rPr>
          <w:rFonts w:asciiTheme="majorBidi" w:hAnsiTheme="majorBidi" w:cstheme="majorBidi"/>
        </w:rPr>
        <w:t>TRANS</w:t>
      </w:r>
      <w:r w:rsidR="00AC74F7">
        <w:rPr>
          <w:rFonts w:asciiTheme="majorBidi" w:hAnsiTheme="majorBidi" w:cstheme="majorBidi"/>
        </w:rPr>
        <w:t>/</w:t>
      </w:r>
      <w:r w:rsidR="00DD5F08" w:rsidRPr="00DD5F08">
        <w:rPr>
          <w:rFonts w:asciiTheme="majorBidi" w:hAnsiTheme="majorBidi" w:cstheme="majorBidi"/>
        </w:rPr>
        <w:t>WP.29</w:t>
      </w:r>
      <w:r w:rsidR="00AC74F7">
        <w:rPr>
          <w:rFonts w:asciiTheme="majorBidi" w:hAnsiTheme="majorBidi" w:cstheme="majorBidi"/>
        </w:rPr>
        <w:t>/</w:t>
      </w:r>
      <w:r w:rsidR="00DD5F08" w:rsidRPr="00DD5F08">
        <w:rPr>
          <w:rFonts w:asciiTheme="majorBidi" w:hAnsiTheme="majorBidi" w:cstheme="majorBidi"/>
        </w:rPr>
        <w:t>GRSG</w:t>
      </w:r>
      <w:r w:rsidR="00AC74F7">
        <w:rPr>
          <w:rFonts w:asciiTheme="majorBidi" w:hAnsiTheme="majorBidi" w:cstheme="majorBidi"/>
        </w:rPr>
        <w:t>/</w:t>
      </w:r>
      <w:r w:rsidR="00DD5F08" w:rsidRPr="00DD5F08">
        <w:rPr>
          <w:rFonts w:asciiTheme="majorBidi" w:hAnsiTheme="majorBidi" w:cstheme="majorBidi"/>
        </w:rPr>
        <w:t>2020</w:t>
      </w:r>
      <w:r w:rsidR="00AC74F7">
        <w:rPr>
          <w:rFonts w:asciiTheme="majorBidi" w:hAnsiTheme="majorBidi" w:cstheme="majorBidi"/>
        </w:rPr>
        <w:t>/2</w:t>
      </w:r>
      <w:r w:rsidR="002A3AF8">
        <w:rPr>
          <w:rFonts w:asciiTheme="majorBidi" w:hAnsiTheme="majorBidi" w:cstheme="majorBidi"/>
        </w:rPr>
        <w:t>6</w:t>
      </w:r>
      <w:r w:rsidR="00DD5F08">
        <w:rPr>
          <w:rFonts w:asciiTheme="majorBidi" w:hAnsiTheme="majorBidi" w:cstheme="majorBidi"/>
        </w:rPr>
        <w:t>.</w:t>
      </w:r>
      <w:r w:rsidRPr="00DF0E34">
        <w:rPr>
          <w:rFonts w:asciiTheme="majorBidi" w:hAnsiTheme="majorBidi" w:cstheme="majorBidi"/>
        </w:rPr>
        <w:t xml:space="preserve"> The modifications to the current</w:t>
      </w:r>
      <w:r w:rsidR="00DD5F08">
        <w:rPr>
          <w:rFonts w:asciiTheme="majorBidi" w:hAnsiTheme="majorBidi" w:cstheme="majorBidi"/>
        </w:rPr>
        <w:t xml:space="preserve"> </w:t>
      </w:r>
      <w:r w:rsidR="00AC74F7">
        <w:rPr>
          <w:rFonts w:asciiTheme="majorBidi" w:hAnsiTheme="majorBidi" w:cstheme="majorBidi"/>
        </w:rPr>
        <w:t xml:space="preserve">proposal </w:t>
      </w:r>
      <w:r w:rsidR="00AC74F7" w:rsidRPr="00DF0E34">
        <w:rPr>
          <w:rFonts w:asciiTheme="majorBidi" w:hAnsiTheme="majorBidi" w:cstheme="majorBidi"/>
        </w:rPr>
        <w:t>ECE</w:t>
      </w:r>
      <w:r w:rsidR="00AC74F7">
        <w:rPr>
          <w:rFonts w:asciiTheme="majorBidi" w:hAnsiTheme="majorBidi" w:cstheme="majorBidi"/>
        </w:rPr>
        <w:t>/</w:t>
      </w:r>
      <w:r w:rsidR="00AC74F7" w:rsidRPr="00DD5F08">
        <w:rPr>
          <w:rFonts w:asciiTheme="majorBidi" w:hAnsiTheme="majorBidi" w:cstheme="majorBidi"/>
        </w:rPr>
        <w:t>TRANS</w:t>
      </w:r>
      <w:r w:rsidR="00AC74F7">
        <w:rPr>
          <w:rFonts w:asciiTheme="majorBidi" w:hAnsiTheme="majorBidi" w:cstheme="majorBidi"/>
        </w:rPr>
        <w:t>/</w:t>
      </w:r>
      <w:r w:rsidR="00AC74F7" w:rsidRPr="00DD5F08">
        <w:rPr>
          <w:rFonts w:asciiTheme="majorBidi" w:hAnsiTheme="majorBidi" w:cstheme="majorBidi"/>
        </w:rPr>
        <w:t>WP.29</w:t>
      </w:r>
      <w:r w:rsidR="00AC74F7">
        <w:rPr>
          <w:rFonts w:asciiTheme="majorBidi" w:hAnsiTheme="majorBidi" w:cstheme="majorBidi"/>
        </w:rPr>
        <w:t>/</w:t>
      </w:r>
      <w:r w:rsidR="00AC74F7" w:rsidRPr="00DD5F08">
        <w:rPr>
          <w:rFonts w:asciiTheme="majorBidi" w:hAnsiTheme="majorBidi" w:cstheme="majorBidi"/>
        </w:rPr>
        <w:t>GRSG</w:t>
      </w:r>
      <w:r w:rsidR="00AC74F7">
        <w:rPr>
          <w:rFonts w:asciiTheme="majorBidi" w:hAnsiTheme="majorBidi" w:cstheme="majorBidi"/>
        </w:rPr>
        <w:t>/</w:t>
      </w:r>
      <w:r w:rsidR="00AC74F7" w:rsidRPr="00DD5F08">
        <w:rPr>
          <w:rFonts w:asciiTheme="majorBidi" w:hAnsiTheme="majorBidi" w:cstheme="majorBidi"/>
        </w:rPr>
        <w:t>2020</w:t>
      </w:r>
      <w:r w:rsidR="00AC74F7">
        <w:rPr>
          <w:rFonts w:asciiTheme="majorBidi" w:hAnsiTheme="majorBidi" w:cstheme="majorBidi"/>
        </w:rPr>
        <w:t>/2</w:t>
      </w:r>
      <w:r w:rsidR="002A3AF8">
        <w:rPr>
          <w:rFonts w:asciiTheme="majorBidi" w:hAnsiTheme="majorBidi" w:cstheme="majorBidi"/>
        </w:rPr>
        <w:t xml:space="preserve">6 </w:t>
      </w:r>
      <w:r w:rsidRPr="00DF0E34">
        <w:rPr>
          <w:rFonts w:asciiTheme="majorBidi" w:hAnsiTheme="majorBidi" w:cstheme="majorBidi"/>
        </w:rPr>
        <w:t xml:space="preserve">are marked in </w:t>
      </w:r>
      <w:r w:rsidR="00DD5F08">
        <w:rPr>
          <w:rFonts w:asciiTheme="majorBidi" w:hAnsiTheme="majorBidi" w:cstheme="majorBidi"/>
        </w:rPr>
        <w:t>red</w:t>
      </w:r>
      <w:r w:rsidRPr="00DF0E34">
        <w:rPr>
          <w:rFonts w:asciiTheme="majorBidi" w:hAnsiTheme="majorBidi" w:cstheme="majorBidi"/>
        </w:rPr>
        <w:t xml:space="preserve"> characters.</w:t>
      </w:r>
    </w:p>
    <w:p w14:paraId="50B62D92" w14:textId="7A6A67F7" w:rsidR="00DF0E34" w:rsidRPr="00DF0E34" w:rsidRDefault="00B9350C" w:rsidP="00B9350C">
      <w:pPr>
        <w:pStyle w:val="HChG"/>
        <w:rPr>
          <w:rFonts w:asciiTheme="majorBidi" w:hAnsiTheme="majorBidi" w:cstheme="majorBidi"/>
          <w:b w:val="0"/>
          <w:szCs w:val="28"/>
        </w:rPr>
      </w:pPr>
      <w:r>
        <w:rPr>
          <w:rFonts w:asciiTheme="majorBidi" w:hAnsiTheme="majorBidi" w:cstheme="majorBidi"/>
          <w:szCs w:val="28"/>
        </w:rPr>
        <w:tab/>
      </w:r>
      <w:r w:rsidR="00DF0E34" w:rsidRPr="00DF0E34">
        <w:rPr>
          <w:rFonts w:asciiTheme="majorBidi" w:hAnsiTheme="majorBidi" w:cstheme="majorBidi"/>
          <w:szCs w:val="28"/>
        </w:rPr>
        <w:t>I.</w:t>
      </w:r>
      <w:r w:rsidR="00DF0E34" w:rsidRPr="00DF0E34">
        <w:rPr>
          <w:rFonts w:asciiTheme="majorBidi" w:hAnsiTheme="majorBidi" w:cstheme="majorBidi"/>
          <w:szCs w:val="28"/>
        </w:rPr>
        <w:tab/>
      </w:r>
      <w:r w:rsidR="00DF0E34" w:rsidRPr="00B9350C">
        <w:t>Proposal</w:t>
      </w:r>
    </w:p>
    <w:p w14:paraId="0D4D7559" w14:textId="4D6D1359" w:rsidR="002A3AF8" w:rsidRDefault="00AC74F7" w:rsidP="002A3AF8">
      <w:pPr>
        <w:rPr>
          <w:lang w:eastAsia="fr-FR"/>
        </w:rPr>
      </w:pPr>
      <w:bookmarkStart w:id="1" w:name="_Hlk51159359"/>
      <w:r w:rsidRPr="002A3AF8">
        <w:rPr>
          <w:i/>
          <w:iCs/>
        </w:rPr>
        <w:t xml:space="preserve"> </w:t>
      </w:r>
      <w:bookmarkEnd w:id="1"/>
      <w:r w:rsidR="002A3AF8" w:rsidRPr="002A3AF8">
        <w:rPr>
          <w:i/>
          <w:iCs/>
        </w:rPr>
        <w:t>Paragraph 5.4.6.,</w:t>
      </w:r>
      <w:r w:rsidR="002A3AF8">
        <w:rPr>
          <w:i/>
        </w:rPr>
        <w:t xml:space="preserve"> </w:t>
      </w:r>
      <w:r w:rsidR="002A3AF8">
        <w:rPr>
          <w:iCs/>
        </w:rPr>
        <w:t>a</w:t>
      </w:r>
      <w:r w:rsidR="002A3AF8" w:rsidRPr="002A3AF8">
        <w:rPr>
          <w:iCs/>
        </w:rPr>
        <w:t>mend</w:t>
      </w:r>
      <w:r w:rsidR="002A3AF8">
        <w:rPr>
          <w:i/>
        </w:rPr>
        <w:t xml:space="preserve"> </w:t>
      </w:r>
      <w:r w:rsidR="002A3AF8">
        <w:t>to read:</w:t>
      </w:r>
    </w:p>
    <w:p w14:paraId="6F9B9119" w14:textId="4592F2BB" w:rsidR="002A3AF8" w:rsidRDefault="002A3AF8" w:rsidP="002A3AF8">
      <w:pPr>
        <w:pStyle w:val="SingleTxtG"/>
        <w:ind w:left="1701" w:hanging="1134"/>
      </w:pPr>
      <w:r>
        <w:t>“5.4.6.</w:t>
      </w:r>
      <w:r>
        <w:tab/>
        <w:t xml:space="preserve">A general warning regarding the dangers of making any alterations or additions to the immobilizer; such alterations and additions would automatically invalidate the certificate of installation referred to in paragraph </w:t>
      </w:r>
      <w:r w:rsidRPr="002A3AF8">
        <w:rPr>
          <w:b/>
          <w:strike/>
          <w:color w:val="FF0000"/>
        </w:rPr>
        <w:t>8.5.2.</w:t>
      </w:r>
      <w:r w:rsidRPr="002A3AF8">
        <w:rPr>
          <w:b/>
          <w:color w:val="FF0000"/>
        </w:rPr>
        <w:t xml:space="preserve"> 5.4.2.</w:t>
      </w:r>
      <w:r w:rsidRPr="002A3AF8">
        <w:rPr>
          <w:color w:val="FF0000"/>
        </w:rPr>
        <w:t xml:space="preserve"> </w:t>
      </w:r>
      <w:r>
        <w:t>above.”</w:t>
      </w:r>
    </w:p>
    <w:p w14:paraId="3E1A6E02" w14:textId="77777777" w:rsidR="002A3AF8" w:rsidRDefault="002A3AF8" w:rsidP="002A3AF8"/>
    <w:p w14:paraId="492E0550" w14:textId="77777777" w:rsidR="002A3AF8" w:rsidRPr="002A3AF8" w:rsidRDefault="002A3AF8" w:rsidP="002A3AF8">
      <w:pPr>
        <w:rPr>
          <w:i/>
          <w:iCs/>
        </w:rPr>
      </w:pPr>
      <w:r w:rsidRPr="002A3AF8">
        <w:rPr>
          <w:i/>
          <w:iCs/>
        </w:rPr>
        <w:t xml:space="preserve">Annex 1 a </w:t>
      </w:r>
    </w:p>
    <w:p w14:paraId="16FB1B5F" w14:textId="74087F0E" w:rsidR="002A3AF8" w:rsidRDefault="002A3AF8" w:rsidP="002A3AF8">
      <w:r w:rsidRPr="00AF3EF3">
        <w:rPr>
          <w:i/>
          <w:iCs/>
        </w:rPr>
        <w:t>Add a new paragraph 3.1.1.1</w:t>
      </w:r>
      <w:r>
        <w:t>, to read:</w:t>
      </w:r>
    </w:p>
    <w:p w14:paraId="3A55BA6B" w14:textId="6C94DAD1" w:rsidR="002A3AF8" w:rsidRDefault="002A3AF8" w:rsidP="002A3AF8">
      <w:pPr>
        <w:tabs>
          <w:tab w:val="left" w:pos="1260"/>
          <w:tab w:val="right" w:leader="dot" w:pos="8537"/>
        </w:tabs>
        <w:spacing w:after="120"/>
        <w:ind w:left="1701" w:hanging="1134"/>
        <w:jc w:val="both"/>
      </w:pPr>
      <w:r>
        <w:rPr>
          <w:bCs/>
          <w:szCs w:val="22"/>
        </w:rPr>
        <w:t>“3.1.1.</w:t>
      </w:r>
      <w:r>
        <w:rPr>
          <w:bCs/>
          <w:szCs w:val="22"/>
        </w:rPr>
        <w:tab/>
        <w:t>type approval number, if available:</w:t>
      </w:r>
      <w:r>
        <w:t xml:space="preserve"> </w:t>
      </w:r>
      <w:bookmarkStart w:id="2" w:name="_Hlk52539215"/>
      <w:r>
        <w:tab/>
      </w:r>
      <w:bookmarkEnd w:id="2"/>
    </w:p>
    <w:p w14:paraId="05DD697A" w14:textId="6A5C0B98" w:rsidR="002A3AF8" w:rsidRPr="00AF3EF3" w:rsidRDefault="002A3AF8" w:rsidP="002A3AF8">
      <w:pPr>
        <w:spacing w:after="120"/>
        <w:ind w:left="1276" w:right="1133" w:hanging="709"/>
        <w:jc w:val="both"/>
        <w:rPr>
          <w:b/>
          <w:bCs/>
        </w:rPr>
      </w:pPr>
      <w:r w:rsidRPr="00AF3EF3">
        <w:rPr>
          <w:b/>
          <w:color w:val="FF0000"/>
        </w:rPr>
        <w:t>3.1.1.1</w:t>
      </w:r>
      <w:r w:rsidRPr="00AF3EF3">
        <w:rPr>
          <w:b/>
          <w:color w:val="FF0000"/>
        </w:rPr>
        <w:tab/>
        <w:t xml:space="preserve">A detailed description of the vehicle type </w:t>
      </w:r>
      <w:proofErr w:type="gramStart"/>
      <w:r w:rsidRPr="00AF3EF3">
        <w:rPr>
          <w:b/>
          <w:color w:val="FF0000"/>
        </w:rPr>
        <w:t>with regard to</w:t>
      </w:r>
      <w:proofErr w:type="gramEnd"/>
      <w:r w:rsidRPr="00AF3EF3">
        <w:rPr>
          <w:b/>
          <w:color w:val="FF0000"/>
        </w:rPr>
        <w:t xml:space="preserve"> the arrangement of the installed Immobilizer illustrated by photographs and/or drawings (where the immobilizer is already type approved as a separate technical unit, reference may be made to the description in paragraph 4.2. of the immobilizers manufacturer's information document):</w:t>
      </w:r>
      <w:r w:rsidRPr="00AF3EF3">
        <w:rPr>
          <w:bCs/>
        </w:rPr>
        <w:t>”</w:t>
      </w:r>
    </w:p>
    <w:p w14:paraId="31E733F9" w14:textId="58A94E81" w:rsidR="002A3AF8" w:rsidRPr="00AF3EF3" w:rsidRDefault="002A3AF8" w:rsidP="002A3AF8">
      <w:pPr>
        <w:rPr>
          <w:i/>
          <w:iCs/>
        </w:rPr>
      </w:pPr>
      <w:r w:rsidRPr="00AF3EF3">
        <w:rPr>
          <w:i/>
          <w:iCs/>
        </w:rPr>
        <w:t>Annex 6</w:t>
      </w:r>
    </w:p>
    <w:p w14:paraId="1A240F31" w14:textId="54151DDC" w:rsidR="002A3AF8" w:rsidRDefault="002A3AF8" w:rsidP="002A3AF8">
      <w:r w:rsidRPr="00AF3EF3">
        <w:rPr>
          <w:i/>
          <w:iCs/>
        </w:rPr>
        <w:t>Paragraph 3.3. (a) (i)</w:t>
      </w:r>
      <w:r>
        <w:t>, amend to read:</w:t>
      </w:r>
    </w:p>
    <w:p w14:paraId="7467822B" w14:textId="638A03C2" w:rsidR="002A3AF8" w:rsidRDefault="002A3AF8" w:rsidP="002A3AF8">
      <w:pPr>
        <w:pStyle w:val="SingleTxtG"/>
        <w:spacing w:line="240" w:lineRule="exact"/>
        <w:ind w:right="1133" w:hanging="567"/>
      </w:pPr>
      <w:r>
        <w:t>“(i)</w:t>
      </w:r>
      <w:r>
        <w:tab/>
        <w:t>Specify in item 4.5. of the information document (Annex 1</w:t>
      </w:r>
      <w:r>
        <w:rPr>
          <w:b/>
        </w:rPr>
        <w:t xml:space="preserve"> </w:t>
      </w:r>
      <w:r w:rsidRPr="00AF3EF3">
        <w:rPr>
          <w:b/>
          <w:color w:val="FF0000"/>
        </w:rPr>
        <w:t>b</w:t>
      </w:r>
      <w:r w:rsidRPr="00AF3EF3">
        <w:rPr>
          <w:b/>
          <w:strike/>
          <w:color w:val="FF0000"/>
        </w:rPr>
        <w:t>, Part 2</w:t>
      </w:r>
      <w:r>
        <w:t>), that the requirement of this paragraph was not applied to the immobilizer (in accordance with paragraph 7. of this Regulation), and …”</w:t>
      </w:r>
    </w:p>
    <w:p w14:paraId="58E6F75C" w14:textId="77777777" w:rsidR="002A3AF8" w:rsidRDefault="002A3AF8" w:rsidP="002A3AF8">
      <w:pPr>
        <w:rPr>
          <w:i/>
        </w:rPr>
      </w:pPr>
    </w:p>
    <w:p w14:paraId="41F9B4BD" w14:textId="7B045A59" w:rsidR="002A3AF8" w:rsidRDefault="002A3AF8" w:rsidP="002A3AF8">
      <w:r w:rsidRPr="00AF3EF3">
        <w:rPr>
          <w:i/>
          <w:iCs/>
        </w:rPr>
        <w:t>Paragraph 3.3. (b)</w:t>
      </w:r>
      <w:r>
        <w:t xml:space="preserve">, </w:t>
      </w:r>
      <w:r w:rsidRPr="00AF3EF3">
        <w:rPr>
          <w:iCs/>
        </w:rPr>
        <w:t>amend</w:t>
      </w:r>
      <w:r>
        <w:t xml:space="preserve"> to read:</w:t>
      </w:r>
    </w:p>
    <w:p w14:paraId="2397A016" w14:textId="78396700" w:rsidR="002A3AF8" w:rsidRDefault="002A3AF8" w:rsidP="002A3AF8">
      <w:pPr>
        <w:pStyle w:val="SingleTxtG"/>
        <w:spacing w:line="240" w:lineRule="exact"/>
        <w:ind w:right="1133" w:hanging="567"/>
      </w:pPr>
      <w:r>
        <w:t>“(b)</w:t>
      </w:r>
      <w:r>
        <w:tab/>
        <w:t xml:space="preserve">Type approval of a vehicle in respect of an immobilizer </w:t>
      </w:r>
    </w:p>
    <w:p w14:paraId="0AE53547" w14:textId="3CFCF0B1" w:rsidR="002A3AF8" w:rsidRDefault="002A3AF8" w:rsidP="00AF3EF3">
      <w:pPr>
        <w:pStyle w:val="SingleTxtG"/>
        <w:spacing w:line="240" w:lineRule="exact"/>
        <w:ind w:left="567" w:right="1133"/>
      </w:pPr>
      <w:r>
        <w:t xml:space="preserve">In this case, the manufacturer shall specify in item </w:t>
      </w:r>
      <w:bookmarkStart w:id="3" w:name="_Hlk52539441"/>
      <w:r w:rsidRPr="00AF3EF3">
        <w:rPr>
          <w:b/>
          <w:strike/>
          <w:color w:val="FF0000"/>
        </w:rPr>
        <w:t>3.1.</w:t>
      </w:r>
      <w:r w:rsidR="00AF3EF3" w:rsidRPr="00AF3EF3">
        <w:rPr>
          <w:b/>
          <w:strike/>
          <w:color w:val="FF0000"/>
        </w:rPr>
        <w:t>3</w:t>
      </w:r>
      <w:r w:rsidR="00AA7A0B">
        <w:rPr>
          <w:b/>
          <w:strike/>
          <w:color w:val="FF0000"/>
        </w:rPr>
        <w:t>.1.1</w:t>
      </w:r>
      <w:r w:rsidR="00AF3EF3" w:rsidRPr="00AF3EF3">
        <w:rPr>
          <w:b/>
          <w:strike/>
          <w:color w:val="FF0000"/>
        </w:rPr>
        <w:t>.</w:t>
      </w:r>
      <w:r w:rsidR="00AF3EF3" w:rsidRPr="00AF3EF3">
        <w:rPr>
          <w:b/>
          <w:color w:val="FF0000"/>
        </w:rPr>
        <w:t xml:space="preserve">  3.1.1.1.</w:t>
      </w:r>
      <w:r w:rsidR="005855FD">
        <w:rPr>
          <w:b/>
          <w:color w:val="FF0000"/>
        </w:rPr>
        <w:t xml:space="preserve"> of Annex 1a</w:t>
      </w:r>
      <w:r w:rsidRPr="00AF3EF3">
        <w:rPr>
          <w:color w:val="FF0000"/>
        </w:rPr>
        <w:t xml:space="preserve"> </w:t>
      </w:r>
      <w:bookmarkEnd w:id="3"/>
      <w:r>
        <w:t>of the information document (Annex 1a), that the requirement of this paragraph does not apply to the immobilizer due to the nature of installation conditions and the vehicle manufacturer shall prove it by submitting related documents.”</w:t>
      </w:r>
    </w:p>
    <w:p w14:paraId="0586010A" w14:textId="77777777" w:rsidR="002A3AF8" w:rsidRDefault="002A3AF8" w:rsidP="002A3AF8">
      <w:pPr>
        <w:rPr>
          <w:i/>
        </w:rPr>
      </w:pPr>
    </w:p>
    <w:p w14:paraId="16398AA2" w14:textId="5F165493" w:rsidR="002A3AF8" w:rsidRDefault="002A3AF8" w:rsidP="002A3AF8">
      <w:r w:rsidRPr="00AF3EF3">
        <w:rPr>
          <w:i/>
          <w:iCs/>
        </w:rPr>
        <w:t>Paragraph, 3.3. (c)</w:t>
      </w:r>
      <w:r>
        <w:t xml:space="preserve">, </w:t>
      </w:r>
      <w:r w:rsidR="00AF3EF3" w:rsidRPr="00AF3EF3">
        <w:rPr>
          <w:iCs/>
        </w:rPr>
        <w:t>amend</w:t>
      </w:r>
      <w:r w:rsidR="00AF3EF3">
        <w:t xml:space="preserve"> </w:t>
      </w:r>
      <w:r>
        <w:t>to read:</w:t>
      </w:r>
    </w:p>
    <w:p w14:paraId="38883847" w14:textId="75107331" w:rsidR="002A3AF8" w:rsidRDefault="002A3AF8" w:rsidP="002A3AF8">
      <w:pPr>
        <w:pStyle w:val="SingleTxtG"/>
        <w:spacing w:line="240" w:lineRule="exact"/>
        <w:ind w:right="1133" w:hanging="567"/>
      </w:pPr>
      <w:r>
        <w:t>“(c)</w:t>
      </w:r>
      <w:r>
        <w:tab/>
        <w:t xml:space="preserve">Type approval of a vehicle in respect of the installation of an immobilizer which is type approved as a separate technical unit. </w:t>
      </w:r>
    </w:p>
    <w:p w14:paraId="5CE3C3F3" w14:textId="1BE98495" w:rsidR="002A3AF8" w:rsidRDefault="002A3AF8" w:rsidP="002A3AF8">
      <w:pPr>
        <w:pStyle w:val="SingleTxtG"/>
        <w:spacing w:line="240" w:lineRule="exact"/>
        <w:ind w:right="1133"/>
      </w:pPr>
      <w:r>
        <w:t xml:space="preserve">In this case, the vehicle manufacturer shall specify in item </w:t>
      </w:r>
      <w:r w:rsidR="00AF3EF3" w:rsidRPr="00AF3EF3">
        <w:rPr>
          <w:b/>
          <w:strike/>
          <w:color w:val="FF0000"/>
        </w:rPr>
        <w:t>3.1.3</w:t>
      </w:r>
      <w:r w:rsidR="00AA7A0B">
        <w:rPr>
          <w:b/>
          <w:strike/>
          <w:color w:val="FF0000"/>
        </w:rPr>
        <w:t>.1.1</w:t>
      </w:r>
      <w:r w:rsidR="00AF3EF3" w:rsidRPr="00AF3EF3">
        <w:rPr>
          <w:b/>
          <w:strike/>
          <w:color w:val="FF0000"/>
        </w:rPr>
        <w:t>.</w:t>
      </w:r>
      <w:r w:rsidR="00AF3EF3" w:rsidRPr="00AF3EF3">
        <w:rPr>
          <w:b/>
          <w:color w:val="FF0000"/>
        </w:rPr>
        <w:t xml:space="preserve">  3.1.1.1.</w:t>
      </w:r>
      <w:r w:rsidR="00AF3EF3" w:rsidRPr="00AF3EF3">
        <w:rPr>
          <w:color w:val="FF0000"/>
        </w:rPr>
        <w:t xml:space="preserve"> </w:t>
      </w:r>
      <w:r w:rsidR="005855FD">
        <w:rPr>
          <w:b/>
          <w:color w:val="FF0000"/>
        </w:rPr>
        <w:t>of Annex 1a</w:t>
      </w:r>
      <w:r w:rsidR="005855FD" w:rsidRPr="00AF3EF3">
        <w:rPr>
          <w:color w:val="FF0000"/>
        </w:rPr>
        <w:t xml:space="preserve"> </w:t>
      </w:r>
      <w:r>
        <w:t>of the information document (Annex 1a), that the requirement of this paragraph does not apply to the installation of the immobilizer where the relevant installation conditions are met.</w:t>
      </w:r>
    </w:p>
    <w:p w14:paraId="28E1180C" w14:textId="49A757B5" w:rsidR="002A3AF8" w:rsidRDefault="002A3AF8" w:rsidP="002A3AF8">
      <w:pPr>
        <w:pStyle w:val="SingleTxtG"/>
        <w:spacing w:line="240" w:lineRule="exact"/>
        <w:ind w:right="1133"/>
      </w:pPr>
      <w:r>
        <w:t>This requirement …”</w:t>
      </w:r>
    </w:p>
    <w:p w14:paraId="5E6444DF" w14:textId="0F5BF93B" w:rsidR="002A3AF8" w:rsidRDefault="00AF3EF3" w:rsidP="002A3AF8">
      <w:r w:rsidRPr="00AF3EF3">
        <w:rPr>
          <w:i/>
          <w:iCs/>
        </w:rPr>
        <w:lastRenderedPageBreak/>
        <w:t>P</w:t>
      </w:r>
      <w:r w:rsidR="002A3AF8" w:rsidRPr="00AF3EF3">
        <w:rPr>
          <w:i/>
          <w:iCs/>
        </w:rPr>
        <w:t>aragraph 3.8.4</w:t>
      </w:r>
      <w:r w:rsidR="002A3AF8">
        <w:t xml:space="preserve">, </w:t>
      </w:r>
      <w:r w:rsidR="002A3AF8" w:rsidRPr="00AF3EF3">
        <w:rPr>
          <w:iCs/>
        </w:rPr>
        <w:t>amend</w:t>
      </w:r>
      <w:r w:rsidR="002A3AF8">
        <w:t xml:space="preserve"> to read</w:t>
      </w:r>
      <w:r>
        <w:t xml:space="preserve"> (remove the point)</w:t>
      </w:r>
      <w:r w:rsidR="002A3AF8">
        <w:t>:</w:t>
      </w:r>
    </w:p>
    <w:p w14:paraId="47B307E9" w14:textId="5A237E37" w:rsidR="002A3AF8" w:rsidRDefault="002A3AF8" w:rsidP="002A3AF8">
      <w:pPr>
        <w:pStyle w:val="SingleTxtG"/>
        <w:spacing w:line="240" w:lineRule="exact"/>
        <w:ind w:right="1133" w:hanging="567"/>
        <w:rPr>
          <w:bCs/>
        </w:rPr>
      </w:pPr>
      <w:r>
        <w:rPr>
          <w:bCs/>
        </w:rPr>
        <w:t>“3.8.4.</w:t>
      </w:r>
      <w:r>
        <w:rPr>
          <w:bCs/>
        </w:rPr>
        <w:tab/>
        <w:t xml:space="preserve">After the </w:t>
      </w:r>
      <w:r w:rsidRPr="002A3AF8">
        <w:t>vibration</w:t>
      </w:r>
      <w:r>
        <w:rPr>
          <w:bCs/>
        </w:rPr>
        <w:t xml:space="preserve"> test the operation tests according to </w:t>
      </w:r>
      <w:r w:rsidRPr="00AF3EF3">
        <w:rPr>
          <w:b/>
          <w:strike/>
          <w:color w:val="FF0000"/>
        </w:rPr>
        <w:t>paragraph. 3.1.</w:t>
      </w:r>
      <w:r w:rsidR="00AF3EF3" w:rsidRPr="00AF3EF3">
        <w:rPr>
          <w:b/>
          <w:color w:val="FF0000"/>
        </w:rPr>
        <w:t xml:space="preserve"> paragraph 3.1.</w:t>
      </w:r>
      <w:r w:rsidRPr="00AF3EF3">
        <w:rPr>
          <w:bCs/>
          <w:color w:val="FF0000"/>
        </w:rPr>
        <w:t xml:space="preserve"> </w:t>
      </w:r>
      <w:r>
        <w:rPr>
          <w:bCs/>
        </w:rPr>
        <w:t>shall be repeated.”</w:t>
      </w:r>
    </w:p>
    <w:p w14:paraId="27BF24A0" w14:textId="77777777" w:rsidR="00AC74F7" w:rsidRPr="00DF0E34" w:rsidRDefault="00AC74F7" w:rsidP="00B477C3">
      <w:pPr>
        <w:pStyle w:val="SingleTxtG"/>
        <w:ind w:left="2268"/>
        <w:rPr>
          <w:rFonts w:asciiTheme="majorBidi" w:hAnsiTheme="majorBidi" w:cstheme="majorBidi"/>
          <w:b/>
        </w:rPr>
      </w:pPr>
    </w:p>
    <w:p w14:paraId="2967EA26" w14:textId="21CF6DD8" w:rsidR="00DF0E34" w:rsidRPr="00DF0E34" w:rsidRDefault="00B9350C" w:rsidP="00B9350C">
      <w:pPr>
        <w:pStyle w:val="HChG"/>
        <w:rPr>
          <w:rFonts w:asciiTheme="majorBidi" w:hAnsiTheme="majorBidi" w:cstheme="majorBidi"/>
          <w:b w:val="0"/>
          <w:szCs w:val="28"/>
        </w:rPr>
      </w:pPr>
      <w:r>
        <w:rPr>
          <w:rFonts w:asciiTheme="majorBidi" w:hAnsiTheme="majorBidi" w:cstheme="majorBidi"/>
          <w:szCs w:val="28"/>
        </w:rPr>
        <w:tab/>
      </w:r>
      <w:r w:rsidR="00DF0E34" w:rsidRPr="00DF0E34">
        <w:rPr>
          <w:rFonts w:asciiTheme="majorBidi" w:hAnsiTheme="majorBidi" w:cstheme="majorBidi"/>
          <w:szCs w:val="28"/>
        </w:rPr>
        <w:t>II</w:t>
      </w:r>
      <w:r>
        <w:rPr>
          <w:rFonts w:asciiTheme="majorBidi" w:hAnsiTheme="majorBidi" w:cstheme="majorBidi"/>
          <w:szCs w:val="28"/>
        </w:rPr>
        <w:t>.</w:t>
      </w:r>
      <w:r w:rsidR="00DF0E34" w:rsidRPr="00DF0E34">
        <w:rPr>
          <w:rFonts w:asciiTheme="majorBidi" w:hAnsiTheme="majorBidi" w:cstheme="majorBidi"/>
          <w:szCs w:val="28"/>
        </w:rPr>
        <w:tab/>
      </w:r>
      <w:r>
        <w:rPr>
          <w:rFonts w:asciiTheme="majorBidi" w:hAnsiTheme="majorBidi" w:cstheme="majorBidi"/>
          <w:szCs w:val="28"/>
        </w:rPr>
        <w:tab/>
      </w:r>
      <w:r w:rsidR="00DF0E34" w:rsidRPr="00DF0E34">
        <w:rPr>
          <w:rFonts w:asciiTheme="majorBidi" w:hAnsiTheme="majorBidi" w:cstheme="majorBidi"/>
          <w:szCs w:val="28"/>
        </w:rPr>
        <w:t>Justification</w:t>
      </w:r>
    </w:p>
    <w:p w14:paraId="659AC4CC" w14:textId="6952FCB1" w:rsidR="00AF3EF3" w:rsidRDefault="00AF3EF3" w:rsidP="00AF3EF3">
      <w:pPr>
        <w:pStyle w:val="SingleTxtG"/>
        <w:numPr>
          <w:ilvl w:val="0"/>
          <w:numId w:val="28"/>
        </w:numPr>
      </w:pPr>
      <w:r>
        <w:t>References needs to be corrected, due to reordering of the text.</w:t>
      </w:r>
    </w:p>
    <w:p w14:paraId="7D7CABEF" w14:textId="535CE718" w:rsidR="00AF3EF3" w:rsidRDefault="00AF3EF3" w:rsidP="00AF3EF3">
      <w:pPr>
        <w:pStyle w:val="SingleTxtG"/>
        <w:numPr>
          <w:ilvl w:val="0"/>
          <w:numId w:val="28"/>
        </w:numPr>
      </w:pPr>
      <w:r>
        <w:t>T</w:t>
      </w:r>
      <w:r w:rsidR="005855FD">
        <w:t>he t</w:t>
      </w:r>
      <w:r>
        <w:t xml:space="preserve">ext of </w:t>
      </w:r>
      <w:r w:rsidR="005855FD">
        <w:t xml:space="preserve">the new </w:t>
      </w:r>
      <w:r>
        <w:t xml:space="preserve">paragraph 3.1.1.1. was </w:t>
      </w:r>
      <w:r w:rsidR="005855FD">
        <w:t>omitted in the text of the draft new regulation per document GRSG/2020/26</w:t>
      </w:r>
      <w:r>
        <w:t xml:space="preserve">, </w:t>
      </w:r>
      <w:r w:rsidR="005855FD">
        <w:t>while it</w:t>
      </w:r>
      <w:r>
        <w:t xml:space="preserve"> is referenced </w:t>
      </w:r>
      <w:r w:rsidR="00AA7A0B">
        <w:t xml:space="preserve">to in paragraph 3.3 of </w:t>
      </w:r>
      <w:r>
        <w:t>Annex 6.</w:t>
      </w:r>
      <w:r w:rsidR="005855FD">
        <w:t xml:space="preserve"> </w:t>
      </w:r>
      <w:r>
        <w:t>The reference</w:t>
      </w:r>
      <w:r w:rsidR="00AA7A0B">
        <w:t xml:space="preserve"> should call</w:t>
      </w:r>
      <w:r>
        <w:t xml:space="preserve"> paragraph 3.1.1.1 </w:t>
      </w:r>
      <w:r w:rsidR="00AA7A0B">
        <w:t>in lieu of paragraph 3.1.3.1.1.</w:t>
      </w:r>
    </w:p>
    <w:p w14:paraId="6AE0E1D9" w14:textId="7B17E671" w:rsidR="00F607C0" w:rsidRPr="00DF0E34" w:rsidRDefault="00AF3EF3" w:rsidP="00AF3EF3">
      <w:pPr>
        <w:pStyle w:val="SingleTxtG"/>
        <w:numPr>
          <w:ilvl w:val="0"/>
          <w:numId w:val="28"/>
        </w:numPr>
        <w:rPr>
          <w:rFonts w:asciiTheme="majorBidi" w:hAnsiTheme="majorBidi" w:cstheme="majorBidi"/>
          <w:u w:val="single"/>
        </w:rPr>
      </w:pPr>
      <w:r>
        <w:t>Annex 6, paragraph 3.8.4, there is a point instead of a blank.</w:t>
      </w:r>
    </w:p>
    <w:sectPr w:rsidR="00F607C0" w:rsidRPr="00DF0E34" w:rsidSect="00151208">
      <w:headerReference w:type="even" r:id="rId11"/>
      <w:headerReference w:type="default" r:id="rId12"/>
      <w:footerReference w:type="even" r:id="rId13"/>
      <w:footerReference w:type="default" r:id="rId14"/>
      <w:headerReference w:type="first" r:id="rId15"/>
      <w:footerReference w:type="first" r:id="rId16"/>
      <w:footnotePr>
        <w:numFmt w:val="chicago"/>
      </w:footnotePr>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D26E2" w14:textId="77777777" w:rsidR="00214421" w:rsidRDefault="00214421" w:rsidP="00203C11">
      <w:pPr>
        <w:spacing w:line="240" w:lineRule="auto"/>
      </w:pPr>
      <w:r>
        <w:separator/>
      </w:r>
    </w:p>
  </w:endnote>
  <w:endnote w:type="continuationSeparator" w:id="0">
    <w:p w14:paraId="120CB63A" w14:textId="77777777" w:rsidR="00214421" w:rsidRDefault="00214421" w:rsidP="00203C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DE085" w14:textId="77777777" w:rsidR="00B50B7D" w:rsidRDefault="00B50B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B000A" w14:textId="77777777" w:rsidR="00B50B7D" w:rsidRDefault="00B50B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81BCB" w14:textId="77777777" w:rsidR="00D06F91" w:rsidRPr="00D06F91" w:rsidRDefault="00D06F91">
    <w:pPr>
      <w:pStyle w:val="Footer"/>
      <w:rPr>
        <w:b/>
        <w:bCs/>
        <w:sz w:val="18"/>
        <w:szCs w:val="18"/>
        <w:lang w:val="fr-CH"/>
      </w:rPr>
    </w:pPr>
    <w:r w:rsidRPr="00D06F91">
      <w:rPr>
        <w:b/>
        <w:bCs/>
        <w:sz w:val="18"/>
        <w:szCs w:val="18"/>
        <w:lang w:val="fr-CH"/>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5E21C" w14:textId="77777777" w:rsidR="00214421" w:rsidRPr="00E378AC" w:rsidRDefault="00214421" w:rsidP="00E378AC">
      <w:pPr>
        <w:tabs>
          <w:tab w:val="right" w:pos="2155"/>
        </w:tabs>
        <w:spacing w:after="80"/>
        <w:ind w:left="680"/>
        <w:rPr>
          <w:u w:val="single"/>
        </w:rPr>
      </w:pPr>
      <w:r>
        <w:rPr>
          <w:u w:val="single"/>
        </w:rPr>
        <w:tab/>
      </w:r>
    </w:p>
  </w:footnote>
  <w:footnote w:type="continuationSeparator" w:id="0">
    <w:p w14:paraId="7516EF87" w14:textId="77777777" w:rsidR="00214421" w:rsidRDefault="00214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00F30" w14:textId="77777777" w:rsidR="00B50B7D" w:rsidRDefault="00B50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71953" w14:textId="77777777" w:rsidR="00B50B7D" w:rsidRDefault="00B50B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Look w:val="04A0" w:firstRow="1" w:lastRow="0" w:firstColumn="1" w:lastColumn="0" w:noHBand="0" w:noVBand="1"/>
    </w:tblPr>
    <w:tblGrid>
      <w:gridCol w:w="4253"/>
      <w:gridCol w:w="5245"/>
    </w:tblGrid>
    <w:tr w:rsidR="00B156BC" w:rsidRPr="00DD5F08" w14:paraId="2B30589E" w14:textId="77777777" w:rsidTr="002E70EC">
      <w:tc>
        <w:tcPr>
          <w:tcW w:w="4253" w:type="dxa"/>
          <w:hideMark/>
        </w:tcPr>
        <w:p w14:paraId="47DD0A6F" w14:textId="77777777" w:rsidR="00B156BC" w:rsidRPr="00DD5F08" w:rsidRDefault="00B156BC" w:rsidP="00B156BC">
          <w:pPr>
            <w:tabs>
              <w:tab w:val="center" w:pos="4536"/>
              <w:tab w:val="right" w:pos="9072"/>
            </w:tabs>
            <w:suppressAutoHyphens w:val="0"/>
            <w:spacing w:line="240" w:lineRule="auto"/>
            <w:rPr>
              <w:rFonts w:eastAsia="Calibri"/>
              <w:kern w:val="2"/>
            </w:rPr>
          </w:pPr>
          <w:r w:rsidRPr="00DD5F08">
            <w:rPr>
              <w:rFonts w:eastAsia="Calibri"/>
              <w:kern w:val="2"/>
            </w:rPr>
            <w:t xml:space="preserve">Submitted by </w:t>
          </w:r>
          <w:r>
            <w:rPr>
              <w:rFonts w:eastAsia="Calibri"/>
              <w:kern w:val="2"/>
            </w:rPr>
            <w:t>OICA</w:t>
          </w:r>
        </w:p>
      </w:tc>
      <w:tc>
        <w:tcPr>
          <w:tcW w:w="5245" w:type="dxa"/>
          <w:hideMark/>
        </w:tcPr>
        <w:p w14:paraId="05E61DA5" w14:textId="7B209C0C" w:rsidR="00B156BC" w:rsidRPr="00DD5F08" w:rsidRDefault="00B156BC" w:rsidP="00B156BC">
          <w:pPr>
            <w:suppressAutoHyphens w:val="0"/>
            <w:spacing w:line="240" w:lineRule="auto"/>
            <w:ind w:left="2155"/>
            <w:jc w:val="right"/>
            <w:rPr>
              <w:rFonts w:eastAsia="Calibri"/>
              <w:b/>
              <w:bCs/>
              <w:kern w:val="2"/>
            </w:rPr>
          </w:pPr>
          <w:r w:rsidRPr="00DD5F08">
            <w:rPr>
              <w:rFonts w:eastAsia="Calibri"/>
              <w:kern w:val="2"/>
              <w:u w:val="single"/>
            </w:rPr>
            <w:t>Informal document</w:t>
          </w:r>
          <w:r w:rsidRPr="00DD5F08">
            <w:rPr>
              <w:rFonts w:eastAsia="Calibri"/>
              <w:kern w:val="2"/>
            </w:rPr>
            <w:t xml:space="preserve"> </w:t>
          </w:r>
          <w:r w:rsidRPr="00DD5F08">
            <w:rPr>
              <w:rFonts w:eastAsia="Calibri"/>
              <w:b/>
              <w:bCs/>
              <w:kern w:val="2"/>
            </w:rPr>
            <w:t>GRSG-1</w:t>
          </w:r>
          <w:r>
            <w:rPr>
              <w:rFonts w:eastAsia="Calibri"/>
              <w:b/>
              <w:bCs/>
              <w:kern w:val="2"/>
            </w:rPr>
            <w:t>19</w:t>
          </w:r>
          <w:r w:rsidRPr="00DD5F08">
            <w:rPr>
              <w:rFonts w:eastAsia="Calibri"/>
              <w:b/>
              <w:bCs/>
              <w:kern w:val="2"/>
            </w:rPr>
            <w:t>-</w:t>
          </w:r>
          <w:r w:rsidR="00B50B7D">
            <w:rPr>
              <w:rFonts w:eastAsia="Calibri"/>
              <w:b/>
              <w:bCs/>
              <w:kern w:val="2"/>
            </w:rPr>
            <w:t>17</w:t>
          </w:r>
        </w:p>
        <w:p w14:paraId="680BE3D5" w14:textId="6991F799" w:rsidR="00B156BC" w:rsidRPr="00DD5F08" w:rsidRDefault="00B156BC" w:rsidP="00B156BC">
          <w:pPr>
            <w:tabs>
              <w:tab w:val="center" w:pos="4536"/>
              <w:tab w:val="right" w:pos="9072"/>
            </w:tabs>
            <w:suppressAutoHyphens w:val="0"/>
            <w:spacing w:line="240" w:lineRule="auto"/>
            <w:ind w:left="2155"/>
            <w:jc w:val="right"/>
            <w:rPr>
              <w:rFonts w:eastAsia="Calibri"/>
              <w:kern w:val="2"/>
            </w:rPr>
          </w:pPr>
          <w:r w:rsidRPr="00DD5F08">
            <w:rPr>
              <w:rFonts w:eastAsia="Calibri"/>
              <w:kern w:val="2"/>
            </w:rPr>
            <w:t>(11</w:t>
          </w:r>
          <w:r>
            <w:rPr>
              <w:rFonts w:eastAsia="Calibri"/>
              <w:kern w:val="2"/>
            </w:rPr>
            <w:t>9</w:t>
          </w:r>
          <w:r w:rsidRPr="00DD5F08">
            <w:rPr>
              <w:rFonts w:eastAsia="Calibri"/>
              <w:kern w:val="2"/>
            </w:rPr>
            <w:t xml:space="preserve">th GRSG, </w:t>
          </w:r>
          <w:r>
            <w:rPr>
              <w:rFonts w:eastAsia="Calibri"/>
              <w:kern w:val="2"/>
            </w:rPr>
            <w:t>6</w:t>
          </w:r>
          <w:r w:rsidRPr="00DD5F08">
            <w:rPr>
              <w:rFonts w:eastAsia="Calibri"/>
              <w:kern w:val="2"/>
            </w:rPr>
            <w:t>-</w:t>
          </w:r>
          <w:r>
            <w:rPr>
              <w:rFonts w:eastAsia="Calibri"/>
              <w:kern w:val="2"/>
            </w:rPr>
            <w:t>9</w:t>
          </w:r>
          <w:r w:rsidRPr="00DD5F08">
            <w:rPr>
              <w:rFonts w:eastAsia="Calibri"/>
              <w:kern w:val="2"/>
            </w:rPr>
            <w:t xml:space="preserve"> </w:t>
          </w:r>
          <w:r>
            <w:rPr>
              <w:rFonts w:eastAsia="Calibri"/>
              <w:kern w:val="2"/>
            </w:rPr>
            <w:t>October</w:t>
          </w:r>
          <w:r w:rsidRPr="00DD5F08">
            <w:rPr>
              <w:rFonts w:eastAsia="Calibri"/>
              <w:kern w:val="2"/>
            </w:rPr>
            <w:t xml:space="preserve"> 2020</w:t>
          </w:r>
          <w:r>
            <w:rPr>
              <w:rFonts w:eastAsia="Calibri"/>
              <w:kern w:val="2"/>
            </w:rPr>
            <w:t xml:space="preserve"> </w:t>
          </w:r>
          <w:r w:rsidRPr="00DD5F08">
            <w:rPr>
              <w:rFonts w:eastAsia="Calibri"/>
              <w:kern w:val="2"/>
            </w:rPr>
            <w:t xml:space="preserve">Agenda item </w:t>
          </w:r>
          <w:r w:rsidR="002A3AF8">
            <w:rPr>
              <w:rFonts w:eastAsia="Calibri"/>
              <w:kern w:val="2"/>
            </w:rPr>
            <w:t>10</w:t>
          </w:r>
          <w:r w:rsidRPr="00DD5F08">
            <w:rPr>
              <w:rFonts w:eastAsia="Calibri"/>
              <w:kern w:val="2"/>
            </w:rPr>
            <w:t>)</w:t>
          </w:r>
        </w:p>
      </w:tc>
    </w:tr>
  </w:tbl>
  <w:p w14:paraId="5DE79F76" w14:textId="62003EB9" w:rsidR="00D06F91" w:rsidRPr="006E324D" w:rsidRDefault="00D06F91" w:rsidP="006E3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00D15"/>
    <w:multiLevelType w:val="hybridMultilevel"/>
    <w:tmpl w:val="2EC8F8A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C0435"/>
    <w:multiLevelType w:val="hybridMultilevel"/>
    <w:tmpl w:val="137AA68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7"/>
  </w:num>
  <w:num w:numId="23">
    <w:abstractNumId w:val="14"/>
  </w:num>
  <w:num w:numId="24">
    <w:abstractNumId w:val="16"/>
  </w:num>
  <w:num w:numId="25">
    <w:abstractNumId w:val="15"/>
  </w:num>
  <w:num w:numId="26">
    <w:abstractNumId w:val="13"/>
  </w:num>
  <w:num w:numId="27">
    <w:abstractNumId w:val="1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5939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5715A"/>
    <w:rsid w:val="000C75E6"/>
    <w:rsid w:val="000D367D"/>
    <w:rsid w:val="001309F4"/>
    <w:rsid w:val="00143D77"/>
    <w:rsid w:val="00151208"/>
    <w:rsid w:val="00170E8B"/>
    <w:rsid w:val="001A33AD"/>
    <w:rsid w:val="001B5B00"/>
    <w:rsid w:val="001D6C5C"/>
    <w:rsid w:val="001F1DCE"/>
    <w:rsid w:val="00203BAB"/>
    <w:rsid w:val="00203C11"/>
    <w:rsid w:val="00214421"/>
    <w:rsid w:val="00222D9F"/>
    <w:rsid w:val="00242021"/>
    <w:rsid w:val="00255851"/>
    <w:rsid w:val="0027542D"/>
    <w:rsid w:val="002A3AF8"/>
    <w:rsid w:val="002B4811"/>
    <w:rsid w:val="002E6B62"/>
    <w:rsid w:val="00326F61"/>
    <w:rsid w:val="003402AE"/>
    <w:rsid w:val="00340A6E"/>
    <w:rsid w:val="00343F08"/>
    <w:rsid w:val="00351879"/>
    <w:rsid w:val="0039598B"/>
    <w:rsid w:val="003F6115"/>
    <w:rsid w:val="00411DA6"/>
    <w:rsid w:val="00416C08"/>
    <w:rsid w:val="00461D8F"/>
    <w:rsid w:val="00494339"/>
    <w:rsid w:val="0049466C"/>
    <w:rsid w:val="004A29E9"/>
    <w:rsid w:val="004A5BFD"/>
    <w:rsid w:val="004D5A4F"/>
    <w:rsid w:val="004E652D"/>
    <w:rsid w:val="00541748"/>
    <w:rsid w:val="005762BC"/>
    <w:rsid w:val="005855FD"/>
    <w:rsid w:val="00592DED"/>
    <w:rsid w:val="005B3E3F"/>
    <w:rsid w:val="005D37CC"/>
    <w:rsid w:val="006321A9"/>
    <w:rsid w:val="00686461"/>
    <w:rsid w:val="006B40F3"/>
    <w:rsid w:val="006E324D"/>
    <w:rsid w:val="006F13D9"/>
    <w:rsid w:val="006F2B2E"/>
    <w:rsid w:val="006F6664"/>
    <w:rsid w:val="00785AC2"/>
    <w:rsid w:val="007D1613"/>
    <w:rsid w:val="007D1EE3"/>
    <w:rsid w:val="008058D9"/>
    <w:rsid w:val="0082103C"/>
    <w:rsid w:val="00851340"/>
    <w:rsid w:val="00852CAE"/>
    <w:rsid w:val="00896C5E"/>
    <w:rsid w:val="008D28DC"/>
    <w:rsid w:val="008D5A13"/>
    <w:rsid w:val="008F3F56"/>
    <w:rsid w:val="00926B71"/>
    <w:rsid w:val="00941811"/>
    <w:rsid w:val="00955848"/>
    <w:rsid w:val="0097132E"/>
    <w:rsid w:val="00973A7E"/>
    <w:rsid w:val="009B279C"/>
    <w:rsid w:val="009C5365"/>
    <w:rsid w:val="009D0DA6"/>
    <w:rsid w:val="009E646F"/>
    <w:rsid w:val="009E6A52"/>
    <w:rsid w:val="00A51A2B"/>
    <w:rsid w:val="00AA7A0B"/>
    <w:rsid w:val="00AC4428"/>
    <w:rsid w:val="00AC74F7"/>
    <w:rsid w:val="00AE439A"/>
    <w:rsid w:val="00AE6268"/>
    <w:rsid w:val="00AF3EF3"/>
    <w:rsid w:val="00B156BC"/>
    <w:rsid w:val="00B477C3"/>
    <w:rsid w:val="00B50B7D"/>
    <w:rsid w:val="00B9350C"/>
    <w:rsid w:val="00B975D5"/>
    <w:rsid w:val="00BA2AF9"/>
    <w:rsid w:val="00BE291F"/>
    <w:rsid w:val="00BE7A0C"/>
    <w:rsid w:val="00C0489C"/>
    <w:rsid w:val="00CD29FA"/>
    <w:rsid w:val="00D06F91"/>
    <w:rsid w:val="00D55DBE"/>
    <w:rsid w:val="00D87D12"/>
    <w:rsid w:val="00D87F6B"/>
    <w:rsid w:val="00D9262A"/>
    <w:rsid w:val="00D9479F"/>
    <w:rsid w:val="00DC0D2A"/>
    <w:rsid w:val="00DD5F08"/>
    <w:rsid w:val="00DF0C11"/>
    <w:rsid w:val="00DF0E34"/>
    <w:rsid w:val="00E01D68"/>
    <w:rsid w:val="00E378AC"/>
    <w:rsid w:val="00E43A91"/>
    <w:rsid w:val="00E8137B"/>
    <w:rsid w:val="00E866A5"/>
    <w:rsid w:val="00E967C3"/>
    <w:rsid w:val="00ED2A2A"/>
    <w:rsid w:val="00F00C55"/>
    <w:rsid w:val="00F44D0B"/>
    <w:rsid w:val="00F607C0"/>
    <w:rsid w:val="00F7502A"/>
    <w:rsid w:val="00FC5A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550AD080"/>
  <w15:docId w15:val="{F3BE824B-0EEC-4387-A490-1D6D683B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locked="1" w:semiHidden="1" w:uiPriority="0" w:unhideWhenUsed="1"/>
    <w:lsdException w:name="Date" w:locked="1"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uiPriority w:val="99"/>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99"/>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
    <w:link w:val="FootnoteTex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203C11"/>
  </w:style>
  <w:style w:type="character" w:customStyle="1" w:styleId="FootnoteTextChar1">
    <w:name w:val="Footnote Text Char1"/>
    <w:uiPriority w:val="99"/>
    <w:semiHidden/>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uiPriority w:val="99"/>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8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F009AA20B2ED4399E9C39C77341190" ma:contentTypeVersion="12" ma:contentTypeDescription="Create a new document." ma:contentTypeScope="" ma:versionID="497a0e276f39f0ab6b71e7f68cb72d4e">
  <xsd:schema xmlns:xsd="http://www.w3.org/2001/XMLSchema" xmlns:xs="http://www.w3.org/2001/XMLSchema" xmlns:p="http://schemas.microsoft.com/office/2006/metadata/properties" xmlns:ns3="483dba53-7734-44b0-a8e9-8dd24ce872c9" xmlns:ns4="c7d0f312-d748-48d1-b1de-9d5105df2206" targetNamespace="http://schemas.microsoft.com/office/2006/metadata/properties" ma:root="true" ma:fieldsID="c67f8af2b5ca84a2c159fc0519dbd6ea" ns3:_="" ns4:_="">
    <xsd:import namespace="483dba53-7734-44b0-a8e9-8dd24ce872c9"/>
    <xsd:import namespace="c7d0f312-d748-48d1-b1de-9d5105df2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dba53-7734-44b0-a8e9-8dd24ce872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0f312-d748-48d1-b1de-9d5105df220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6444A-C7FD-494A-B0B2-E18493F6A993}">
  <ds:schemaRefs>
    <ds:schemaRef ds:uri="http://schemas.microsoft.com/sharepoint/v3/contenttype/forms"/>
  </ds:schemaRefs>
</ds:datastoreItem>
</file>

<file path=customXml/itemProps2.xml><?xml version="1.0" encoding="utf-8"?>
<ds:datastoreItem xmlns:ds="http://schemas.openxmlformats.org/officeDocument/2006/customXml" ds:itemID="{9B19E464-CBC0-434F-B729-4BA806DF6BCC}">
  <ds:schemaRefs>
    <ds:schemaRef ds:uri="http://purl.org/dc/terms/"/>
    <ds:schemaRef ds:uri="483dba53-7734-44b0-a8e9-8dd24ce872c9"/>
    <ds:schemaRef ds:uri="http://schemas.microsoft.com/office/2006/documentManagement/types"/>
    <ds:schemaRef ds:uri="http://purl.org/dc/elements/1.1/"/>
    <ds:schemaRef ds:uri="c7d0f312-d748-48d1-b1de-9d5105df2206"/>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3374C5C-6C22-4294-B49B-DC84EEF6E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dba53-7734-44b0-a8e9-8dd24ce872c9"/>
    <ds:schemaRef ds:uri="c7d0f312-d748-48d1-b1de-9d5105df2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514CB8-0DE7-4CFE-A161-F1C8631A3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2402</Characters>
  <Application>Microsoft Office Word</Application>
  <DocSecurity>0</DocSecurity>
  <Lines>20</Lines>
  <Paragraphs>5</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ECE/TRANS/WP.29/GRSG/2020/19</vt:lpstr>
      <vt:lpstr>ECE/TRANS/WP.29/GRSG/2019/34</vt:lpstr>
      <vt:lpstr>ECE/TRANS/WP.29/GRSG/2019/34</vt:lpstr>
    </vt:vector>
  </TitlesOfParts>
  <Company>MIT</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ECE/TRANS/WP.29/GRSG/2020/19</dc:title>
  <dc:subject>2010004</dc:subject>
  <dc:creator>MIT</dc:creator>
  <cp:keywords/>
  <dc:description/>
  <cp:lastModifiedBy>Benedicte Boudol</cp:lastModifiedBy>
  <cp:revision>2</cp:revision>
  <cp:lastPrinted>2019-07-19T11:29:00Z</cp:lastPrinted>
  <dcterms:created xsi:type="dcterms:W3CDTF">2020-10-05T14:44:00Z</dcterms:created>
  <dcterms:modified xsi:type="dcterms:W3CDTF">2020-10-05T14:44:00Z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0x01010043F009AA20B2ED4399E9C39C77341190</vt:lpwstr>
  </property>
</Properties>
</file>